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0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sz="0"/>
              <w:left w:val="none" w:sz="0"/>
              <w:bottom w:val="none" w:sz="0"/>
              <w:right w:val="none" w:sz="0"/>
            </w:tcBorders>
            <w:shd w:fill="7C3AED" w:val="clear"/>
            <w:tcMar>
              <w:top w:type="dxa" w:w="500"/>
              <w:left w:type="dxa" w:w="500"/>
              <w:bottom w:type="dxa" w:w="200"/>
              <w:right w:type="dxa" w:w="500"/>
            </w:tcMar>
          </w:tcPr>
          <w:p>
            <w:pPr>
              <w:spacing w:after="20"/>
            </w:pPr>
            <w:r>
              <w:rPr>
                <w:rFonts w:ascii="Arial" w:cs="Arial" w:eastAsia="Arial" w:hAnsi="Arial"/>
                <w:b/>
                <w:bCs/>
                <w:color w:val="FFFFFF"/>
                <w:spacing w:val="200"/>
                <w:sz w:val="18"/>
                <w:szCs w:val="18"/>
              </w:rPr>
              <w:t xml:space="preserve">TRANSITION DOCUMENT</w:t>
            </w:r>
          </w:p>
          <w:p>
            <w:pPr>
              <w:spacing w:after="40"/>
            </w:pPr>
            <w:r>
              <w:rPr>
                <w:rFonts w:ascii="Arial" w:cs="Arial" w:eastAsia="Arial" w:hAnsi="Arial"/>
                <w:b/>
                <w:bCs/>
                <w:color w:val="FFFFFF"/>
                <w:sz w:val="44"/>
                <w:szCs w:val="44"/>
              </w:rPr>
              <w:t xml:space="preserve">Vara Project Handoff</w:t>
            </w:r>
          </w:p>
          <w:p>
            <w:r>
              <w:rPr>
                <w:rFonts w:ascii="Arial" w:cs="Arial" w:eastAsia="Arial" w:hAnsi="Arial"/>
                <w:color w:val="D4B8FF"/>
                <w:sz w:val="22"/>
                <w:szCs w:val="22"/>
              </w:rPr>
              <w:t xml:space="preserve">From Claude (Education Account) → Claude Pro</w:t>
            </w:r>
          </w:p>
        </w:tc>
      </w:tr>
      <w:tr>
        <w:tc>
          <w:tcPr>
            <w:tcW w:type="dxa" w:w="9026"/>
            <w:tcBorders>
              <w:top w:val="none" w:sz="0"/>
              <w:left w:val="none" w:sz="0"/>
              <w:bottom w:val="none" w:sz="0"/>
              <w:right w:val="none" w:sz="0"/>
            </w:tcBorders>
            <w:shd w:fill="0F1923" w:val="clear"/>
            <w:tcMar>
              <w:top w:type="dxa" w:w="200"/>
              <w:left w:type="dxa" w:w="500"/>
              <w:bottom w:type="dxa" w:w="500"/>
              <w:right w:type="dxa" w:w="500"/>
            </w:tcMar>
          </w:tcPr>
          <w:p>
            <w:pPr>
              <w:spacing w:after="60"/>
            </w:pPr>
            <w:r>
              <w:rPr>
                <w:rFonts w:ascii="Arial" w:cs="Arial" w:eastAsia="Arial" w:hAnsi="Arial"/>
                <w:b/>
                <w:bCs/>
                <w:color w:val="FFFFFF"/>
                <w:sz w:val="36"/>
                <w:szCs w:val="36"/>
              </w:rPr>
              <w:t xml:space="preserve">VARA</w:t>
            </w:r>
          </w:p>
          <w:p>
            <w:pPr>
              <w:spacing w:after="20"/>
            </w:pPr>
            <w:r>
              <w:rPr>
                <w:rFonts w:ascii="Arial" w:cs="Arial" w:eastAsia="Arial" w:hAnsi="Arial"/>
                <w:i/>
                <w:iCs/>
                <w:color w:val="2D7FF9"/>
                <w:sz w:val="22"/>
                <w:szCs w:val="22"/>
              </w:rPr>
              <w:t xml:space="preserve">Regulation, decoded.</w:t>
            </w:r>
          </w:p>
          <w:p>
            <w:pPr>
              <w:spacing w:after="0" w:before="100"/>
            </w:pPr>
          </w:p>
          <w:p>
            <w:r>
              <w:rPr>
                <w:rFonts w:ascii="Arial" w:cs="Arial" w:eastAsia="Arial" w:hAnsi="Arial"/>
                <w:color w:val="98B4D4"/>
                <w:sz w:val="18"/>
                <w:szCs w:val="18"/>
              </w:rPr>
              <w:t xml:space="preserve">This document contains everything the new account needs to continue building Vara without losing context. It covers all decisions made, the complete product specification, brand identity, technical architecture, and the immediate next steps.</w:t>
            </w:r>
          </w:p>
        </w:tc>
      </w:tr>
    </w:tbl>
    <w:p>
      <w:pPr>
        <w:spacing w:after="0" w:before="400"/>
      </w:pPr>
    </w:p>
    <w:p>
      <w:pPr>
        <w:spacing w:after="60"/>
      </w:pPr>
      <w:r>
        <w:rPr>
          <w:rFonts w:ascii="Arial" w:cs="Arial" w:eastAsia="Arial" w:hAnsi="Arial"/>
          <w:color w:val="64748B"/>
          <w:sz w:val="18"/>
          <w:szCs w:val="18"/>
        </w:rPr>
        <w:t xml:space="preserve">Date: March 2026</w:t>
      </w:r>
    </w:p>
    <w:p>
      <w:pPr>
        <w:spacing w:after="60"/>
      </w:pPr>
      <w:r>
        <w:rPr>
          <w:rFonts w:ascii="Arial" w:cs="Arial" w:eastAsia="Arial" w:hAnsi="Arial"/>
          <w:color w:val="64748B"/>
          <w:sz w:val="18"/>
          <w:szCs w:val="18"/>
        </w:rPr>
        <w:t xml:space="preserve">Prepared by: Alex (Founder) via Claude on Education Account</w:t>
      </w:r>
    </w:p>
    <w:p>
      <w:r>
        <w:rPr>
          <w:rFonts w:ascii="Arial" w:cs="Arial" w:eastAsia="Arial" w:hAnsi="Arial"/>
          <w:color w:val="64748B"/>
          <w:sz w:val="18"/>
          <w:szCs w:val="18"/>
        </w:rPr>
        <w:t xml:space="preserve">For: Claude Pro Account — to be used as project context in first conversation</w:t>
      </w:r>
    </w:p>
    <w:p>
      <w:pPr>
        <w:sectPr>
          <w:pgSz w:w="11906" w:h="16838" w:orient="portrait"/>
          <w:pgMar w:top="1440" w:right="1440" w:bottom="1440" w:left="1440" w:header="708" w:footer="708" w:gutter="0"/>
          <w:pgNumType/>
          <w:docGrid w:linePitch="360"/>
        </w:sectPr>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C3AED" w:sz="4"/>
              <w:left w:val="single" w:color="E2E8F0" w:sz="1"/>
              <w:bottom w:val="single" w:color="E2E8F0" w:sz="1"/>
              <w:right w:val="single" w:color="E2E8F0" w:sz="1"/>
            </w:tcBorders>
            <w:shd w:fill="F9FAFB" w:val="clear"/>
            <w:tcMar>
              <w:top w:type="dxa" w:w="140"/>
              <w:left w:type="dxa" w:w="180"/>
              <w:bottom w:type="dxa" w:w="140"/>
              <w:right w:type="dxa" w:w="180"/>
            </w:tcMar>
          </w:tcPr>
          <w:p>
            <w:pPr>
              <w:spacing w:after="80"/>
            </w:pPr>
            <w:r>
              <w:rPr>
                <w:rFonts w:ascii="Arial" w:cs="Arial" w:eastAsia="Arial" w:hAnsi="Arial"/>
                <w:b/>
                <w:bCs/>
                <w:color w:val="0F1923"/>
                <w:sz w:val="22"/>
                <w:szCs w:val="22"/>
              </w:rPr>
              <w:t xml:space="preserve">How to Use This Document</w:t>
            </w:r>
          </w:p>
          <w:p>
            <w:pPr>
              <w:spacing w:line="276"/>
            </w:pPr>
            <w:r>
              <w:rPr>
                <w:rFonts w:ascii="Arial" w:cs="Arial" w:eastAsia="Arial" w:hAnsi="Arial"/>
                <w:color w:val="2D3748"/>
                <w:sz w:val="20"/>
                <w:szCs w:val="20"/>
              </w:rPr>
              <w:t xml:space="preserve">This is a transition document from a previous Claude conversation on an education account. Alex is the founder of Vara and has moved to Claude Pro for the build phase. This document captures every decision made during the ideation and planning phase. Read this in full before starting any work. It is the single source of truth for the Vara project. When Alex says “continue building Vara,” this is what that means.</w:t>
            </w:r>
          </w:p>
        </w:tc>
      </w:tr>
    </w:tbl>
    <w:p>
      <w:pPr>
        <w:spacing w:after="0" w:before="200"/>
      </w:pPr>
    </w:p>
    <w:p>
      <w:pPr>
        <w:pStyle w:val="Heading1"/>
      </w:pPr>
      <w:r>
        <w:t xml:space="preserve">1. Project Summary</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Product</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Vara</w:t>
            </w:r>
          </w:p>
        </w:tc>
      </w:tr>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Tagline</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Regulation, decoded.</w:t>
            </w:r>
          </w:p>
        </w:tc>
      </w:tr>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What It Is</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A regulatory change intelligence platform for SRA-regulated UK law firms. Monitors the SRA, translates updates into plain English, delivers structured action items filtered by firm type and practice area.</w:t>
            </w:r>
          </w:p>
        </w:tc>
      </w:tr>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Parent Company</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LRARE Holdings Ltd — UK company based in Newcastle upon Tyne, North East England</w:t>
            </w:r>
          </w:p>
        </w:tc>
      </w:tr>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Founder</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Alex — solo founder, law student at Northumbria University (email: w24019094@northumbria.ac.uk). Also runs SQEz (SQE exam prep app) and Receipt (document audit trail tool) under LRARE.</w:t>
            </w:r>
          </w:p>
        </w:tc>
      </w:tr>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Target Buyer</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COLPs (Compliance Officers for Legal Practice) and COFAs at firms of 1–50 solicitors</w:t>
            </w:r>
          </w:p>
        </w:tc>
      </w:tr>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Target Market</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~10,000 SRA-regulated firms in England &amp; Wales</w:t>
            </w:r>
          </w:p>
        </w:tc>
      </w:tr>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Revenue Target</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£1m ARR within 18 months (~830 firms at ~£100/month blended average)</w:t>
            </w:r>
          </w:p>
        </w:tc>
      </w:tr>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Current Stage</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Pre-build. All planning, branding, and documentation complete. Ready to start Phase 1 development.</w:t>
            </w:r>
          </w:p>
        </w:tc>
      </w:tr>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Domain</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getvara.co.uk (preferred — needs to be confirmed and registered). Alternatives: varahq.co.uk, usevara.co.uk</w:t>
            </w:r>
          </w:p>
        </w:tc>
      </w:tr>
    </w:tbl>
    <w:p>
      <w:pPr>
        <w:pBdr>
          <w:bottom w:val="single" w:color="F0F4F8" w:sz="4" w:space="1"/>
        </w:pBdr>
        <w:spacing w:after="240" w:before="240"/>
      </w:pPr>
    </w:p>
    <w:p>
      <w:pPr>
        <w:pStyle w:val="Heading1"/>
      </w:pPr>
      <w:r>
        <w:t xml:space="preserve">2. Decisions Already Made</w:t>
      </w:r>
    </w:p>
    <w:p>
      <w:pPr>
        <w:spacing w:after="160" w:line="276"/>
      </w:pPr>
      <w:r>
        <w:rPr>
          <w:rFonts w:ascii="Arial" w:cs="Arial" w:eastAsia="Arial" w:hAnsi="Arial"/>
          <w:color w:val="2D3748"/>
          <w:sz w:val="21"/>
          <w:szCs w:val="21"/>
        </w:rPr>
        <w:t xml:space="preserve">The following decisions were made during the planning phase and should be treated as locked unless Alex explicitly revisits them.</w:t>
      </w:r>
    </w:p>
    <w:p>
      <w:pPr>
        <w:pStyle w:val="Heading2"/>
      </w:pPr>
      <w:r>
        <w:t xml:space="preserve">2.1 Product Decisions</w:t>
      </w:r>
    </w:p>
    <w:p>
      <w:pPr>
        <w:spacing w:after="160" w:line="276"/>
      </w:pPr>
      <w:r>
        <w:rPr>
          <w:rFonts w:ascii="Arial" w:cs="Arial" w:eastAsia="Arial" w:hAnsi="Arial"/>
          <w:b/>
          <w:bCs/>
          <w:color w:val="2D3748"/>
          <w:sz w:val="21"/>
          <w:szCs w:val="21"/>
        </w:rPr>
        <w:t xml:space="preserve">Concept: </w:t>
      </w:r>
      <w:r>
        <w:rPr>
          <w:rFonts w:ascii="Arial" w:cs="Arial" w:eastAsia="Arial" w:hAnsi="Arial"/>
          <w:color w:val="2D3748"/>
          <w:sz w:val="21"/>
          <w:szCs w:val="21"/>
        </w:rPr>
        <w:t xml:space="preserve">Regulatory Change Impact Tracker for SME law firms. Chosen over two alternatives (shift handover tool and supplier due diligence passport) based on Alex’s legal background, direct outreach GTM preference, and speed-to-market priority.</w:t>
      </w:r>
    </w:p>
    <w:p>
      <w:pPr>
        <w:spacing w:after="160" w:line="276"/>
      </w:pPr>
      <w:r>
        <w:rPr>
          <w:rFonts w:ascii="Arial" w:cs="Arial" w:eastAsia="Arial" w:hAnsi="Arial"/>
          <w:b/>
          <w:bCs/>
          <w:color w:val="2D3748"/>
          <w:sz w:val="21"/>
          <w:szCs w:val="21"/>
        </w:rPr>
        <w:t xml:space="preserve">Regulator scope: </w:t>
      </w:r>
      <w:r>
        <w:rPr>
          <w:rFonts w:ascii="Arial" w:cs="Arial" w:eastAsia="Arial" w:hAnsi="Arial"/>
          <w:color w:val="2D3748"/>
          <w:sz w:val="21"/>
          <w:szCs w:val="21"/>
        </w:rPr>
        <w:t xml:space="preserve">V1 is SRA-only. Second regulator (FCA or ICAEW) planned for Phase 6 (months 15–18). Platform architecture is regulator-agnostic from day one.</w:t>
      </w:r>
    </w:p>
    <w:p>
      <w:pPr>
        <w:spacing w:after="160" w:line="276"/>
      </w:pPr>
      <w:r>
        <w:rPr>
          <w:rFonts w:ascii="Arial" w:cs="Arial" w:eastAsia="Arial" w:hAnsi="Arial"/>
          <w:b/>
          <w:bCs/>
          <w:color w:val="2D3748"/>
          <w:sz w:val="21"/>
          <w:szCs w:val="21"/>
        </w:rPr>
        <w:t xml:space="preserve">Content model: </w:t>
      </w:r>
      <w:r>
        <w:rPr>
          <w:rFonts w:ascii="Arial" w:cs="Arial" w:eastAsia="Arial" w:hAnsi="Arial"/>
          <w:color w:val="2D3748"/>
          <w:sz w:val="21"/>
          <w:szCs w:val="21"/>
        </w:rPr>
        <w:t xml:space="preserve">Hybrid automated ingestion + human editorial review. LLM assists with drafting; human (Alex) reviews and approves everything before publication. The editorial layer is the moat.</w:t>
      </w:r>
    </w:p>
    <w:p>
      <w:pPr>
        <w:spacing w:after="160" w:line="276"/>
      </w:pPr>
      <w:r>
        <w:rPr>
          <w:rFonts w:ascii="Arial" w:cs="Arial" w:eastAsia="Arial" w:hAnsi="Arial"/>
          <w:b/>
          <w:bCs/>
          <w:color w:val="2D3748"/>
          <w:sz w:val="21"/>
          <w:szCs w:val="21"/>
        </w:rPr>
        <w:t xml:space="preserve">No API required: </w:t>
      </w:r>
      <w:r>
        <w:rPr>
          <w:rFonts w:ascii="Arial" w:cs="Arial" w:eastAsia="Arial" w:hAnsi="Arial"/>
          <w:color w:val="2D3748"/>
          <w:sz w:val="21"/>
          <w:szCs w:val="21"/>
        </w:rPr>
        <w:t xml:space="preserve">SRA publishes everything publicly on sra.org.uk. Content is ingested via web scraping (Puppeteer/similar), RSS feeds, and email subscription fallbacks. No commercial API or data licensing costs.</w:t>
      </w:r>
    </w:p>
    <w:p>
      <w:pPr>
        <w:spacing w:after="160" w:line="276"/>
      </w:pPr>
      <w:r>
        <w:rPr>
          <w:rFonts w:ascii="Arial" w:cs="Arial" w:eastAsia="Arial" w:hAnsi="Arial"/>
          <w:b/>
          <w:bCs/>
          <w:color w:val="2D3748"/>
          <w:sz w:val="21"/>
          <w:szCs w:val="21"/>
        </w:rPr>
        <w:t xml:space="preserve">Policy compliance checker: </w:t>
      </w:r>
      <w:r>
        <w:rPr>
          <w:rFonts w:ascii="Arial" w:cs="Arial" w:eastAsia="Arial" w:hAnsi="Arial"/>
          <w:color w:val="2D3748"/>
          <w:sz w:val="21"/>
          <w:szCs w:val="21"/>
        </w:rPr>
        <w:t xml:space="preserve">Scoped for V2 (Phase 4, months 7–9). Uses RAG-powered semantic analysis to cross-reference uploaded firm policies against incoming regulatory changes. Policy upload infrastructure is built into V1 architecture to allow early adopters to start uploading.</w:t>
      </w:r>
    </w:p>
    <w:p>
      <w:pPr>
        <w:pStyle w:val="Heading2"/>
      </w:pPr>
      <w:r>
        <w:t xml:space="preserve">2.2 Brand Decisions</w:t>
      </w:r>
    </w:p>
    <w:p>
      <w:pPr>
        <w:spacing w:after="160" w:line="276"/>
      </w:pPr>
      <w:r>
        <w:rPr>
          <w:rFonts w:ascii="Arial" w:cs="Arial" w:eastAsia="Arial" w:hAnsi="Arial"/>
          <w:b/>
          <w:bCs/>
          <w:color w:val="2D3748"/>
          <w:sz w:val="21"/>
          <w:szCs w:val="21"/>
        </w:rPr>
        <w:t xml:space="preserve">Name: </w:t>
      </w:r>
      <w:r>
        <w:rPr>
          <w:rFonts w:ascii="Arial" w:cs="Arial" w:eastAsia="Arial" w:hAnsi="Arial"/>
          <w:color w:val="2D3748"/>
          <w:sz w:val="21"/>
          <w:szCs w:val="21"/>
        </w:rPr>
        <w:t xml:space="preserve">Vara. The .co.uk is likely taken (parked). Preferred domain is getvara.co.uk. Name derives from Old Norse meaning “to protect” or “to be aware of.”</w:t>
      </w:r>
    </w:p>
    <w:p>
      <w:pPr>
        <w:spacing w:after="160" w:line="276"/>
      </w:pPr>
      <w:r>
        <w:rPr>
          <w:rFonts w:ascii="Arial" w:cs="Arial" w:eastAsia="Arial" w:hAnsi="Arial"/>
          <w:b/>
          <w:bCs/>
          <w:color w:val="2D3748"/>
          <w:sz w:val="21"/>
          <w:szCs w:val="21"/>
        </w:rPr>
        <w:t xml:space="preserve">Tagline: </w:t>
      </w:r>
      <w:r>
        <w:rPr>
          <w:rFonts w:ascii="Arial" w:cs="Arial" w:eastAsia="Arial" w:hAnsi="Arial"/>
          <w:color w:val="2D3748"/>
          <w:sz w:val="21"/>
          <w:szCs w:val="21"/>
        </w:rPr>
        <w:t xml:space="preserve">“Regulation, decoded.” Locked. Used across all surfaces. Always sentence case with full stop.</w:t>
      </w:r>
    </w:p>
    <w:p>
      <w:pPr>
        <w:spacing w:after="160" w:line="276"/>
      </w:pPr>
      <w:r>
        <w:rPr>
          <w:rFonts w:ascii="Arial" w:cs="Arial" w:eastAsia="Arial" w:hAnsi="Arial"/>
          <w:b/>
          <w:bCs/>
          <w:color w:val="2D3748"/>
          <w:sz w:val="21"/>
          <w:szCs w:val="21"/>
        </w:rPr>
        <w:t xml:space="preserve">Logo: </w:t>
      </w:r>
      <w:r>
        <w:rPr>
          <w:rFonts w:ascii="Arial" w:cs="Arial" w:eastAsia="Arial" w:hAnsi="Arial"/>
          <w:color w:val="2D3748"/>
          <w:sz w:val="21"/>
          <w:szCs w:val="21"/>
        </w:rPr>
        <w:t xml:space="preserve">“The Mark” — a bold white geometric V inside a dark rounded square (#0F1923 with gradient to #0D1420), with a short blue accent line (#2D7FF9) beneath the V. Rounded corners at ~19% of container width.</w:t>
      </w:r>
    </w:p>
    <w:p>
      <w:pPr>
        <w:spacing w:after="160" w:line="276"/>
      </w:pPr>
      <w:r>
        <w:rPr>
          <w:rFonts w:ascii="Arial" w:cs="Arial" w:eastAsia="Arial" w:hAnsi="Arial"/>
          <w:b/>
          <w:bCs/>
          <w:color w:val="2D3748"/>
          <w:sz w:val="21"/>
          <w:szCs w:val="21"/>
        </w:rPr>
        <w:t xml:space="preserve">Wordmark: </w:t>
      </w:r>
      <w:r>
        <w:rPr>
          <w:rFonts w:ascii="Arial" w:cs="Arial" w:eastAsia="Arial" w:hAnsi="Arial"/>
          <w:color w:val="2D3748"/>
          <w:sz w:val="21"/>
          <w:szCs w:val="21"/>
        </w:rPr>
        <w:t xml:space="preserve">“VARA” in Clash Display Semibold (600), letter-spacing 0.09em, always uppercase.</w:t>
      </w:r>
    </w:p>
    <w:p>
      <w:pPr>
        <w:spacing w:after="160" w:line="276"/>
      </w:pPr>
      <w:r>
        <w:rPr>
          <w:rFonts w:ascii="Arial" w:cs="Arial" w:eastAsia="Arial" w:hAnsi="Arial"/>
          <w:b/>
          <w:bCs/>
          <w:color w:val="2D3748"/>
          <w:sz w:val="21"/>
          <w:szCs w:val="21"/>
        </w:rPr>
        <w:t xml:space="preserve">Primary lockup: </w:t>
      </w:r>
      <w:r>
        <w:rPr>
          <w:rFonts w:ascii="Arial" w:cs="Arial" w:eastAsia="Arial" w:hAnsi="Arial"/>
          <w:color w:val="2D3748"/>
          <w:sz w:val="21"/>
          <w:szCs w:val="21"/>
        </w:rPr>
        <w:t xml:space="preserve">Mark left, wordmark right, vertically centred.</w:t>
      </w:r>
    </w:p>
    <w:p>
      <w:pPr>
        <w:spacing w:after="160" w:line="276"/>
      </w:pPr>
      <w:r>
        <w:rPr>
          <w:rFonts w:ascii="Arial" w:cs="Arial" w:eastAsia="Arial" w:hAnsi="Arial"/>
          <w:b/>
          <w:bCs/>
          <w:color w:val="2D3748"/>
          <w:sz w:val="21"/>
          <w:szCs w:val="21"/>
        </w:rPr>
        <w:t xml:space="preserve">Display font: </w:t>
      </w:r>
      <w:r>
        <w:rPr>
          <w:rFonts w:ascii="Arial" w:cs="Arial" w:eastAsia="Arial" w:hAnsi="Arial"/>
          <w:color w:val="2D3748"/>
          <w:sz w:val="21"/>
          <w:szCs w:val="21"/>
        </w:rPr>
        <w:t xml:space="preserve">Clash Display (Fontshare, free). Semibold for logo, Bold for headings, Medium for subheadings.</w:t>
      </w:r>
    </w:p>
    <w:p>
      <w:pPr>
        <w:spacing w:after="160" w:line="276"/>
      </w:pPr>
      <w:r>
        <w:rPr>
          <w:rFonts w:ascii="Arial" w:cs="Arial" w:eastAsia="Arial" w:hAnsi="Arial"/>
          <w:b/>
          <w:bCs/>
          <w:color w:val="2D3748"/>
          <w:sz w:val="21"/>
          <w:szCs w:val="21"/>
        </w:rPr>
        <w:t xml:space="preserve">Body font: </w:t>
      </w:r>
      <w:r>
        <w:rPr>
          <w:rFonts w:ascii="Arial" w:cs="Arial" w:eastAsia="Arial" w:hAnsi="Arial"/>
          <w:color w:val="2D3748"/>
          <w:sz w:val="21"/>
          <w:szCs w:val="21"/>
        </w:rPr>
        <w:t xml:space="preserve">General Sans (Fontshare, free). Regular for body, Medium for labels, Semibold for emphasis.</w:t>
      </w:r>
    </w:p>
    <w:p>
      <w:pPr>
        <w:spacing w:after="160" w:line="276"/>
      </w:pPr>
      <w:r>
        <w:rPr>
          <w:rFonts w:ascii="Arial" w:cs="Arial" w:eastAsia="Arial" w:hAnsi="Arial"/>
          <w:b/>
          <w:bCs/>
          <w:color w:val="2D3748"/>
          <w:sz w:val="21"/>
          <w:szCs w:val="21"/>
        </w:rPr>
        <w:t xml:space="preserve">Fallback font: </w:t>
      </w:r>
      <w:r>
        <w:rPr>
          <w:rFonts w:ascii="Arial" w:cs="Arial" w:eastAsia="Arial" w:hAnsi="Arial"/>
          <w:color w:val="2D3748"/>
          <w:sz w:val="21"/>
          <w:szCs w:val="21"/>
        </w:rPr>
        <w:t xml:space="preserve">Arial. Wordmark must never be rendered in a fallback — use image asset.</w:t>
      </w:r>
    </w:p>
    <w:p>
      <w:pPr>
        <w:pStyle w:val="Heading2"/>
      </w:pPr>
      <w:r>
        <w:t xml:space="preserve">2.3 Colour Palette</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613"/>
        <w:gridCol w:w="4613"/>
      </w:tblGrid>
      <w:tr>
        <w:tc>
          <w:tcPr>
            <w:tcW w:type="dxa" w:w="800"/>
            <w:tcBorders>
              <w:top w:val="single" w:color="E2E8F0" w:sz="1"/>
              <w:left w:val="single" w:color="E2E8F0" w:sz="1"/>
              <w:bottom w:val="single" w:color="E2E8F0" w:sz="1"/>
              <w:right w:val="single" w:color="E2E8F0" w:sz="1"/>
            </w:tcBorders>
            <w:shd w:fill="0F1923" w:val="clear"/>
            <w:tcMar>
              <w:top w:type="dxa" w:w="100"/>
              <w:left w:type="dxa" w:w="140"/>
              <w:bottom w:type="dxa" w:w="100"/>
              <w:right w:type="dxa" w:w="140"/>
            </w:tcMar>
          </w:tcPr>
          <w:p>
            <w:r>
              <w:rPr>
                <w:rFonts w:ascii="Arial" w:cs="Arial" w:eastAsia="Arial" w:hAnsi="Arial"/>
                <w:b/>
                <w:bCs/>
                <w:color w:val="FFFFFF"/>
                <w:sz w:val="19"/>
                <w:szCs w:val="19"/>
              </w:rPr>
              <w:t xml:space="preserve"/>
            </w:r>
          </w:p>
        </w:tc>
        <w:tc>
          <w:tcPr>
            <w:tcW w:type="dxa" w:w="2000"/>
            <w:tcBorders>
              <w:top w:val="single" w:color="E2E8F0" w:sz="1"/>
              <w:left w:val="single" w:color="E2E8F0" w:sz="1"/>
              <w:bottom w:val="single" w:color="E2E8F0" w:sz="1"/>
              <w:right w:val="single" w:color="E2E8F0" w:sz="1"/>
            </w:tcBorders>
            <w:shd w:fill="0F1923" w:val="clear"/>
            <w:tcMar>
              <w:top w:type="dxa" w:w="100"/>
              <w:left w:type="dxa" w:w="140"/>
              <w:bottom w:type="dxa" w:w="100"/>
              <w:right w:type="dxa" w:w="140"/>
            </w:tcMar>
          </w:tcPr>
          <w:p>
            <w:r>
              <w:rPr>
                <w:rFonts w:ascii="Arial" w:cs="Arial" w:eastAsia="Arial" w:hAnsi="Arial"/>
                <w:b/>
                <w:bCs/>
                <w:color w:val="FFFFFF"/>
                <w:sz w:val="19"/>
                <w:szCs w:val="19"/>
              </w:rPr>
              <w:t xml:space="preserve">Name</w:t>
            </w:r>
          </w:p>
        </w:tc>
        <w:tc>
          <w:tcPr>
            <w:tcW w:type="dxa" w:w="1613"/>
            <w:tcBorders>
              <w:top w:val="single" w:color="E2E8F0" w:sz="1"/>
              <w:left w:val="single" w:color="E2E8F0" w:sz="1"/>
              <w:bottom w:val="single" w:color="E2E8F0" w:sz="1"/>
              <w:right w:val="single" w:color="E2E8F0" w:sz="1"/>
            </w:tcBorders>
            <w:shd w:fill="0F1923" w:val="clear"/>
            <w:tcMar>
              <w:top w:type="dxa" w:w="100"/>
              <w:left w:type="dxa" w:w="140"/>
              <w:bottom w:type="dxa" w:w="100"/>
              <w:right w:type="dxa" w:w="140"/>
            </w:tcMar>
          </w:tcPr>
          <w:p>
            <w:r>
              <w:rPr>
                <w:rFonts w:ascii="Arial" w:cs="Arial" w:eastAsia="Arial" w:hAnsi="Arial"/>
                <w:b/>
                <w:bCs/>
                <w:color w:val="FFFFFF"/>
                <w:sz w:val="19"/>
                <w:szCs w:val="19"/>
              </w:rPr>
              <w:t xml:space="preserve">Hex</w:t>
            </w:r>
          </w:p>
        </w:tc>
        <w:tc>
          <w:tcPr>
            <w:tcW w:type="dxa" w:w="4613"/>
            <w:tcBorders>
              <w:top w:val="single" w:color="E2E8F0" w:sz="1"/>
              <w:left w:val="single" w:color="E2E8F0" w:sz="1"/>
              <w:bottom w:val="single" w:color="E2E8F0" w:sz="1"/>
              <w:right w:val="single" w:color="E2E8F0" w:sz="1"/>
            </w:tcBorders>
            <w:shd w:fill="0F1923" w:val="clear"/>
            <w:tcMar>
              <w:top w:type="dxa" w:w="100"/>
              <w:left w:type="dxa" w:w="140"/>
              <w:bottom w:type="dxa" w:w="100"/>
              <w:right w:type="dxa" w:w="140"/>
            </w:tcMar>
          </w:tcPr>
          <w:p>
            <w:r>
              <w:rPr>
                <w:rFonts w:ascii="Arial" w:cs="Arial" w:eastAsia="Arial" w:hAnsi="Arial"/>
                <w:b/>
                <w:bCs/>
                <w:color w:val="FFFFFF"/>
                <w:sz w:val="19"/>
                <w:szCs w:val="19"/>
              </w:rPr>
              <w:t xml:space="preserve">Usage</w:t>
            </w:r>
          </w:p>
        </w:tc>
      </w:tr>
      <w:tr>
        <w:tc>
          <w:tcPr>
            <w:tcW w:type="dxa" w:w="800"/>
            <w:tcBorders>
              <w:top w:val="single" w:color="E2E8F0" w:sz="1"/>
              <w:left w:val="single" w:color="E2E8F0" w:sz="1"/>
              <w:bottom w:val="single" w:color="E2E8F0" w:sz="1"/>
              <w:right w:val="single" w:color="E2E8F0" w:sz="1"/>
            </w:tcBorders>
            <w:shd w:fill="0F1923" w:val="clear"/>
            <w:tcMar>
              <w:top w:type="dxa" w:w="100"/>
              <w:left w:type="dxa" w:w="140"/>
              <w:bottom w:type="dxa" w:w="100"/>
              <w:right w:type="dxa" w:w="140"/>
            </w:tcMar>
          </w:tcPr>
          <w:p/>
        </w:tc>
        <w:tc>
          <w:tcPr>
            <w:tcW w:type="dxa" w:w="200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tcPr>
          <w:p>
            <w:r>
              <w:rPr>
                <w:rFonts w:ascii="Arial" w:cs="Arial" w:eastAsia="Arial" w:hAnsi="Arial"/>
                <w:b/>
                <w:bCs/>
                <w:color w:val="0F1923"/>
                <w:sz w:val="19"/>
                <w:szCs w:val="19"/>
              </w:rPr>
              <w:t xml:space="preserve">Vara Dark</w:t>
            </w:r>
          </w:p>
        </w:tc>
        <w:tc>
          <w:tcPr>
            <w:tcW w:type="dxa" w:w="1613"/>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tcPr>
          <w:p>
            <w:r>
              <w:rPr>
                <w:rFonts w:ascii="Courier New" w:cs="Courier New" w:eastAsia="Courier New" w:hAnsi="Courier New"/>
                <w:color w:val="64748B"/>
                <w:sz w:val="18"/>
                <w:szCs w:val="18"/>
              </w:rPr>
              <w:t xml:space="preserve">#0F1923</w:t>
            </w:r>
          </w:p>
        </w:tc>
        <w:tc>
          <w:tcPr>
            <w:tcW w:type="dxa" w:w="4613"/>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tcPr>
          <w:p>
            <w:pPr>
              <w:spacing w:line="264"/>
            </w:pPr>
            <w:r>
              <w:rPr>
                <w:rFonts w:ascii="Arial" w:cs="Arial" w:eastAsia="Arial" w:hAnsi="Arial"/>
                <w:color w:val="2D3748"/>
                <w:sz w:val="19"/>
                <w:szCs w:val="19"/>
              </w:rPr>
              <w:t xml:space="preserve">Primary brand colour, backgrounds, logo bg</w:t>
            </w:r>
          </w:p>
        </w:tc>
      </w:tr>
      <w:tr>
        <w:tc>
          <w:tcPr>
            <w:tcW w:type="dxa" w:w="800"/>
            <w:tcBorders>
              <w:top w:val="single" w:color="E2E8F0" w:sz="1"/>
              <w:left w:val="single" w:color="E2E8F0" w:sz="1"/>
              <w:bottom w:val="single" w:color="E2E8F0" w:sz="1"/>
              <w:right w:val="single" w:color="E2E8F0" w:sz="1"/>
            </w:tcBorders>
            <w:shd w:fill="1A2744" w:val="clear"/>
            <w:tcMar>
              <w:top w:type="dxa" w:w="100"/>
              <w:left w:type="dxa" w:w="140"/>
              <w:bottom w:type="dxa" w:w="100"/>
              <w:right w:type="dxa" w:w="140"/>
            </w:tcMar>
          </w:tcP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0F1923"/>
                <w:sz w:val="19"/>
                <w:szCs w:val="19"/>
              </w:rPr>
              <w:t xml:space="preserve">Vara Navy</w:t>
            </w:r>
          </w:p>
        </w:tc>
        <w:tc>
          <w:tcPr>
            <w:tcW w:type="dxa" w:w="1613"/>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ourier New" w:cs="Courier New" w:eastAsia="Courier New" w:hAnsi="Courier New"/>
                <w:color w:val="64748B"/>
                <w:sz w:val="18"/>
                <w:szCs w:val="18"/>
              </w:rPr>
              <w:t xml:space="preserve">#1A2744</w:t>
            </w:r>
          </w:p>
        </w:tc>
        <w:tc>
          <w:tcPr>
            <w:tcW w:type="dxa" w:w="4613"/>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64"/>
            </w:pPr>
            <w:r>
              <w:rPr>
                <w:rFonts w:ascii="Arial" w:cs="Arial" w:eastAsia="Arial" w:hAnsi="Arial"/>
                <w:color w:val="2D3748"/>
                <w:sz w:val="19"/>
                <w:szCs w:val="19"/>
              </w:rPr>
              <w:t xml:space="preserve">Elevated dark surfaces, cards</w:t>
            </w:r>
          </w:p>
        </w:tc>
      </w:tr>
      <w:tr>
        <w:tc>
          <w:tcPr>
            <w:tcW w:type="dxa" w:w="800"/>
            <w:tcBorders>
              <w:top w:val="single" w:color="E2E8F0" w:sz="1"/>
              <w:left w:val="single" w:color="E2E8F0" w:sz="1"/>
              <w:bottom w:val="single" w:color="E2E8F0" w:sz="1"/>
              <w:right w:val="single" w:color="E2E8F0" w:sz="1"/>
            </w:tcBorders>
            <w:shd w:fill="2D7FF9" w:val="clear"/>
            <w:tcMar>
              <w:top w:type="dxa" w:w="100"/>
              <w:left w:type="dxa" w:w="140"/>
              <w:bottom w:type="dxa" w:w="100"/>
              <w:right w:type="dxa" w:w="140"/>
            </w:tcMar>
          </w:tcPr>
          <w:p/>
        </w:tc>
        <w:tc>
          <w:tcPr>
            <w:tcW w:type="dxa" w:w="200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tcPr>
          <w:p>
            <w:r>
              <w:rPr>
                <w:rFonts w:ascii="Arial" w:cs="Arial" w:eastAsia="Arial" w:hAnsi="Arial"/>
                <w:b/>
                <w:bCs/>
                <w:color w:val="0F1923"/>
                <w:sz w:val="19"/>
                <w:szCs w:val="19"/>
              </w:rPr>
              <w:t xml:space="preserve">Vara Blue</w:t>
            </w:r>
          </w:p>
        </w:tc>
        <w:tc>
          <w:tcPr>
            <w:tcW w:type="dxa" w:w="1613"/>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tcPr>
          <w:p>
            <w:r>
              <w:rPr>
                <w:rFonts w:ascii="Courier New" w:cs="Courier New" w:eastAsia="Courier New" w:hAnsi="Courier New"/>
                <w:color w:val="64748B"/>
                <w:sz w:val="18"/>
                <w:szCs w:val="18"/>
              </w:rPr>
              <w:t xml:space="preserve">#2D7FF9</w:t>
            </w:r>
          </w:p>
        </w:tc>
        <w:tc>
          <w:tcPr>
            <w:tcW w:type="dxa" w:w="4613"/>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tcPr>
          <w:p>
            <w:pPr>
              <w:spacing w:line="264"/>
            </w:pPr>
            <w:r>
              <w:rPr>
                <w:rFonts w:ascii="Arial" w:cs="Arial" w:eastAsia="Arial" w:hAnsi="Arial"/>
                <w:color w:val="2D3748"/>
                <w:sz w:val="19"/>
                <w:szCs w:val="19"/>
              </w:rPr>
              <w:t xml:space="preserve">Accent, CTAs, links, logo accent bar</w:t>
            </w:r>
          </w:p>
        </w:tc>
      </w:tr>
      <w:tr>
        <w:tc>
          <w:tcPr>
            <w:tcW w:type="dxa" w:w="800"/>
            <w:tcBorders>
              <w:top w:val="single" w:color="E2E8F0" w:sz="1"/>
              <w:left w:val="single" w:color="E2E8F0" w:sz="1"/>
              <w:bottom w:val="single" w:color="E2E8F0" w:sz="1"/>
              <w:right w:val="single" w:color="E2E8F0" w:sz="1"/>
            </w:tcBorders>
            <w:shd w:fill="1A5CCC" w:val="clear"/>
            <w:tcMar>
              <w:top w:type="dxa" w:w="100"/>
              <w:left w:type="dxa" w:w="140"/>
              <w:bottom w:type="dxa" w:w="100"/>
              <w:right w:type="dxa" w:w="140"/>
            </w:tcMar>
          </w:tcP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0F1923"/>
                <w:sz w:val="19"/>
                <w:szCs w:val="19"/>
              </w:rPr>
              <w:t xml:space="preserve">Blue Dark</w:t>
            </w:r>
          </w:p>
        </w:tc>
        <w:tc>
          <w:tcPr>
            <w:tcW w:type="dxa" w:w="1613"/>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ourier New" w:cs="Courier New" w:eastAsia="Courier New" w:hAnsi="Courier New"/>
                <w:color w:val="64748B"/>
                <w:sz w:val="18"/>
                <w:szCs w:val="18"/>
              </w:rPr>
              <w:t xml:space="preserve">#1A5CCC</w:t>
            </w:r>
          </w:p>
        </w:tc>
        <w:tc>
          <w:tcPr>
            <w:tcW w:type="dxa" w:w="4613"/>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64"/>
            </w:pPr>
            <w:r>
              <w:rPr>
                <w:rFonts w:ascii="Arial" w:cs="Arial" w:eastAsia="Arial" w:hAnsi="Arial"/>
                <w:color w:val="2D3748"/>
                <w:sz w:val="19"/>
                <w:szCs w:val="19"/>
              </w:rPr>
              <w:t xml:space="preserve">Hover states, gradients</w:t>
            </w:r>
          </w:p>
        </w:tc>
      </w:tr>
      <w:tr>
        <w:tc>
          <w:tcPr>
            <w:tcW w:type="dxa" w:w="8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tc>
        <w:tc>
          <w:tcPr>
            <w:tcW w:type="dxa" w:w="200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tcPr>
          <w:p>
            <w:r>
              <w:rPr>
                <w:rFonts w:ascii="Arial" w:cs="Arial" w:eastAsia="Arial" w:hAnsi="Arial"/>
                <w:b/>
                <w:bCs/>
                <w:color w:val="0F1923"/>
                <w:sz w:val="19"/>
                <w:szCs w:val="19"/>
              </w:rPr>
              <w:t xml:space="preserve">White</w:t>
            </w:r>
          </w:p>
        </w:tc>
        <w:tc>
          <w:tcPr>
            <w:tcW w:type="dxa" w:w="1613"/>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tcPr>
          <w:p>
            <w:r>
              <w:rPr>
                <w:rFonts w:ascii="Courier New" w:cs="Courier New" w:eastAsia="Courier New" w:hAnsi="Courier New"/>
                <w:color w:val="64748B"/>
                <w:sz w:val="18"/>
                <w:szCs w:val="18"/>
              </w:rPr>
              <w:t xml:space="preserve">#FFFFFF</w:t>
            </w:r>
          </w:p>
        </w:tc>
        <w:tc>
          <w:tcPr>
            <w:tcW w:type="dxa" w:w="4613"/>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tcPr>
          <w:p>
            <w:pPr>
              <w:spacing w:line="264"/>
            </w:pPr>
            <w:r>
              <w:rPr>
                <w:rFonts w:ascii="Arial" w:cs="Arial" w:eastAsia="Arial" w:hAnsi="Arial"/>
                <w:color w:val="2D3748"/>
                <w:sz w:val="19"/>
                <w:szCs w:val="19"/>
              </w:rPr>
              <w:t xml:space="preserve">Text on dark, light backgrounds</w:t>
            </w:r>
          </w:p>
        </w:tc>
      </w:tr>
      <w:tr>
        <w:tc>
          <w:tcPr>
            <w:tcW w:type="dxa" w:w="800"/>
            <w:tcBorders>
              <w:top w:val="single" w:color="E2E8F0" w:sz="1"/>
              <w:left w:val="single" w:color="E2E8F0" w:sz="1"/>
              <w:bottom w:val="single" w:color="E2E8F0" w:sz="1"/>
              <w:right w:val="single" w:color="E2E8F0" w:sz="1"/>
            </w:tcBorders>
            <w:shd w:fill="64748B" w:val="clear"/>
            <w:tcMar>
              <w:top w:type="dxa" w:w="100"/>
              <w:left w:type="dxa" w:w="140"/>
              <w:bottom w:type="dxa" w:w="100"/>
              <w:right w:type="dxa" w:w="140"/>
            </w:tcMar>
          </w:tcP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0F1923"/>
                <w:sz w:val="19"/>
                <w:szCs w:val="19"/>
              </w:rPr>
              <w:t xml:space="preserve">Slate</w:t>
            </w:r>
          </w:p>
        </w:tc>
        <w:tc>
          <w:tcPr>
            <w:tcW w:type="dxa" w:w="1613"/>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ourier New" w:cs="Courier New" w:eastAsia="Courier New" w:hAnsi="Courier New"/>
                <w:color w:val="64748B"/>
                <w:sz w:val="18"/>
                <w:szCs w:val="18"/>
              </w:rPr>
              <w:t xml:space="preserve">#64748B</w:t>
            </w:r>
          </w:p>
        </w:tc>
        <w:tc>
          <w:tcPr>
            <w:tcW w:type="dxa" w:w="4613"/>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64"/>
            </w:pPr>
            <w:r>
              <w:rPr>
                <w:rFonts w:ascii="Arial" w:cs="Arial" w:eastAsia="Arial" w:hAnsi="Arial"/>
                <w:color w:val="2D3748"/>
                <w:sz w:val="19"/>
                <w:szCs w:val="19"/>
              </w:rPr>
              <w:t xml:space="preserve">Secondary text, captions</w:t>
            </w:r>
          </w:p>
        </w:tc>
      </w:tr>
      <w:tr>
        <w:tc>
          <w:tcPr>
            <w:tcW w:type="dxa" w:w="800"/>
            <w:tcBorders>
              <w:top w:val="single" w:color="E2E8F0" w:sz="1"/>
              <w:left w:val="single" w:color="E2E8F0" w:sz="1"/>
              <w:bottom w:val="single" w:color="E2E8F0" w:sz="1"/>
              <w:right w:val="single" w:color="E2E8F0" w:sz="1"/>
            </w:tcBorders>
            <w:shd w:fill="F0F4F8" w:val="clear"/>
            <w:tcMar>
              <w:top w:type="dxa" w:w="100"/>
              <w:left w:type="dxa" w:w="140"/>
              <w:bottom w:type="dxa" w:w="100"/>
              <w:right w:type="dxa" w:w="140"/>
            </w:tcMar>
          </w:tcPr>
          <w:p/>
        </w:tc>
        <w:tc>
          <w:tcPr>
            <w:tcW w:type="dxa" w:w="200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tcPr>
          <w:p>
            <w:r>
              <w:rPr>
                <w:rFonts w:ascii="Arial" w:cs="Arial" w:eastAsia="Arial" w:hAnsi="Arial"/>
                <w:b/>
                <w:bCs/>
                <w:color w:val="0F1923"/>
                <w:sz w:val="19"/>
                <w:szCs w:val="19"/>
              </w:rPr>
              <w:t xml:space="preserve">Light</w:t>
            </w:r>
          </w:p>
        </w:tc>
        <w:tc>
          <w:tcPr>
            <w:tcW w:type="dxa" w:w="1613"/>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tcPr>
          <w:p>
            <w:r>
              <w:rPr>
                <w:rFonts w:ascii="Courier New" w:cs="Courier New" w:eastAsia="Courier New" w:hAnsi="Courier New"/>
                <w:color w:val="64748B"/>
                <w:sz w:val="18"/>
                <w:szCs w:val="18"/>
              </w:rPr>
              <w:t xml:space="preserve">#F0F4F8</w:t>
            </w:r>
          </w:p>
        </w:tc>
        <w:tc>
          <w:tcPr>
            <w:tcW w:type="dxa" w:w="4613"/>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tcPr>
          <w:p>
            <w:pPr>
              <w:spacing w:line="264"/>
            </w:pPr>
            <w:r>
              <w:rPr>
                <w:rFonts w:ascii="Arial" w:cs="Arial" w:eastAsia="Arial" w:hAnsi="Arial"/>
                <w:color w:val="2D3748"/>
                <w:sz w:val="19"/>
                <w:szCs w:val="19"/>
              </w:rPr>
              <w:t xml:space="preserve">Light background tint</w:t>
            </w:r>
          </w:p>
        </w:tc>
      </w:tr>
      <w:tr>
        <w:tc>
          <w:tcPr>
            <w:tcW w:type="dxa" w:w="800"/>
            <w:tcBorders>
              <w:top w:val="single" w:color="E2E8F0" w:sz="1"/>
              <w:left w:val="single" w:color="E2E8F0" w:sz="1"/>
              <w:bottom w:val="single" w:color="E2E8F0" w:sz="1"/>
              <w:right w:val="single" w:color="E2E8F0" w:sz="1"/>
            </w:tcBorders>
            <w:shd w:fill="4EEABC" w:val="clear"/>
            <w:tcMar>
              <w:top w:type="dxa" w:w="100"/>
              <w:left w:type="dxa" w:w="140"/>
              <w:bottom w:type="dxa" w:w="100"/>
              <w:right w:type="dxa" w:w="140"/>
            </w:tcMar>
          </w:tcP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0F1923"/>
                <w:sz w:val="19"/>
                <w:szCs w:val="19"/>
              </w:rPr>
              <w:t xml:space="preserve">Success</w:t>
            </w:r>
          </w:p>
        </w:tc>
        <w:tc>
          <w:tcPr>
            <w:tcW w:type="dxa" w:w="1613"/>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ourier New" w:cs="Courier New" w:eastAsia="Courier New" w:hAnsi="Courier New"/>
                <w:color w:val="64748B"/>
                <w:sz w:val="18"/>
                <w:szCs w:val="18"/>
              </w:rPr>
              <w:t xml:space="preserve">#4EEABC</w:t>
            </w:r>
          </w:p>
        </w:tc>
        <w:tc>
          <w:tcPr>
            <w:tcW w:type="dxa" w:w="4613"/>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64"/>
            </w:pPr>
            <w:r>
              <w:rPr>
                <w:rFonts w:ascii="Arial" w:cs="Arial" w:eastAsia="Arial" w:hAnsi="Arial"/>
                <w:color w:val="2D3748"/>
                <w:sz w:val="19"/>
                <w:szCs w:val="19"/>
              </w:rPr>
              <w:t xml:space="preserve">Complete, on track</w:t>
            </w:r>
          </w:p>
        </w:tc>
      </w:tr>
      <w:tr>
        <w:tc>
          <w:tcPr>
            <w:tcW w:type="dxa" w:w="800"/>
            <w:tcBorders>
              <w:top w:val="single" w:color="E2E8F0" w:sz="1"/>
              <w:left w:val="single" w:color="E2E8F0" w:sz="1"/>
              <w:bottom w:val="single" w:color="E2E8F0" w:sz="1"/>
              <w:right w:val="single" w:color="E2E8F0" w:sz="1"/>
            </w:tcBorders>
            <w:shd w:fill="F5C542" w:val="clear"/>
            <w:tcMar>
              <w:top w:type="dxa" w:w="100"/>
              <w:left w:type="dxa" w:w="140"/>
              <w:bottom w:type="dxa" w:w="100"/>
              <w:right w:type="dxa" w:w="140"/>
            </w:tcMar>
          </w:tcPr>
          <w:p/>
        </w:tc>
        <w:tc>
          <w:tcPr>
            <w:tcW w:type="dxa" w:w="2000"/>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tcPr>
          <w:p>
            <w:r>
              <w:rPr>
                <w:rFonts w:ascii="Arial" w:cs="Arial" w:eastAsia="Arial" w:hAnsi="Arial"/>
                <w:b/>
                <w:bCs/>
                <w:color w:val="0F1923"/>
                <w:sz w:val="19"/>
                <w:szCs w:val="19"/>
              </w:rPr>
              <w:t xml:space="preserve">Warning</w:t>
            </w:r>
          </w:p>
        </w:tc>
        <w:tc>
          <w:tcPr>
            <w:tcW w:type="dxa" w:w="1613"/>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tcPr>
          <w:p>
            <w:r>
              <w:rPr>
                <w:rFonts w:ascii="Courier New" w:cs="Courier New" w:eastAsia="Courier New" w:hAnsi="Courier New"/>
                <w:color w:val="64748B"/>
                <w:sz w:val="18"/>
                <w:szCs w:val="18"/>
              </w:rPr>
              <w:t xml:space="preserve">#F5C542</w:t>
            </w:r>
          </w:p>
        </w:tc>
        <w:tc>
          <w:tcPr>
            <w:tcW w:type="dxa" w:w="4613"/>
            <w:tcBorders>
              <w:top w:val="single" w:color="E2E8F0" w:sz="1"/>
              <w:left w:val="single" w:color="E2E8F0" w:sz="1"/>
              <w:bottom w:val="single" w:color="E2E8F0" w:sz="1"/>
              <w:right w:val="single" w:color="E2E8F0" w:sz="1"/>
            </w:tcBorders>
            <w:shd w:fill="F9FAFB" w:val="clear"/>
            <w:tcMar>
              <w:top w:type="dxa" w:w="100"/>
              <w:left w:type="dxa" w:w="140"/>
              <w:bottom w:type="dxa" w:w="100"/>
              <w:right w:type="dxa" w:w="140"/>
            </w:tcMar>
          </w:tcPr>
          <w:p>
            <w:pPr>
              <w:spacing w:line="264"/>
            </w:pPr>
            <w:r>
              <w:rPr>
                <w:rFonts w:ascii="Arial" w:cs="Arial" w:eastAsia="Arial" w:hAnsi="Arial"/>
                <w:color w:val="2D3748"/>
                <w:sz w:val="19"/>
                <w:szCs w:val="19"/>
              </w:rPr>
              <w:t xml:space="preserve">Pending, approaching deadline</w:t>
            </w:r>
          </w:p>
        </w:tc>
      </w:tr>
      <w:tr>
        <w:tc>
          <w:tcPr>
            <w:tcW w:type="dxa" w:w="800"/>
            <w:tcBorders>
              <w:top w:val="single" w:color="E2E8F0" w:sz="1"/>
              <w:left w:val="single" w:color="E2E8F0" w:sz="1"/>
              <w:bottom w:val="single" w:color="E2E8F0" w:sz="1"/>
              <w:right w:val="single" w:color="E2E8F0" w:sz="1"/>
            </w:tcBorders>
            <w:shd w:fill="FF6B4A" w:val="clear"/>
            <w:tcMar>
              <w:top w:type="dxa" w:w="100"/>
              <w:left w:type="dxa" w:w="140"/>
              <w:bottom w:type="dxa" w:w="100"/>
              <w:right w:type="dxa" w:w="140"/>
            </w:tcMar>
          </w:tcPr>
          <w:p/>
        </w:tc>
        <w:tc>
          <w:tcPr>
            <w:tcW w:type="dxa" w:w="2000"/>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Arial" w:cs="Arial" w:eastAsia="Arial" w:hAnsi="Arial"/>
                <w:b/>
                <w:bCs/>
                <w:color w:val="0F1923"/>
                <w:sz w:val="19"/>
                <w:szCs w:val="19"/>
              </w:rPr>
              <w:t xml:space="preserve">Danger</w:t>
            </w:r>
          </w:p>
        </w:tc>
        <w:tc>
          <w:tcPr>
            <w:tcW w:type="dxa" w:w="1613"/>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r>
              <w:rPr>
                <w:rFonts w:ascii="Courier New" w:cs="Courier New" w:eastAsia="Courier New" w:hAnsi="Courier New"/>
                <w:color w:val="64748B"/>
                <w:sz w:val="18"/>
                <w:szCs w:val="18"/>
              </w:rPr>
              <w:t xml:space="preserve">#FF6B4A</w:t>
            </w:r>
          </w:p>
        </w:tc>
        <w:tc>
          <w:tcPr>
            <w:tcW w:type="dxa" w:w="4613"/>
            <w:tcBorders>
              <w:top w:val="single" w:color="E2E8F0" w:sz="1"/>
              <w:left w:val="single" w:color="E2E8F0" w:sz="1"/>
              <w:bottom w:val="single" w:color="E2E8F0" w:sz="1"/>
              <w:right w:val="single" w:color="E2E8F0" w:sz="1"/>
            </w:tcBorders>
            <w:shd w:fill="FFFFFF" w:val="clear"/>
            <w:tcMar>
              <w:top w:type="dxa" w:w="100"/>
              <w:left w:type="dxa" w:w="140"/>
              <w:bottom w:type="dxa" w:w="100"/>
              <w:right w:type="dxa" w:w="140"/>
            </w:tcMar>
          </w:tcPr>
          <w:p>
            <w:pPr>
              <w:spacing w:line="264"/>
            </w:pPr>
            <w:r>
              <w:rPr>
                <w:rFonts w:ascii="Arial" w:cs="Arial" w:eastAsia="Arial" w:hAnsi="Arial"/>
                <w:color w:val="2D3748"/>
                <w:sz w:val="19"/>
                <w:szCs w:val="19"/>
              </w:rPr>
              <w:t xml:space="preserve">Urgent, overdue</w:t>
            </w:r>
          </w:p>
        </w:tc>
      </w:tr>
    </w:tbl>
    <w:p>
      <w:pPr>
        <w:pStyle w:val="Heading2"/>
      </w:pPr>
      <w:r>
        <w:t xml:space="preserve">2.4 Pricing (Locked)</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Solo/Micro (1–5)</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£49/month  |  £499/year</w:t>
            </w:r>
          </w:p>
        </w:tc>
      </w:tr>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Small Firm (6–20)</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£99/month  |  £999/year</w:t>
            </w:r>
          </w:p>
        </w:tc>
      </w:tr>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Mid-Size (21–50)</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£179/month  |  £1,799/year</w:t>
            </w:r>
          </w:p>
        </w:tc>
      </w:tr>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Free Trial</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14 days, full access, all tiers</w:t>
            </w:r>
          </w:p>
        </w:tc>
      </w:tr>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Enterprise (50+)</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On request</w:t>
            </w:r>
          </w:p>
        </w:tc>
      </w:tr>
    </w:tbl>
    <w:p>
      <w:pPr>
        <w:pStyle w:val="Heading2"/>
      </w:pPr>
      <w:r>
        <w:t xml:space="preserve">2.5 GTM Strategy (Locked)</w:t>
      </w:r>
    </w:p>
    <w:p>
      <w:pPr>
        <w:spacing w:after="160" w:line="276"/>
      </w:pPr>
      <w:r>
        <w:rPr>
          <w:rFonts w:ascii="Arial" w:cs="Arial" w:eastAsia="Arial" w:hAnsi="Arial"/>
          <w:b/>
          <w:bCs/>
          <w:color w:val="2D3748"/>
          <w:sz w:val="21"/>
          <w:szCs w:val="21"/>
        </w:rPr>
        <w:t xml:space="preserve">Primary channel: </w:t>
      </w:r>
      <w:r>
        <w:rPr>
          <w:rFonts w:ascii="Arial" w:cs="Arial" w:eastAsia="Arial" w:hAnsi="Arial"/>
          <w:color w:val="2D3748"/>
          <w:sz w:val="21"/>
          <w:szCs w:val="21"/>
        </w:rPr>
        <w:t xml:space="preserve">Direct outreach to COLPs via LinkedIn and email. COLPs are named on SRA public register — prospect list is pre-built.</w:t>
      </w:r>
    </w:p>
    <w:p>
      <w:pPr>
        <w:spacing w:after="160" w:line="276"/>
      </w:pPr>
      <w:r>
        <w:rPr>
          <w:rFonts w:ascii="Arial" w:cs="Arial" w:eastAsia="Arial" w:hAnsi="Arial"/>
          <w:b/>
          <w:bCs/>
          <w:color w:val="2D3748"/>
          <w:sz w:val="21"/>
          <w:szCs w:val="21"/>
        </w:rPr>
        <w:t xml:space="preserve">Messaging hook: </w:t>
      </w:r>
      <w:r>
        <w:rPr>
          <w:rFonts w:ascii="Arial" w:cs="Arial" w:eastAsia="Arial" w:hAnsi="Arial"/>
          <w:color w:val="2D3748"/>
          <w:sz w:val="21"/>
          <w:szCs w:val="21"/>
        </w:rPr>
        <w:t xml:space="preserve">Lead with a specific, recent SRA update and what it means for the recipient’s firm. Not generic compliance pitch.</w:t>
      </w:r>
    </w:p>
    <w:p>
      <w:pPr>
        <w:spacing w:after="160" w:line="276"/>
      </w:pPr>
      <w:r>
        <w:rPr>
          <w:rFonts w:ascii="Arial" w:cs="Arial" w:eastAsia="Arial" w:hAnsi="Arial"/>
          <w:b/>
          <w:bCs/>
          <w:color w:val="2D3748"/>
          <w:sz w:val="21"/>
          <w:szCs w:val="21"/>
        </w:rPr>
        <w:t xml:space="preserve">Growth: </w:t>
      </w:r>
      <w:r>
        <w:rPr>
          <w:rFonts w:ascii="Arial" w:cs="Arial" w:eastAsia="Arial" w:hAnsi="Arial"/>
          <w:color w:val="2D3748"/>
          <w:sz w:val="21"/>
          <w:szCs w:val="21"/>
        </w:rPr>
        <w:t xml:space="preserve">LinkedIn content marketing (public SRA update analysis), referrals, Law Society events, Legal Futures, Law Society Gazette, compliance webinars.</w:t>
      </w:r>
    </w:p>
    <w:p>
      <w:pPr>
        <w:spacing w:after="160" w:line="276"/>
      </w:pPr>
      <w:r>
        <w:rPr>
          <w:rFonts w:ascii="Arial" w:cs="Arial" w:eastAsia="Arial" w:hAnsi="Arial"/>
          <w:b/>
          <w:bCs/>
          <w:color w:val="2D3748"/>
          <w:sz w:val="21"/>
          <w:szCs w:val="21"/>
        </w:rPr>
        <w:t xml:space="preserve">Expansion: </w:t>
      </w:r>
      <w:r>
        <w:rPr>
          <w:rFonts w:ascii="Arial" w:cs="Arial" w:eastAsia="Arial" w:hAnsi="Arial"/>
          <w:color w:val="2D3748"/>
          <w:sz w:val="21"/>
          <w:szCs w:val="21"/>
        </w:rPr>
        <w:t xml:space="preserve">Second regulator from month 12 (FCA or ICAEW).</w:t>
      </w:r>
    </w:p>
    <w:p>
      <w:pPr>
        <w:pBdr>
          <w:bottom w:val="single" w:color="F0F4F8" w:sz="4" w:space="1"/>
        </w:pBdr>
        <w:spacing w:after="240" w:before="240"/>
      </w:pPr>
    </w:p>
    <w:p>
      <w:pPr>
        <w:pStyle w:val="Heading1"/>
      </w:pPr>
      <w:r>
        <w:t xml:space="preserve">3. Technical Specification for Build</w:t>
      </w:r>
    </w:p>
    <w:p>
      <w:pPr>
        <w:pStyle w:val="Heading2"/>
      </w:pPr>
      <w:r>
        <w:t xml:space="preserve">3.1 Stack</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Frontend</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React (SPA)</w:t>
            </w:r>
          </w:p>
        </w:tc>
      </w:tr>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Backend</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Node.js API</w:t>
            </w:r>
          </w:p>
        </w:tc>
      </w:tr>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Database</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PostgreSQL</w:t>
            </w:r>
          </w:p>
        </w:tc>
      </w:tr>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Hosting</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Railway or Render</w:t>
            </w:r>
          </w:p>
        </w:tc>
      </w:tr>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Auth</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Email/password + magic link</w:t>
            </w:r>
          </w:p>
        </w:tc>
      </w:tr>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Payments</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Stripe (subscription billing)</w:t>
            </w:r>
          </w:p>
        </w:tc>
      </w:tr>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Scraping</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Puppeteer or similar, targeting sra.org.uk. Scheduled serverless function or cron (minimum 2x daily).</w:t>
            </w:r>
          </w:p>
        </w:tc>
      </w:tr>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Email</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Transactional email service (e.g., Resend, Postmark) for alerts and digests</w:t>
            </w:r>
          </w:p>
        </w:tc>
      </w:tr>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LLM Tooling</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Anthropic API for editorial draft assistance (human review before publish)</w:t>
            </w:r>
          </w:p>
        </w:tc>
      </w:tr>
    </w:tbl>
    <w:p>
      <w:pPr>
        <w:pStyle w:val="Heading2"/>
      </w:pPr>
      <w:r>
        <w:t xml:space="preserve">3.2 V1 Dashboard Features to Build</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Action Centre</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Top panel. Outstanding actions ordered by urgency. Each has: deadline, plain-English summary, status (not started / in progress / complete). Derived from regulatory updates, filtered to firm profile.</w:t>
            </w:r>
          </w:p>
        </w:tc>
      </w:tr>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Regulatory Feed</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Chronological feed of SRA updates relevant to the firm. Each tagged with: impact level (high/medium/low/info), affected practice areas, firm size relevance. Includes summary + link to SRA source.</w:t>
            </w:r>
          </w:p>
        </w:tc>
      </w:tr>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Firm Profile</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Setup wizard on onboarding. Fields: practice areas (multi-select), firm size, role types, regulatory interests. Drives all filtering.</w:t>
            </w:r>
          </w:p>
        </w:tc>
      </w:tr>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Deadline Tracker</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Calendar view. All upcoming regulatory deadlines + consultation closing dates. Colour-coded by urgency. Filterable by category.</w:t>
            </w:r>
          </w:p>
        </w:tc>
      </w:tr>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Compliance Score</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Visual indicator: % of actions completed vs total outstanding. Real-time update as actions are marked complete.</w:t>
            </w:r>
          </w:p>
        </w:tc>
      </w:tr>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Email Alerts</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Configurable: high-priority updates, approaching deadlines, weekly digest. Per-user frequency settings.</w:t>
            </w:r>
          </w:p>
        </w:tc>
      </w:tr>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Admin Panel</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Internal only (not customer-facing). For processing raw SRA updates into structured format: summary, impact tags, action items, deadlines, urgency, cross-references.</w:t>
            </w:r>
          </w:p>
        </w:tc>
      </w:tr>
    </w:tbl>
    <w:p>
      <w:pPr>
        <w:pStyle w:val="Heading2"/>
      </w:pPr>
      <w:r>
        <w:t xml:space="preserve">3.3 Data Model (Conceptual)</w:t>
      </w:r>
    </w:p>
    <w:p>
      <w:pPr>
        <w:spacing w:after="160" w:line="276"/>
      </w:pPr>
      <w:r>
        <w:rPr>
          <w:rFonts w:ascii="Arial" w:cs="Arial" w:eastAsia="Arial" w:hAnsi="Arial"/>
          <w:color w:val="2D3748"/>
          <w:sz w:val="21"/>
          <w:szCs w:val="21"/>
        </w:rPr>
        <w:t xml:space="preserve">Core entities: Firms (profile, practice areas, size, subscription tier), Users (auth, role, notification preferences, firm association), Regulatory Updates (raw content, processed summary, impact tags, practice area tags, urgency, deadline, source URL, publication date), Actions (derived from updates, assigned to firm, status, deadline, assignee), Policies (uploaded documents, parsed text, section index — V2 prep).</w:t>
      </w:r>
    </w:p>
    <w:p>
      <w:pPr>
        <w:pStyle w:val="Heading2"/>
      </w:pPr>
      <w:r>
        <w:t xml:space="preserve">3.4 Design Principles for the Build</w:t>
      </w:r>
    </w:p>
    <w:p>
      <w:pPr>
        <w:spacing w:after="160" w:line="276"/>
      </w:pPr>
      <w:r>
        <w:rPr>
          <w:rFonts w:ascii="Arial" w:cs="Arial" w:eastAsia="Arial" w:hAnsi="Arial"/>
          <w:b/>
          <w:bCs/>
          <w:color w:val="2D3748"/>
          <w:sz w:val="21"/>
          <w:szCs w:val="21"/>
        </w:rPr>
        <w:t xml:space="preserve">Solo-founder stack: </w:t>
      </w:r>
      <w:r>
        <w:rPr>
          <w:rFonts w:ascii="Arial" w:cs="Arial" w:eastAsia="Arial" w:hAnsi="Arial"/>
          <w:color w:val="2D3748"/>
          <w:sz w:val="21"/>
          <w:szCs w:val="21"/>
        </w:rPr>
        <w:t xml:space="preserve">No infrastructure complexity. Everything deployable and maintainable by one person.</w:t>
      </w:r>
    </w:p>
    <w:p>
      <w:pPr>
        <w:spacing w:after="160" w:line="276"/>
      </w:pPr>
      <w:r>
        <w:rPr>
          <w:rFonts w:ascii="Arial" w:cs="Arial" w:eastAsia="Arial" w:hAnsi="Arial"/>
          <w:b/>
          <w:bCs/>
          <w:color w:val="2D3748"/>
          <w:sz w:val="21"/>
          <w:szCs w:val="21"/>
        </w:rPr>
        <w:t xml:space="preserve">Dark, minimal aesthetic: </w:t>
      </w:r>
      <w:r>
        <w:rPr>
          <w:rFonts w:ascii="Arial" w:cs="Arial" w:eastAsia="Arial" w:hAnsi="Arial"/>
          <w:color w:val="2D3748"/>
          <w:sz w:val="21"/>
          <w:szCs w:val="21"/>
        </w:rPr>
        <w:t xml:space="preserve">Consistent with Alex’s preference across LRARE products (Receipt, SQEz). Use the Vara brand colours and typography.</w:t>
      </w:r>
    </w:p>
    <w:p>
      <w:pPr>
        <w:spacing w:after="160" w:line="276"/>
      </w:pPr>
      <w:r>
        <w:rPr>
          <w:rFonts w:ascii="Arial" w:cs="Arial" w:eastAsia="Arial" w:hAnsi="Arial"/>
          <w:b/>
          <w:bCs/>
          <w:color w:val="2D3748"/>
          <w:sz w:val="21"/>
          <w:szCs w:val="21"/>
        </w:rPr>
        <w:t xml:space="preserve">Speed over perfection: </w:t>
      </w:r>
      <w:r>
        <w:rPr>
          <w:rFonts w:ascii="Arial" w:cs="Arial" w:eastAsia="Arial" w:hAnsi="Arial"/>
          <w:color w:val="2D3748"/>
          <w:sz w:val="21"/>
          <w:szCs w:val="21"/>
        </w:rPr>
        <w:t xml:space="preserve">Ship fast, iterate. V1 wins on editorial quality, not feature completeness.</w:t>
      </w:r>
    </w:p>
    <w:p>
      <w:pPr>
        <w:spacing w:after="160" w:line="276"/>
      </w:pPr>
      <w:r>
        <w:rPr>
          <w:rFonts w:ascii="Arial" w:cs="Arial" w:eastAsia="Arial" w:hAnsi="Arial"/>
          <w:b/>
          <w:bCs/>
          <w:color w:val="2D3748"/>
          <w:sz w:val="21"/>
          <w:szCs w:val="21"/>
        </w:rPr>
        <w:t xml:space="preserve">Mobile-responsive but desktop-first: </w:t>
      </w:r>
      <w:r>
        <w:rPr>
          <w:rFonts w:ascii="Arial" w:cs="Arial" w:eastAsia="Arial" w:hAnsi="Arial"/>
          <w:color w:val="2D3748"/>
          <w:sz w:val="21"/>
          <w:szCs w:val="21"/>
        </w:rPr>
        <w:t xml:space="preserve">COLPs primarily access from office desktops. Mobile is secondary but must work.</w:t>
      </w:r>
    </w:p>
    <w:p>
      <w:pPr>
        <w:pBdr>
          <w:bottom w:val="single" w:color="F0F4F8" w:sz="4" w:space="1"/>
        </w:pBdr>
        <w:spacing w:after="240" w:before="240"/>
      </w:pPr>
    </w:p>
    <w:p>
      <w:pPr>
        <w:pStyle w:val="Heading1"/>
      </w:pPr>
      <w:r>
        <w:t xml:space="preserve">4. Roadmap (18 Months)</w:t>
      </w:r>
    </w:p>
    <w:p>
      <w:pPr>
        <w:spacing w:after="160" w:line="276"/>
      </w:pPr>
      <w:r>
        <w:rPr>
          <w:rFonts w:ascii="Arial" w:cs="Arial" w:eastAsia="Arial" w:hAnsi="Arial"/>
          <w:color w:val="2D3748"/>
          <w:sz w:val="21"/>
          <w:szCs w:val="21"/>
        </w:rPr>
        <w:t xml:space="preserve">Six phases. The new account will be picking up at the start of Phase 1.</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Phase 1 (Months 1–2)</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Foundation: core platform, firm profiles, SRA scraper, admin panel, domain + branding.</w:t>
            </w:r>
          </w:p>
        </w:tc>
      </w:tr>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Phase 2 (Month 3)</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MVP Launch: dashboard V1, email alerts, closed beta with 20–30 firms.</w:t>
            </w:r>
          </w:p>
        </w:tc>
      </w:tr>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Phase 3 (Months 4–6)</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Revenue: public launch, action tracking, policy upload prep. Target: 50 paying firms.</w:t>
            </w:r>
          </w:p>
        </w:tc>
      </w:tr>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Phase 4 (Months 7–9)</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Policy Intelligence: RAG-powered policy checker, policy alerts, compliance reports. Target: 150+ firms.</w:t>
            </w:r>
          </w:p>
        </w:tc>
      </w:tr>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Phase 5 (Months 10–14)</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Scale: multi-user accounts, archive, analytics, integration prep. Target: 400+ firms, ~£500k ARR.</w:t>
            </w:r>
          </w:p>
        </w:tc>
      </w:tr>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Phase 6 (Months 15–18)</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Expand: second regulator (FCA/ICAEW), policy templates, consultation tracker. Target: 800+ firms, ~£1m ARR.</w:t>
            </w:r>
          </w:p>
        </w:tc>
      </w:tr>
    </w:tbl>
    <w:p>
      <w:pPr>
        <w:pBdr>
          <w:bottom w:val="single" w:color="F0F4F8" w:sz="4" w:space="1"/>
        </w:pBdr>
        <w:spacing w:after="240" w:before="240"/>
      </w:pPr>
    </w:p>
    <w:p>
      <w:pPr>
        <w:pStyle w:val="Heading1"/>
      </w:pPr>
      <w:r>
        <w:t xml:space="preserve">5. Operating Values</w:t>
      </w:r>
    </w:p>
    <w:p>
      <w:pPr>
        <w:spacing w:after="160" w:line="276"/>
      </w:pPr>
      <w:r>
        <w:rPr>
          <w:rFonts w:ascii="Arial" w:cs="Arial" w:eastAsia="Arial" w:hAnsi="Arial"/>
          <w:color w:val="2D3748"/>
          <w:sz w:val="21"/>
          <w:szCs w:val="21"/>
        </w:rPr>
        <w:t xml:space="preserve">These guide every product and content decision.</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Clarity Over Cleverness</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Every feature, content piece, and communication should reduce confusion. Plain English over jargon. Action items over commentary. Relevance filtering over information overload.</w:t>
            </w:r>
          </w:p>
        </w:tc>
      </w:tr>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Accuracy Is Non-Negotiable</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Users make compliance decisions based on Vara’s output. Every interpretation is human-reviewed. We never speculate or overstate implications.</w:t>
            </w:r>
          </w:p>
        </w:tc>
      </w:tr>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Respect the COLP’s Time</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The target user is a fee-earner doing compliance on the side. Every interaction must be fast. No busywork. No irrelevant content.</w:t>
            </w:r>
          </w:p>
        </w:tc>
      </w:tr>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Earn Trust Through Consistency</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Every update processed on time. Every action item accurate. Every alert delivered as expected. No trend-chasing or impulsive changes.</w:t>
            </w:r>
          </w:p>
        </w:tc>
      </w:tr>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Build in Public, Learn from Users</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Solo-founder product. Share progress. Listen to feedback. Iterate quickly. Early adopters are partners, not just customers.</w:t>
            </w:r>
          </w:p>
        </w:tc>
      </w:tr>
    </w:tbl>
    <w:p>
      <w:pPr>
        <w:pBdr>
          <w:bottom w:val="single" w:color="F0F4F8" w:sz="4" w:space="1"/>
        </w:pBdr>
        <w:spacing w:after="240" w:before="240"/>
      </w:pPr>
    </w:p>
    <w:p>
      <w:pPr>
        <w:pStyle w:val="Heading1"/>
      </w:pPr>
      <w:r>
        <w:t xml:space="preserve">6. Competitive Context</w:t>
      </w:r>
    </w:p>
    <w:p>
      <w:pPr>
        <w:spacing w:after="160" w:line="276"/>
      </w:pPr>
      <w:r>
        <w:rPr>
          <w:rFonts w:ascii="Arial" w:cs="Arial" w:eastAsia="Arial" w:hAnsi="Arial"/>
          <w:color w:val="2D3748"/>
          <w:sz w:val="21"/>
          <w:szCs w:val="21"/>
        </w:rPr>
        <w:t xml:space="preserve">No direct competitor exists. Adjacent players include:</w:t>
      </w:r>
    </w:p>
    <w:p>
      <w:pPr>
        <w:spacing w:after="160" w:line="276"/>
      </w:pPr>
      <w:r>
        <w:rPr>
          <w:rFonts w:ascii="Arial" w:cs="Arial" w:eastAsia="Arial" w:hAnsi="Arial"/>
          <w:b/>
          <w:bCs/>
          <w:color w:val="2D3748"/>
          <w:sz w:val="21"/>
          <w:szCs w:val="21"/>
        </w:rPr>
        <w:t xml:space="preserve">Compliance consultancies (Briefed, Teal Compliance): </w:t>
      </w:r>
      <w:r>
        <w:rPr>
          <w:rFonts w:ascii="Arial" w:cs="Arial" w:eastAsia="Arial" w:hAnsi="Arial"/>
          <w:color w:val="2D3748"/>
          <w:sz w:val="21"/>
          <w:szCs w:val="21"/>
        </w:rPr>
        <w:t xml:space="preserve">Expensive, people-intensive, focused on training/audits not real-time monitoring. Vara complements them.</w:t>
      </w:r>
    </w:p>
    <w:p>
      <w:pPr>
        <w:spacing w:after="160" w:line="276"/>
      </w:pPr>
      <w:r>
        <w:rPr>
          <w:rFonts w:ascii="Arial" w:cs="Arial" w:eastAsia="Arial" w:hAnsi="Arial"/>
          <w:b/>
          <w:bCs/>
          <w:color w:val="2D3748"/>
          <w:sz w:val="21"/>
          <w:szCs w:val="21"/>
        </w:rPr>
        <w:t xml:space="preserve">Legal news (Law Society Gazette, Legal Futures): </w:t>
      </w:r>
      <w:r>
        <w:rPr>
          <w:rFonts w:ascii="Arial" w:cs="Arial" w:eastAsia="Arial" w:hAnsi="Arial"/>
          <w:color w:val="2D3748"/>
          <w:sz w:val="21"/>
          <w:szCs w:val="21"/>
        </w:rPr>
        <w:t xml:space="preserve">Informational, not operational. No firm-specific filtering, no action items, no compliance tracking.</w:t>
      </w:r>
    </w:p>
    <w:p>
      <w:pPr>
        <w:spacing w:after="160" w:line="276"/>
      </w:pPr>
      <w:r>
        <w:rPr>
          <w:rFonts w:ascii="Arial" w:cs="Arial" w:eastAsia="Arial" w:hAnsi="Arial"/>
          <w:b/>
          <w:bCs/>
          <w:color w:val="2D3748"/>
          <w:sz w:val="21"/>
          <w:szCs w:val="21"/>
        </w:rPr>
        <w:t xml:space="preserve">Enterprise GRC (RuleWise, SAP Ariba): </w:t>
      </w:r>
      <w:r>
        <w:rPr>
          <w:rFonts w:ascii="Arial" w:cs="Arial" w:eastAsia="Arial" w:hAnsi="Arial"/>
          <w:color w:val="2D3748"/>
          <w:sz w:val="21"/>
          <w:szCs w:val="21"/>
        </w:rPr>
        <w:t xml:space="preserve">Priced for multinationals (£10k+/yr). Massively over-scoped for a 15-person firm.</w:t>
      </w:r>
    </w:p>
    <w:p>
      <w:pPr>
        <w:spacing w:after="160" w:line="276"/>
      </w:pPr>
      <w:r>
        <w:rPr>
          <w:rFonts w:ascii="Arial" w:cs="Arial" w:eastAsia="Arial" w:hAnsi="Arial"/>
          <w:b/>
          <w:bCs/>
          <w:color w:val="2D3748"/>
          <w:sz w:val="21"/>
          <w:szCs w:val="21"/>
        </w:rPr>
        <w:t xml:space="preserve">Generic newsletters/SRA emails: </w:t>
      </w:r>
      <w:r>
        <w:rPr>
          <w:rFonts w:ascii="Arial" w:cs="Arial" w:eastAsia="Arial" w:hAnsi="Arial"/>
          <w:color w:val="2D3748"/>
          <w:sz w:val="21"/>
          <w:szCs w:val="21"/>
        </w:rPr>
        <w:t xml:space="preserve">Unfiltered, unstructured, create more reading not less.</w:t>
      </w:r>
    </w:p>
    <w:p>
      <w:pPr>
        <w:spacing w:after="160" w:line="276"/>
      </w:pPr>
      <w:r>
        <w:rPr>
          <w:rFonts w:ascii="Arial" w:cs="Arial" w:eastAsia="Arial" w:hAnsi="Arial"/>
          <w:color w:val="2D3748"/>
          <w:sz w:val="21"/>
          <w:szCs w:val="21"/>
        </w:rPr>
        <w:t xml:space="preserve">Vara is the only product that ingests SRA output, interprets it by firm type, and delivers structured action items through a COLP-specific dashboard.</w:t>
      </w:r>
    </w:p>
    <w:p>
      <w:pPr>
        <w:pBdr>
          <w:bottom w:val="single" w:color="F0F4F8" w:sz="4" w:space="1"/>
        </w:pBdr>
        <w:spacing w:after="240" w:before="240"/>
      </w:pPr>
    </w:p>
    <w:p>
      <w:pPr>
        <w:pStyle w:val="Heading1"/>
      </w:pPr>
      <w:r>
        <w:t xml:space="preserve">7. Documents Already Produced</w:t>
      </w:r>
    </w:p>
    <w:p>
      <w:pPr>
        <w:spacing w:after="160" w:line="276"/>
      </w:pPr>
      <w:r>
        <w:rPr>
          <w:rFonts w:ascii="Arial" w:cs="Arial" w:eastAsia="Arial" w:hAnsi="Arial"/>
          <w:color w:val="2D3748"/>
          <w:sz w:val="21"/>
          <w:szCs w:val="21"/>
        </w:rPr>
        <w:t xml:space="preserve">The following documents were created during the planning phase. Alex has copies of all of them.</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vara-product-brief.docx</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Full V1 product specification + 18-month development roadmap. The original planning document.</w:t>
            </w:r>
          </w:p>
        </w:tc>
      </w:tr>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vara-brand-guidelines.docx</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External brand guidelines for partners and press. Logo rules, colours, typography, social media application.</w:t>
            </w:r>
          </w:p>
        </w:tc>
      </w:tr>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vara-brand-guide.jsx</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Interactive internal brand guide (React component). Seven-tabbed reference with logo system, colour swatches, typography scale, usage rules, social media mockups.</w:t>
            </w:r>
          </w:p>
        </w:tc>
      </w:tr>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vara-brand-identity.jsx</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Logo concept explorer showing five identity directions. “The Mark” was selected.</w:t>
            </w:r>
          </w:p>
        </w:tc>
      </w:tr>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vara-logo-concepts.jsx</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Initial font/wordmark exploration (five options). Led to selection of Clash Display.</w:t>
            </w:r>
          </w:p>
        </w:tc>
      </w:tr>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vara-company-profile.docx</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Comprehensive company profile — single source of truth covering who, what, how, values, roadmap, metrics, risks, competition, and vision.</w:t>
            </w:r>
          </w:p>
        </w:tc>
      </w:tr>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This document</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Transition/handoff document for the new Claude Pro account.</w:t>
            </w:r>
          </w:p>
        </w:tc>
      </w:tr>
    </w:tbl>
    <w:p>
      <w:pPr>
        <w:pBdr>
          <w:bottom w:val="single" w:color="F0F4F8" w:sz="4" w:space="1"/>
        </w:pBdr>
        <w:spacing w:after="240" w:before="240"/>
      </w:pPr>
    </w:p>
    <w:p>
      <w:pPr>
        <w:pStyle w:val="Heading1"/>
      </w:pPr>
      <w:r>
        <w:t xml:space="preserve">8. Immediate Next Steps</w:t>
      </w:r>
    </w:p>
    <w:p>
      <w:pPr>
        <w:spacing w:after="160" w:line="276"/>
      </w:pPr>
      <w:r>
        <w:rPr>
          <w:rFonts w:ascii="Arial" w:cs="Arial" w:eastAsia="Arial" w:hAnsi="Arial"/>
          <w:color w:val="2D3748"/>
          <w:sz w:val="21"/>
          <w:szCs w:val="21"/>
        </w:rPr>
        <w:t xml:space="preserve">When Alex opens the new Claude Pro account, the first conversation should pick up here. The planning is done. It’s time to build.</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6B4A" w:sz="4"/>
              <w:left w:val="single" w:color="E2E8F0" w:sz="1"/>
              <w:bottom w:val="single" w:color="E2E8F0" w:sz="1"/>
              <w:right w:val="single" w:color="E2E8F0" w:sz="1"/>
            </w:tcBorders>
            <w:shd w:fill="F9FAFB" w:val="clear"/>
            <w:tcMar>
              <w:top w:type="dxa" w:w="140"/>
              <w:left w:type="dxa" w:w="180"/>
              <w:bottom w:type="dxa" w:w="140"/>
              <w:right w:type="dxa" w:w="180"/>
            </w:tcMar>
          </w:tcPr>
          <w:p>
            <w:pPr>
              <w:spacing w:after="80"/>
            </w:pPr>
            <w:r>
              <w:rPr>
                <w:rFonts w:ascii="Arial" w:cs="Arial" w:eastAsia="Arial" w:hAnsi="Arial"/>
                <w:b/>
                <w:bCs/>
                <w:color w:val="0F1923"/>
                <w:sz w:val="22"/>
                <w:szCs w:val="22"/>
              </w:rPr>
              <w:t xml:space="preserve">Priority 1: Domain &amp; Infrastructure</w:t>
            </w:r>
          </w:p>
          <w:p>
            <w:pPr>
              <w:spacing w:line="276"/>
            </w:pPr>
            <w:r>
              <w:rPr>
                <w:rFonts w:ascii="Arial" w:cs="Arial" w:eastAsia="Arial" w:hAnsi="Arial"/>
                <w:color w:val="2D3748"/>
                <w:sz w:val="20"/>
                <w:szCs w:val="20"/>
              </w:rPr>
              <w:t xml:space="preserve">Confirm and register getvara.co.uk (and getvara.com if available). Set up the project repository. Initialise the React frontend and Node.js backend. Deploy a placeholder landing page with the Vara brand, tagline, and email capture form for early interest.</w:t>
            </w:r>
          </w:p>
        </w:tc>
      </w:tr>
    </w:tbl>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5C542" w:sz="4"/>
              <w:left w:val="single" w:color="E2E8F0" w:sz="1"/>
              <w:bottom w:val="single" w:color="E2E8F0" w:sz="1"/>
              <w:right w:val="single" w:color="E2E8F0" w:sz="1"/>
            </w:tcBorders>
            <w:shd w:fill="F9FAFB" w:val="clear"/>
            <w:tcMar>
              <w:top w:type="dxa" w:w="140"/>
              <w:left w:type="dxa" w:w="180"/>
              <w:bottom w:type="dxa" w:w="140"/>
              <w:right w:type="dxa" w:w="180"/>
            </w:tcMar>
          </w:tcPr>
          <w:p>
            <w:pPr>
              <w:spacing w:after="80"/>
            </w:pPr>
            <w:r>
              <w:rPr>
                <w:rFonts w:ascii="Arial" w:cs="Arial" w:eastAsia="Arial" w:hAnsi="Arial"/>
                <w:b/>
                <w:bCs/>
                <w:color w:val="0F1923"/>
                <w:sz w:val="22"/>
                <w:szCs w:val="22"/>
              </w:rPr>
              <w:t xml:space="preserve">Priority 2: Core Platform</w:t>
            </w:r>
          </w:p>
          <w:p>
            <w:pPr>
              <w:spacing w:line="276"/>
            </w:pPr>
            <w:r>
              <w:rPr>
                <w:rFonts w:ascii="Arial" w:cs="Arial" w:eastAsia="Arial" w:hAnsi="Arial"/>
                <w:color w:val="2D3748"/>
                <w:sz w:val="20"/>
                <w:szCs w:val="20"/>
              </w:rPr>
              <w:t xml:space="preserve">Build authentication (email/password + magic link), firm onboarding wizard (practice areas, size, role types), and the basic dashboard shell with the Action Centre, Regulatory Feed, Deadline Tracker, and Compliance Score panels. Stripe subscription billing integration.</w:t>
            </w:r>
          </w:p>
        </w:tc>
      </w:tr>
    </w:tbl>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D7FF9" w:sz="4"/>
              <w:left w:val="single" w:color="E2E8F0" w:sz="1"/>
              <w:bottom w:val="single" w:color="E2E8F0" w:sz="1"/>
              <w:right w:val="single" w:color="E2E8F0" w:sz="1"/>
            </w:tcBorders>
            <w:shd w:fill="F9FAFB" w:val="clear"/>
            <w:tcMar>
              <w:top w:type="dxa" w:w="140"/>
              <w:left w:type="dxa" w:w="180"/>
              <w:bottom w:type="dxa" w:w="140"/>
              <w:right w:type="dxa" w:w="180"/>
            </w:tcMar>
          </w:tcPr>
          <w:p>
            <w:pPr>
              <w:spacing w:after="80"/>
            </w:pPr>
            <w:r>
              <w:rPr>
                <w:rFonts w:ascii="Arial" w:cs="Arial" w:eastAsia="Arial" w:hAnsi="Arial"/>
                <w:b/>
                <w:bCs/>
                <w:color w:val="0F1923"/>
                <w:sz w:val="22"/>
                <w:szCs w:val="22"/>
              </w:rPr>
              <w:t xml:space="preserve">Priority 3: SRA Pipeline</w:t>
            </w:r>
          </w:p>
          <w:p>
            <w:pPr>
              <w:spacing w:line="276"/>
            </w:pPr>
            <w:r>
              <w:rPr>
                <w:rFonts w:ascii="Arial" w:cs="Arial" w:eastAsia="Arial" w:hAnsi="Arial"/>
                <w:color w:val="2D3748"/>
                <w:sz w:val="20"/>
                <w:szCs w:val="20"/>
              </w:rPr>
              <w:t xml:space="preserve">Build the scraping pipeline targeting sra.org.uk update and news pages. Scheduled runs minimum twice daily. Change detection and flagging for editorial review. Build the internal admin panel for processing raw updates into structured format.</w:t>
            </w:r>
          </w:p>
        </w:tc>
      </w:tr>
    </w:tbl>
    <w:p>
      <w:pPr>
        <w:spacing w:after="0" w:before="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4EEABC" w:sz="4"/>
              <w:left w:val="single" w:color="E2E8F0" w:sz="1"/>
              <w:bottom w:val="single" w:color="E2E8F0" w:sz="1"/>
              <w:right w:val="single" w:color="E2E8F0" w:sz="1"/>
            </w:tcBorders>
            <w:shd w:fill="F9FAFB" w:val="clear"/>
            <w:tcMar>
              <w:top w:type="dxa" w:w="140"/>
              <w:left w:type="dxa" w:w="180"/>
              <w:bottom w:type="dxa" w:w="140"/>
              <w:right w:type="dxa" w:w="180"/>
            </w:tcMar>
          </w:tcPr>
          <w:p>
            <w:pPr>
              <w:spacing w:after="80"/>
            </w:pPr>
            <w:r>
              <w:rPr>
                <w:rFonts w:ascii="Arial" w:cs="Arial" w:eastAsia="Arial" w:hAnsi="Arial"/>
                <w:b/>
                <w:bCs/>
                <w:color w:val="0F1923"/>
                <w:sz w:val="22"/>
                <w:szCs w:val="22"/>
              </w:rPr>
              <w:t xml:space="preserve">Priority 4: Email Alerts</w:t>
            </w:r>
          </w:p>
          <w:p>
            <w:pPr>
              <w:spacing w:line="276"/>
            </w:pPr>
            <w:r>
              <w:rPr>
                <w:rFonts w:ascii="Arial" w:cs="Arial" w:eastAsia="Arial" w:hAnsi="Arial"/>
                <w:color w:val="2D3748"/>
                <w:sz w:val="20"/>
                <w:szCs w:val="20"/>
              </w:rPr>
              <w:t xml:space="preserve">Transactional email system for high-priority update notifications, approaching deadline warnings, and weekly digest summaries. Configurable per-user preferences.</w:t>
            </w:r>
          </w:p>
        </w:tc>
      </w:tr>
    </w:tbl>
    <w:p>
      <w:pPr>
        <w:spacing w:after="0" w:before="200"/>
      </w:pPr>
    </w:p>
    <w:p>
      <w:pPr>
        <w:pStyle w:val="Heading1"/>
      </w:pPr>
      <w:r>
        <w:t xml:space="preserve">9. Working with Alex</w:t>
      </w:r>
    </w:p>
    <w:p>
      <w:pPr>
        <w:spacing w:after="160" w:line="276"/>
      </w:pPr>
      <w:r>
        <w:rPr>
          <w:rFonts w:ascii="Arial" w:cs="Arial" w:eastAsia="Arial" w:hAnsi="Arial"/>
          <w:color w:val="2D3748"/>
          <w:sz w:val="21"/>
          <w:szCs w:val="21"/>
        </w:rPr>
        <w:t xml:space="preserve">Context for the new account on how Alex works and what to expect.</w:t>
      </w:r>
    </w:p>
    <w:p>
      <w:pPr>
        <w:spacing w:after="0" w:before="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Role</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Solo founder. Does everything: product, code, design, content, marketing.</w:t>
            </w:r>
          </w:p>
        </w:tc>
      </w:tr>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Background</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Law student at Northumbria University. Runs LRARE Holdings with multiple products (SQEz, Receipt, Vara). Strong understanding of legal sector.</w:t>
            </w:r>
          </w:p>
        </w:tc>
      </w:tr>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Design preference</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Dark, minimal aesthetic. Consistent across all LRARE products. Prefers clean, professional, no gimmicks.</w:t>
            </w:r>
          </w:p>
        </w:tc>
      </w:tr>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Communication style</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Direct and decisive. Gives clear feedback. Will push back on ideas that don’t feel right. Responds well to concrete recommendations over open-ended options.</w:t>
            </w:r>
          </w:p>
        </w:tc>
      </w:tr>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Build preference</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Speed to market. Ship fast, iterate. Solo-buildable products with fast GTM. Community-driven and direct-outreach marketing.</w:t>
            </w:r>
          </w:p>
        </w:tc>
      </w:tr>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Location</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Newcastle upon Tyne, UK. GMT timezone.</w:t>
            </w:r>
          </w:p>
        </w:tc>
      </w:tr>
      <w:tr>
        <w:tc>
          <w:tcPr>
            <w:tcW w:type="dxa" w:w="2800"/>
            <w:tcBorders>
              <w:top w:val="none" w:sz="0"/>
              <w:left w:val="none" w:sz="0"/>
              <w:bottom w:val="single" w:color="E2E8F0" w:sz="1"/>
              <w:right w:val="none" w:sz="0"/>
            </w:tcBorders>
            <w:shd w:fill="F9FAFB" w:val="clear"/>
            <w:tcMar>
              <w:top w:type="dxa" w:w="100"/>
              <w:left w:type="dxa" w:w="140"/>
              <w:bottom w:type="dxa" w:w="100"/>
              <w:right w:type="dxa" w:w="140"/>
            </w:tcMar>
          </w:tcPr>
          <w:p>
            <w:r>
              <w:rPr>
                <w:rFonts w:ascii="Arial" w:cs="Arial" w:eastAsia="Arial" w:hAnsi="Arial"/>
                <w:b/>
                <w:bCs/>
                <w:color w:val="0F1923"/>
                <w:sz w:val="20"/>
                <w:szCs w:val="20"/>
              </w:rPr>
              <w:t xml:space="preserve">Other context</w:t>
            </w:r>
          </w:p>
        </w:tc>
        <w:tc>
          <w:tcPr>
            <w:tcW w:type="dxa" w:w="6226"/>
            <w:tcBorders>
              <w:top w:val="none" w:sz="0"/>
              <w:left w:val="none" w:sz="0"/>
              <w:bottom w:val="single" w:color="E2E8F0" w:sz="1"/>
              <w:right w:val="none" w:sz="0"/>
            </w:tcBorders>
            <w:tcMar>
              <w:top w:type="dxa" w:w="100"/>
              <w:left w:type="dxa" w:w="140"/>
              <w:bottom w:type="dxa" w:w="100"/>
              <w:right w:type="dxa" w:w="140"/>
            </w:tcMar>
          </w:tcPr>
          <w:p>
            <w:pPr>
              <w:spacing w:line="264"/>
            </w:pPr>
            <w:r>
              <w:rPr>
                <w:rFonts w:ascii="Arial" w:cs="Arial" w:eastAsia="Arial" w:hAnsi="Arial"/>
                <w:color w:val="2D3748"/>
                <w:sz w:val="20"/>
                <w:szCs w:val="20"/>
              </w:rPr>
              <w:t xml:space="preserve">Simultaneously studying law (Tort Law, Human Rights) and building products. Time is extremely limited. Every interaction should be efficient and output-focused.</w:t>
            </w:r>
          </w:p>
        </w:tc>
      </w:tr>
    </w:tbl>
    <w:p>
      <w:pPr>
        <w:pBdr>
          <w:bottom w:val="single" w:color="F0F4F8" w:sz="4" w:space="1"/>
        </w:pBdr>
        <w:spacing w:after="240" w:before="240"/>
      </w:pPr>
    </w:p>
    <w:p>
      <w:pPr>
        <w:spacing w:after="0" w:before="200"/>
      </w:pPr>
    </w:p>
    <w:p>
      <w:pPr>
        <w:jc w:val="center"/>
      </w:pPr>
      <w:r>
        <w:rPr>
          <w:rFonts w:ascii="Arial" w:cs="Arial" w:eastAsia="Arial" w:hAnsi="Arial"/>
          <w:b/>
          <w:bCs/>
          <w:color w:val="0F1923"/>
          <w:sz w:val="32"/>
          <w:szCs w:val="32"/>
        </w:rPr>
        <w:t xml:space="preserve">VARA</w:t>
      </w:r>
    </w:p>
    <w:p>
      <w:pPr>
        <w:spacing w:after="40"/>
        <w:jc w:val="center"/>
      </w:pPr>
      <w:r>
        <w:rPr>
          <w:rFonts w:ascii="Arial" w:cs="Arial" w:eastAsia="Arial" w:hAnsi="Arial"/>
          <w:i/>
          <w:iCs/>
          <w:color w:val="2D7FF9"/>
          <w:sz w:val="22"/>
          <w:szCs w:val="22"/>
        </w:rPr>
        <w:t xml:space="preserve">Regulation, decoded.</w:t>
      </w:r>
    </w:p>
    <w:p>
      <w:pPr>
        <w:spacing w:after="0" w:before="60"/>
      </w:pPr>
    </w:p>
    <w:p>
      <w:pPr>
        <w:jc w:val="center"/>
      </w:pPr>
      <w:r>
        <w:rPr>
          <w:rFonts w:ascii="Arial" w:cs="Arial" w:eastAsia="Arial" w:hAnsi="Arial"/>
          <w:color w:val="64748B"/>
          <w:sz w:val="20"/>
          <w:szCs w:val="20"/>
        </w:rPr>
        <w:t xml:space="preserve">Ready to build.</w:t>
      </w:r>
    </w:p>
    <w:p>
      <w:pPr>
        <w:spacing w:after="0" w:before="100"/>
      </w:pPr>
    </w:p>
    <w:p>
      <w:pPr>
        <w:jc w:val="center"/>
      </w:pPr>
      <w:r>
        <w:rPr>
          <w:rFonts w:ascii="Arial" w:cs="Arial" w:eastAsia="Arial" w:hAnsi="Arial"/>
          <w:i/>
          <w:iCs/>
          <w:color w:val="64748B"/>
          <w:sz w:val="18"/>
          <w:szCs w:val="18"/>
        </w:rPr>
        <w:t xml:space="preserve">— End of Transition Document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Vara Transition Document  |  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2D7FF9"/>
        <w:sz w:val="16"/>
        <w:szCs w:val="16"/>
      </w:rPr>
      <w:t xml:space="preserve">VARA</w:t>
    </w:r>
    <w:r>
      <w:rPr>
        <w:rFonts w:ascii="Arial" w:cs="Arial" w:eastAsia="Arial" w:hAnsi="Arial"/>
        <w:color w:val="64748B"/>
        <w:sz w:val="16"/>
        <w:szCs w:val="16"/>
      </w:rPr>
      <w:t xml:space="preserve">  |  Transition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1923"/>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D7FF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2026-03-05T14:23:00.016Z</dcterms:created>
  <dcterms:modified xsi:type="dcterms:W3CDTF">2026-03-05T14:23:00.016Z</dcterms:modified>
</cp:coreProperties>
</file>

<file path=docProps/custom.xml><?xml version="1.0" encoding="utf-8"?>
<Properties xmlns="http://schemas.openxmlformats.org/officeDocument/2006/custom-properties" xmlns:vt="http://schemas.openxmlformats.org/officeDocument/2006/docPropsVTypes"/>
</file>