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Recomendações Gerais do CERD - Parágrafos importantes</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Este documento contém os parágrafos principais das recomendações gerais do CERD, a serem tomados como parâmetros de pesquisa pela equipe.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line="360" w:lineRule="auto"/>
        <w:jc w:val="both"/>
        <w:rPr/>
      </w:pPr>
      <w:bookmarkStart w:colFirst="0" w:colLast="0" w:name="_mm895fn6xitq" w:id="0"/>
      <w:bookmarkEnd w:id="0"/>
      <w:r w:rsidDel="00000000" w:rsidR="00000000" w:rsidRPr="00000000">
        <w:rPr>
          <w:rtl w:val="0"/>
        </w:rPr>
        <w:t xml:space="preserve">Declaração de Durban (2002)</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Declaração: </w:t>
      </w:r>
      <w:hyperlink r:id="rId6">
        <w:r w:rsidDel="00000000" w:rsidR="00000000" w:rsidRPr="00000000">
          <w:rPr>
            <w:rFonts w:ascii="Times New Roman" w:cs="Times New Roman" w:eastAsia="Times New Roman" w:hAnsi="Times New Roman"/>
            <w:color w:val="0000ee"/>
            <w:sz w:val="24"/>
            <w:szCs w:val="24"/>
            <w:u w:val="single"/>
            <w:rtl w:val="0"/>
          </w:rPr>
          <w:t xml:space="preserve">ONU. Declaração e Plano de Ação de Durban_en (2002).pdf</w:t>
        </w:r>
      </w:hyperlink>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114. We recognize the paramount role of parliaments in the fight against racism, racial discrimination, xenophobia and related intolerance in adopting appropriate legislation, overseeing its implementation and allocating the requisite financial resources.</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pStyle w:val="Heading1"/>
        <w:spacing w:line="360" w:lineRule="auto"/>
        <w:jc w:val="both"/>
        <w:rPr/>
      </w:pPr>
      <w:bookmarkStart w:colFirst="0" w:colLast="0" w:name="_cicr6j6gsv71" w:id="1"/>
      <w:bookmarkEnd w:id="1"/>
      <w:r w:rsidDel="00000000" w:rsidR="00000000" w:rsidRPr="00000000">
        <w:rPr>
          <w:rtl w:val="0"/>
        </w:rPr>
        <w:t xml:space="preserve">Plano de Ação de Durban (2002)</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do Plano de Ação: </w:t>
      </w:r>
      <w:hyperlink r:id="rId7">
        <w:r w:rsidDel="00000000" w:rsidR="00000000" w:rsidRPr="00000000">
          <w:rPr>
            <w:rFonts w:ascii="Times New Roman" w:cs="Times New Roman" w:eastAsia="Times New Roman" w:hAnsi="Times New Roman"/>
            <w:color w:val="0000ee"/>
            <w:sz w:val="24"/>
            <w:szCs w:val="24"/>
            <w:u w:val="single"/>
            <w:rtl w:val="0"/>
          </w:rPr>
          <w:t xml:space="preserve">ONU. Declaração e Plano de Ação de Durban_en (2002).pdf</w:t>
        </w:r>
      </w:hyperlink>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Urges States, as appropriate, to establish, strengthen, review and reinforce the effectiveness of independent national human rights institutions, particularly on issues of racism, racial discrimination, xenophobia and related intolerance, in conformity with the Principles relating to the status of national institutions for the promotion and protection of human rights, annexed to General Assembly resolution 48/134 of 20 December 1993, and to provide them with adequate financial resources, competence and capacity for investigation, research, education and public awareness activities to combat these phenomena.</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Urges States, where appropriate working with other relevant bodies, to commit financial resources to anti-racism education and to media campaigns promoting the values of acceptance, tolerance, diversity and respect for the cultures of all indigenous peoples living within their national borders. In particular, States should promote an accurate understanding of the histories and cultures of indigenous peoples.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sz w:val="24"/>
          <w:szCs w:val="24"/>
        </w:rPr>
      </w:pPr>
      <w:bookmarkStart w:colFirst="0" w:colLast="0" w:name="_h8ekii9vhtjj" w:id="2"/>
      <w:bookmarkEnd w:id="2"/>
      <w:r w:rsidDel="00000000" w:rsidR="00000000" w:rsidRPr="00000000">
        <w:rPr>
          <w:rtl w:val="0"/>
        </w:rPr>
        <w:t xml:space="preserve">R. G. n. 23 (1997): Direitos dos povos indígenas</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R.G.: </w:t>
      </w:r>
      <w:hyperlink r:id="rId8">
        <w:r w:rsidDel="00000000" w:rsidR="00000000" w:rsidRPr="00000000">
          <w:rPr>
            <w:rFonts w:ascii="Times New Roman" w:cs="Times New Roman" w:eastAsia="Times New Roman" w:hAnsi="Times New Roman"/>
            <w:color w:val="1155cc"/>
            <w:sz w:val="24"/>
            <w:szCs w:val="24"/>
            <w:u w:val="single"/>
            <w:rtl w:val="0"/>
          </w:rPr>
          <w:t xml:space="preserve">tbinternet.ohchr.org/_layouts/15/treatybodyexternal/Download.aspx?symbolno=INT%2FCERD%2FGEC%2F7495&amp;Lang=en</w:t>
        </w:r>
      </w:hyperlink>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Committee is conscious of the fact that in many regions of the world indigenous peoples have been, and are still being, discriminated against and deprived of their human rights and fundamental freedoms and in particular that they have lost their land and resources to colonists, commercial companies and State enterprises. Consequently, the preservation of their culture and their historical identity has been and still is jeopardized.</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The Committee calls in particular upon States parties to: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w:t>
        <w:tab/>
        <w:t xml:space="preserve">Recognize and respect indigenous distinct culture, history, language and way of life as an enrichment of the State’s cultural identity and to promote its preservation;</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Ensure that members of indigenous peoples are free and equal in dignity and rights and free from any discrimination, in particular that based on indigenous origin or identity;</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Provide indigenous peoples with conditions allowing for a sustainable economic and social development compatible with their cultural characteristics;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w:t>
        <w:tab/>
        <w:t xml:space="preserve">Ensure that members of indigenous peoples have equal rights in respect of effective participation in public life and that no decisions directly relating to their rights and interests are taken without their informed consent;</w:t>
      </w:r>
    </w:p>
    <w:p w:rsidR="00000000" w:rsidDel="00000000" w:rsidP="00000000" w:rsidRDefault="00000000" w:rsidRPr="00000000" w14:paraId="0000001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Ensure that indigenous communities can exercise their rights to practise and revitalize their cultural traditions and customs and to preserve and to practise their languages.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The Committee especially calls upon States parties to recognize and protect the rights of indigenous peoples to own, develop, control and use their communal lands, territories and resources and, where they have been deprived of their lands and territories traditionally owned or otherwise inhabited or used without their free and informed consent, to take steps to return those lands and territories. Only when this is for factual reasons not possible, the right to restitution should be substituted by the right to just, fair and prompt compensation. Such compensation should as far as possible take the form of lands and territories.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The Committee further calls upon States parties with indigenous peoples in their territories to include in their periodic reports full information on the situation of such peoples, taking into account all relevant provisions of the Convention.</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spacing w:line="360" w:lineRule="auto"/>
        <w:jc w:val="both"/>
        <w:rPr/>
      </w:pPr>
      <w:bookmarkStart w:colFirst="0" w:colLast="0" w:name="_mt95yb7vqenr" w:id="3"/>
      <w:bookmarkEnd w:id="3"/>
      <w:r w:rsidDel="00000000" w:rsidR="00000000" w:rsidRPr="00000000">
        <w:rPr>
          <w:rtl w:val="0"/>
        </w:rPr>
        <w:t xml:space="preserve">R. G. n. 31 (2005): Prevenção à discriminação racial no sistema de justiça criminal</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R.G.: </w:t>
      </w:r>
      <w:hyperlink r:id="rId9">
        <w:r w:rsidDel="00000000" w:rsidR="00000000" w:rsidRPr="00000000">
          <w:rPr>
            <w:rFonts w:ascii="Times New Roman" w:cs="Times New Roman" w:eastAsia="Times New Roman" w:hAnsi="Times New Roman"/>
            <w:color w:val="1155cc"/>
            <w:sz w:val="24"/>
            <w:szCs w:val="24"/>
            <w:u w:val="single"/>
            <w:rtl w:val="0"/>
          </w:rPr>
          <w:t xml:space="preserve">tbinternet.ohchr.org/_layouts/15/treatybodyexternal/Download.aspx?symbolno=INT%2FCERD%2FGEC%2F7503&amp;Lang=en</w:t>
        </w:r>
      </w:hyperlink>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States parties should pay the greatest attention to the following possible indicators of racial discrimination:</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w:t>
        <w:tab/>
        <w:t xml:space="preserve">The number and percentage of persons belonging to the groups referred to in the last paragraph of the preamble who are victims of aggression or other offences, especially when they are committed by police officers or other State officials; [...]</w:t>
      </w:r>
    </w:p>
    <w:p w:rsidR="00000000" w:rsidDel="00000000" w:rsidP="00000000" w:rsidRDefault="00000000" w:rsidRPr="00000000" w14:paraId="0000002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The proportionately higher crime rates attributed to persons belonging to those groups, particularly as regards petty street crime and offences related to drugs and prostitution, as indicators of the exclusion or the non‑integration of such persons into society;</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    </w:t>
        <w:tab/>
        <w:t xml:space="preserve">The number and percentage of persons belonging to those groups who are held in prison or preventive detention, including internment centres, penal establishments, psychiatric establishments or holding areas in airports;</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    </w:t>
        <w:tab/>
        <w:t xml:space="preserve">The handing down by the courts of harsher or inappropriate sentences against persons belonging to those groups;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    </w:t>
        <w:tab/>
        <w:t xml:space="preserve">The insufficient representation of persons belonging to those groups among the ranks of the police, in the system of justice, including judges and jurors, and in other law enforcement departments.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The following should be regarded as indicators of potential causes of racial discrimination:</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w:t>
        <w:tab/>
        <w:t xml:space="preserve">Any gaps in domestic legislation on racial discrimination. In this regard, States parties should fully comply with the requirements of article 4 of the Convention and criminalize all acts of racism as provided by that article, in particular the dissemination of ideas based on racial superiority or hatred, incitement to racial hatred, violence or incitement to racial violence, but also racist propaganda activities and participation in racist organizations. States parties are also encouraged to incorporate a provision in their criminal legislation to the effect that committing offences for racial reasons generally constitutes an aggravating circumstance; [...]</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States parties should pursue national strategies the objectives of which include the following:</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w:t>
        <w:tab/>
        <w:t xml:space="preserve">To eliminate laws that have an impact in terms of racial discrimination, particularly those which target certain groups indirectly by penalizing acts which can be committed only by persons belonging to such groups, or laws that apply only to non‑nationals without legitimate grounds or which do not respect the principle of proportionality;</w:t>
      </w:r>
    </w:p>
    <w:p w:rsidR="00000000" w:rsidDel="00000000" w:rsidP="00000000" w:rsidRDefault="00000000" w:rsidRPr="00000000" w14:paraId="0000002E">
      <w:pPr>
        <w:spacing w:after="24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To develop, through appropriate education programmes, training in respect for human rights, tolerance and friendship among racial or ethnic groups, as well as sensitization to intercultural relations, for law enforcement officials: police personnel, persons working in the system of justice, prison institutions, psychiatric establishments, social and medical services, etc.;</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    </w:t>
        <w:tab/>
        <w:t xml:space="preserve">To foster dialogue and cooperation between the police and judicial authorities and the representatives of the various groups referred to in the last paragraph of the preamble, in order to combat prejudice and create a relationship of trust;</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    </w:t>
        <w:tab/>
        <w:t xml:space="preserve">To promote proper representation of persons belonging to racial and ethnic groups in the police and the system of justice;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    </w:t>
        <w:tab/>
        <w:t xml:space="preserve">To ensure respect for, and recognition of the traditional systems of justice of indigenous peoples, in conformity with international human rights law;</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    </w:t>
        <w:tab/>
        <w:t xml:space="preserve">To make the necessary changes to the prison regime for prisoners belonging to the groups referred to in the last paragraph of the preamble, so as to take into account their cultural and religious practices;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t>
        <w:tab/>
        <w:t xml:space="preserve">To implement national strategies or plans of action aimed at the elimination of structural racial discrimination. These long‑term strategies should include specific objectives and actions as well as indicators against which progress can be measured. They should include, in particular, guidelines for prevention, recording, investigation and prosecution of racist or xenophobic incidents, assessment of the level of satisfaction among all communities concerning their relations with the police and the system of justice, and recruitment and promotion in the judicial system of persons belonging to various racial or ethnic groups;</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To entrust an independent national institution with the task of tracking, monitoring and measuring progress made under the national plans of action and guidelines against racial discrimination, identifying undetected manifestations of racial discrimination and submitting recommendations and proposals for improvement.</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tab/>
        <w:t xml:space="preserve">States parties should take the necessary steps to prevent questioning, arrests and searches which are in reality based solely on the physical appearance of a person, that person’s colour or features or membership of a racial or ethnic group, or any profiling which exposes him or her to greater suspicion.</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States parties should prevent and most severely punish violence, acts of torture, cruel, inhuman or degrading treatment and all violations of human rights affecting persons belonging to the groups referred to in the last paragraph of the preamble which are committed by State officials, particularly police and army personnel, customs authorities, and persons working in airports, penal institutions and social, medical and psychiatric services.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tab/>
        <w:t xml:space="preserve">Effectively guaranteeing these rights implies that States parties must set up a system under which counsel and interpreters will be assigned free of charge, together with legal help or advice and interpretation services for persons belonging to the groups referred to in the last paragraph of the preamble.</w:t>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pStyle w:val="Heading1"/>
        <w:spacing w:line="360" w:lineRule="auto"/>
        <w:jc w:val="both"/>
        <w:rPr/>
      </w:pPr>
      <w:bookmarkStart w:colFirst="0" w:colLast="0" w:name="_y60obmj81sgf" w:id="4"/>
      <w:bookmarkEnd w:id="4"/>
      <w:r w:rsidDel="00000000" w:rsidR="00000000" w:rsidRPr="00000000">
        <w:rPr>
          <w:rtl w:val="0"/>
        </w:rPr>
        <w:t xml:space="preserve">R. G. n. 34 (2011): Discriminação racial contra afrodescendentes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R.G.: </w:t>
      </w:r>
      <w:hyperlink r:id="rId10">
        <w:r w:rsidDel="00000000" w:rsidR="00000000" w:rsidRPr="00000000">
          <w:rPr>
            <w:rFonts w:ascii="Times New Roman" w:cs="Times New Roman" w:eastAsia="Times New Roman" w:hAnsi="Times New Roman"/>
            <w:color w:val="1155cc"/>
            <w:sz w:val="24"/>
            <w:szCs w:val="24"/>
            <w:u w:val="single"/>
            <w:rtl w:val="0"/>
          </w:rPr>
          <w:t xml:space="preserve">tbinternet.ohchr.org/_layouts/15/treatybodyexternal/Download.aspx?symbolno=CERD%2FC%2FGC%2F34&amp;Lang=en</w:t>
        </w:r>
      </w:hyperlink>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People of African descent live in many countries of the world, either dispersed among the local population or in communities, where they are entitled to exercise, without discrimination, individually or in community with other members of their group, as appropriate, the following specific rights: </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right to property and to the use, conservation and protection of lands traditionally occupied by them and to natural resources in cases where their ways of life and culture are linked to their utilization of lands and resources; </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right to their cultural identity, to keep, maintain and foster their mode of life and forms of organization, culture, languages and religious expressions;[...]</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(j)    </w:t>
        <w:tab/>
        <w:t xml:space="preserve">To entrust an independent national institution with the task of tracking, monitoring and measuring progress made under the national plans of action and guidelines against racial discrimination, identifying undetected manifestations of racial discrimination and submitting recommendations and proposals for improvement.</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Review and enact or amend legislation, as appropriate, in order to eliminate, in line with the Convention, all forms of racial discrimination against people of African descent. </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Review, adopt and implement national strategies and programmes with a view to improving the situation of people of African descent and protecting them against discrimination by State agencies and public officials, as well as by any persons, group or organization. </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Fully implement legislation and other measures already in place to ensure that people of African descent are not discriminated against.</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As article 4 is not self-executing, States parties are required by its terms to adopt legislation to combat racist hate speech that falls within its scope. In the light of the provisions of the Convention and the elaboration of its principles in general recommendation No. 15 and the present recommendation, the Committee recommends that the States parties declare and effectively sanction as offences punishable by law:0</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dissemination of ideas based on racial or ethnic superiority or hatred, by whatever means; </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Incitement to hatred, contempt or discrimination against members of a group on grounds of their race, colour, descent, or national or ethnic origin; </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 above; </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Threats or incitement to violence against persons or groups on the grounds in Expression of insults, ridicule or slander of persons or groups or justification of hatred, contempt or discrimination on the grounds in (b) above, when it clearly amounts to incitement to hatred or discrimination; </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Participation in organizations and activities which promote and incite racial discrimination.</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While article 4 requires that certain forms of conduct be declared offences punishable by law, it does not supply detailed guidance for the qualification of forms of conduct as criminal offences. On the qualification of dissemination and incitement as offences punishable by law, the Committee considers that the following contextual factors should be taken into account: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content and form of speech: whether the speech is provocative and direct, in what form it is constructed and disseminated, and the style in which it is delivered.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economic, social and political climate prevalent at the time the speech was made and disseminated, including the existence of patterns of discrimination against ethnic and other groups, including indigenous peoples. Discourses which in one context are innocuous or neutral may take on a dangerous significance in another: in its indicators on genocide the Committee emphasized the relevance of locality in appraising the meaning and potential effects of racist hate speech.16 </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position or status of the speaker in society and the audience to which the speech is directed. The Committee consistently draws attention to the role of politicians and other public opinion-formers in contributing to the creation of a negative climate towards groups protected by the Convention, and has encouraged such persons and bodies to adopt positive approaches directed to the promotion of intercultural understanding and harmony. The Committee is aware of the special importance of freedom of speech in political matters and also that its exercise carries with it special duties and responsibilities.</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reach of the speech, including the nature of the audience and the means of transmission: whether the speech was disseminated through mainstream media or the Internet, and the frequency and extent of the communication, in particular when repetition suggests the existence of a deliberate strategy to engender hostility towards ethnic and racial groups. </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objectives of the speech: speech protecting or defending the human rights of individuals and groups should not be subject to criminal or other sanctions.</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Educate and raise the awareness of the public on the importance of special measures (affirmative action programmes) to address the situation of victims of racial discrimination, especially discrimination as a result of historical factors”.</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tab/>
        <w:t xml:space="preserve">States Parties should mainstream migration and cultural diversity, taking a rights-based and holistic approach, into education curricula at all levels – primary, secondary and higher – in both formal and informal learning spaces and at the national and local levels of government. Specific measures should be taken to include such themes and approaches in the curricula of professional degrees in education, and in continuing training programmes for teachers, teacher trainers and other education sector workers, to ensure culturally and ethnically sensitive teaching practices.</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Take measures to raise awareness among media professionals of the nature and incidence of discrimination against people of African descent, including the media’s responsibility not to perpetuate prejudices.</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Develop educational and media campaigns to educate the public about people of African descent, their history and their culture, and the importance of building an inclusive society, while respecting the human rights and identity of all people of African descent.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Encourage the development and implementation of methods of self-monitoring by the media through codes of conduct for media organizations in order to eliminate the use of racially discriminatory or biased language.</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Take resolute action to counter any tendency to target, stigmatize, stereotype or profile people of African descent on the basis of race, by law enforcement officials, politicians and educators</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Take measures to prevent the use of illegal force, torture, inhuman or degrading treatment or discrimination by the police or other law enforcement agencies and officials against people of African descent, especially in connection with arrest and detention, and ensure that people of African descent are not victims of practices of racial or ethnic profiling. </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Ensure that authorities at all levels in the State respect the right of members of communities of people of African descent to participate in decisions that affect them. </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Take special and concrete measures to guarantee people of African descent the right to participate in elections, to vote and stand for election on the basis of equal and universal suffrage and to have due representation in all branches of government.</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Promote awareness among members of the communities of people of African descent of the importance of their active participation in public and political life and eliminate obstacles to such participation. </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Take all necessary steps, including special measures, to secure equal opportunities for participation of people of African descent in all central and local government bodies. </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Organize training programmes to improve the political policymaking and public administration skills of public officials and political representatives who belong to communities of people of African descent.</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Take measures to eradicate poverty among communities of people of African descent within particular States parties’ territories and combat the social exclusion or marginalization often experienced by people of African descent. </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Design, adopt and implement plans and programmes of economic and social development on an equal and non-discriminatory basis. </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Take measures to eliminate discrimination against people of African descent in relation to working conditions and work requirements including employment rules and practices that may have discriminatory purposes or effects. </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Adopt or make more effective legislation prohibiting discrimination in employment and all discriminatory practices in the labour market that affect people of African descent and protect them against all such practices. </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Take special measures to promote the employment of people of African descent in the public administration as well as in private companies. </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Develop and implement policies and projects aimed at avoiding the segregation of people of African descent in housing, and involve communities of people of African descent as partners in housing project construction, rehabilitation and maintenance.</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Review all the language in textbooks which conveys stereotyped or demeaning images, references, names or opinions concerning people of African descent and replace it with images, references, names and opinions which convey the message of the inherent dignity and equality of all human beings. </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Ensure that public and private education systems do not discriminate against or exclude children based on race or descent. </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Take measures to reduce the school dropout rate for children of African descent. </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Consider adopting special measures aimed at promoting the education of all students of African descent, guarantee equitable access to higher education for people of African descent and facilitate professional educational careers. </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Act with determination to eliminate any discrimination against students of African descent. </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Include in textbooks, at all appropriate levels, chapters about the history and cultures of peoples of African descent and preserve this knowledge in museums and other forums for future generations, encourage and support the publication and distribution of books and other print materials, as well as the broadcasting of television and radio programmes about their history and cultures.</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1"/>
        <w:spacing w:line="360" w:lineRule="auto"/>
        <w:jc w:val="both"/>
        <w:rPr/>
      </w:pPr>
      <w:bookmarkStart w:colFirst="0" w:colLast="0" w:name="_6ofusbgqhwj8" w:id="5"/>
      <w:bookmarkEnd w:id="5"/>
      <w:r w:rsidDel="00000000" w:rsidR="00000000" w:rsidRPr="00000000">
        <w:rPr>
          <w:rtl w:val="0"/>
        </w:rPr>
        <w:t xml:space="preserve">R. G. n. 35 (2013): Combate ao discurso de ódio racista</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R.G.: </w:t>
      </w:r>
      <w:hyperlink r:id="rId11">
        <w:r w:rsidDel="00000000" w:rsidR="00000000" w:rsidRPr="00000000">
          <w:rPr>
            <w:rFonts w:ascii="Times New Roman" w:cs="Times New Roman" w:eastAsia="Times New Roman" w:hAnsi="Times New Roman"/>
            <w:color w:val="1155cc"/>
            <w:sz w:val="24"/>
            <w:szCs w:val="24"/>
            <w:u w:val="single"/>
            <w:rtl w:val="0"/>
          </w:rPr>
          <w:t xml:space="preserve">tbinternet.ohchr.org/_layouts/15/treatybodyexternal/Download.aspx?symbolno=CERD%2FC%2FGC%2F35&amp;Lang=en</w:t>
        </w:r>
      </w:hyperlink>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Freedom of expression, indispensable for the articulation of human rights and the dissemination of knowledge regarding the state of enjoyment of civil, political, economic, social and cultural rights, assists vulnerable groups in redressing the balance of power among the components of society, promotes intercultural understanding and tolerance, assists in the deconstruction of racial stereotypes, facilitates the free exchange of ideas, and offers alternative views and counterpoints. States parties should adopt policies empowering all groups within the purview of the Convention to exercise their right to freedom of expression.</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Measures should be adopted in the field of education aimed at encouraging knowledge of the history, culture and traditions of “racial or ethnical”27 groups present in the State party, including indigenous peoples and persons of African descent. Educational materials should, in the interests of promoting mutual respect and understanding, endeavour to highlight the contribution of all groups to the social, economic and cultural enrichment of the national identity and to national, economic and social progress. </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In order to promote inter-ethnic understanding, balanced and objective representations of history are essential, and, where atrocities have been committed against groups of the population, days of remembrance and other public events should be held, where appropriate in context, to recall such human tragedies, as well as celebrations of successful resolution of conflicts. Truth and reconciliation commissions can also play a vital role in countering the persistence of racial hatred and facilitating the development of a climate of inter-ethnic tolerance.</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rPr/>
      </w:pPr>
      <w:bookmarkStart w:colFirst="0" w:colLast="0" w:name="_oy2xbg762463" w:id="6"/>
      <w:bookmarkEnd w:id="6"/>
      <w:r w:rsidDel="00000000" w:rsidR="00000000" w:rsidRPr="00000000">
        <w:rPr>
          <w:rtl w:val="0"/>
        </w:rPr>
        <w:t xml:space="preserve">R. G. n. 36 (2020): Combate ao perfil racial (racial profiling) por forças policiais</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R.G.: </w:t>
      </w:r>
      <w:hyperlink r:id="rId12">
        <w:r w:rsidDel="00000000" w:rsidR="00000000" w:rsidRPr="00000000">
          <w:rPr>
            <w:rFonts w:ascii="Times New Roman" w:cs="Times New Roman" w:eastAsia="Times New Roman" w:hAnsi="Times New Roman"/>
            <w:color w:val="1155cc"/>
            <w:sz w:val="24"/>
            <w:szCs w:val="24"/>
            <w:u w:val="single"/>
            <w:rtl w:val="0"/>
          </w:rPr>
          <w:t xml:space="preserve">tbinternet.ohchr.org/_layouts/15/treatybodyexternal/Download.aspx?symbolno=CERD%2FC%2FGC%2F36&amp;Lang=en</w:t>
        </w:r>
      </w:hyperlink>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The increasing use of facial recognition and surveillance technologies to track and control specific demographic groups raises concerns with respect to many human rights, including the right to privacy, freedom of peaceful assembly and association, freedom of expression and freedom of movement. It is designed to automatically identify individuals based on their facial geometry, 29 potentially profiling people based on grounds of discrimination such as race, colour, national or ethnic origin or gender.30 Cameras equipped with real-time facial recognition technology are widely applied for the purpose of flagging and tracking of individuals,31 which may enable Governments and others to keep records of the movements of large numbers of individuals, possibly based on protected characteristics.32 Moreover, it has been demonstrated that the accuracy of facial recognition technology may differ depending on the colour, ethnicity or gender of the persons assessed, which may lead to discrimination.</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rPr/>
      </w:pPr>
      <w:bookmarkStart w:colFirst="0" w:colLast="0" w:name="_2mq94uqs488k" w:id="7"/>
      <w:bookmarkEnd w:id="7"/>
      <w:r w:rsidDel="00000000" w:rsidR="00000000" w:rsidRPr="00000000">
        <w:rPr>
          <w:rtl w:val="0"/>
        </w:rPr>
        <w:t xml:space="preserve">R. G. n. 37 (2024): Igualdade no direito à saúde livre de discriminação racial</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R.G.: </w:t>
      </w:r>
      <w:hyperlink r:id="rId13">
        <w:r w:rsidDel="00000000" w:rsidR="00000000" w:rsidRPr="00000000">
          <w:rPr>
            <w:rFonts w:ascii="Times New Roman" w:cs="Times New Roman" w:eastAsia="Times New Roman" w:hAnsi="Times New Roman"/>
            <w:color w:val="0000ee"/>
            <w:sz w:val="24"/>
            <w:szCs w:val="24"/>
            <w:u w:val="single"/>
            <w:rtl w:val="0"/>
          </w:rPr>
          <w:t xml:space="preserve">CERD C GC 37.pdf</w:t>
        </w:r>
      </w:hyperlink>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Under the Convention, health is understood in the light of article 12 (1) of the International Covenant on Economic, Social and Cultural Rights, namely as the highest attainable standard of physical and mental health, and is increasingly viewed through an ecocentric lens. This perspective resonates with elements of Indigenous Peoples’ definitions of health, which include individual and collective dimensions and integrate spirituality, traditional medicine, biodiversity and interconnectedness,15 and which are closely tied to the right to self-determination and supported by the principles of the United Nations Declaration on the Rights of Indigenous Peoples. The right to health extends not only to timely and appropriate healthcare but also to the underlying determinants of health, such as access to safe and potable water and adequate sanitation, an adequate supply of safe food, nutrition and housing, healthy occupational and environmental conditions, and access to health-related education and information, including on sexual and reproductive health. A further important aspect is the participation of the population in all health-related decision-making at the community, national and international levels.16 This holistic approach is aligned with the text of article 5 (e) (iv) of the International Convention on the Elimination of All Forms of Racial Discrimination. Public health is focused on the prevention and control of disease and injury, the improvement of underlying determinants of health, and the quality of interaction among authorities, health-related professionals and the population. Medical care integrates the right to timely and appropriate health goods and services and includes palliative, curative and rehabilitative health. Social security and social services, inextricably linked to societal efforts to improve the determinants of health, 17 are strategic rights in eliminating racial discrimination in health.</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In line with paragraph 6 above, article 5 (e) (iv) is understood to encompass the right to a sufficient quantity of acceptable and safe drinking water and adequate sanitation,43 safe food44 and housing. This includes the right not to be subjected to inadequate maintenance of water and sanitation infrastructure, contributing to health risks such as waterborne diseases and environmental contamination. Racial and ethnic groups have the right to be protected from residential segregation, discrimination in private rental markets, overcrowded residences and forced evictions. They are entitled to measures that address issues such as food deserts, limited economic resources, discriminatory practices in the food industry and other barriers to accessing healthy food. Vulnerability and poverty affect their diet and health, contributing to higher rates of diet-related diseases and nutritional deficiencies.</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Workers who belong to racial or ethnic minorities, and/or who are migrants, asylum-seekers, refugees or stateless, have the right to a safe and healthy working environment,45 and the right to equality with regard to decent working conditions, fair employment and opportunities for health and well-being. This includes the right not to be subjected to a higher risk of workplace injury or occupational illness, or of exposure to toxins and pollutants or other physical and psychosocial hazards, linked to factors such as job segregation, discrimination in hiring and promotion, and unequal enforcement of regulations on health and safety in the workplace.</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Racial and ethnic groups have the right to a clean and healthy environment and the right to be protected against climate-induced hazards.46 They have the right not to be subjected to, and the right to be protected against, environmental degradation and the adverse effects arising from the exploitation of natural resources, nuclear testing, toxic-waste storage, mining, logging and other sources of environmental harm,47 and the right to be protected against violence by State authorities and private security personnel.48 They have the right to participate and be heard in meaningful consultations focused on health-harming effects. Indigenous Peoples have the right to the conservation and protection of the environment and the productive capacity of their lands or territories and resources, which includes the right to free, prior and informed consent.</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Individuals and groups protected under the Convention have the right to bodily autonomy and physical integrity. This encompasses the right to consent to medical treatment, the right to access reproductive healthcare services, including medicines and health products, and the right to be free from violence, coercion or forced interventions.63 The right entails full respect of the principles of dignity, autonomy and self-determination. Mandatory HIV/AIDS testing limited to non-citizens, or based on race, colour, descent or national or ethnic origin, for employment, entry, stay or residence purposes is ineffective for public health purposes and discriminatory.</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Freedom from racial discrimination, and the right to equality, in sexual and reproductive health includes equal access to and equal quality of sexual, reproductive and newborn healthcare services. It requires the provision of universal and comprehensive healthcare coverage, in order to prevent discriminatory practices related to costs of labour and childbirth care and to decrease the risk of obstetric emergencies and complications during childbirth.91 Ensuring the right to equality requires the addressing of causes of maternal mortality, reproductive and maternal morbidities and related disabilities that disproportionately affect persons within the purview of the Convention; the strengthening of health systems to collect high-quality data in order to respond to the needs and priorities of women, girls and gender-diverse persons; and accountability in the event of violations in order to improve quality of care and equity. Women and gender-diverse persons protected by the Convention have the right to equality in: the availability of prenatal and postnatal care, skilled birth attendants and emergency obstetric services; the accessibility, in law and in practice, of maternal health services; the acceptability of maternal health services, which must respect their dignity and be sensitive to their needs and perspectives; and the adequacy of the quality of facilities, goods, services and information related to sexual and reproductive health, including the standard that services must be evidence-based and scientifically and medically appropriate, up to date and of good quality.</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The obligation to protect the right to equality and freedom from racial discrimination in the right to health requires States to take and implement all measures necessary to ensure that natural and legal persons, or groups of persons, do not nullify or impair, directly or indirectly, the recognition, enjoyment or exercise of the right to health of any person on grounds of race, colour, descent or national or ethnic origin. The impact of racial discrimination on health activates the obligation of States parties to: prevent risks related to racial discrimination and take protective operational measures; monitor and ensure compliance with the legal and operational framework; and provide effective remedies in cases of violation. In particular, States must: [...]</w:t>
      </w:r>
    </w:p>
    <w:p w:rsidR="00000000" w:rsidDel="00000000" w:rsidP="00000000" w:rsidRDefault="00000000" w:rsidRPr="00000000" w14:paraId="0000009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Ensure that increased involvement of private actors in healthcare financing or in the provision or supply of health services, goods and treatment does not affect the availability, accessibility, acceptability and quality of healthcare facilities and supplies, including medicines and other health products, for racial and ethnic groups, including undocumented pregnant women and gender-diverse persons within those groups;</w:t>
      </w:r>
    </w:p>
    <w:p w:rsidR="00000000" w:rsidDel="00000000" w:rsidP="00000000" w:rsidRDefault="00000000" w:rsidRPr="00000000" w14:paraId="0000009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Ensure that environmental degradation by private actors does not disproportionately harm the enjoyment of the right to health among members of racial and ethnic groups by adopting environmental norms and policies, monitoring environmental risks on health, enforcing quality standards and ensuring sustainability in the management of natural resources; [...]</w:t>
      </w:r>
    </w:p>
    <w:p w:rsidR="00000000" w:rsidDel="00000000" w:rsidP="00000000" w:rsidRDefault="00000000" w:rsidRPr="00000000" w14:paraId="0000009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States should adopt national health strategies and action plans, in consultation with relevant groups, in order to identify gaps, set out clear objectives, provide for special measures in accordance with article 2 (2) and ensure the coordination of all relevant authorities and effective budgeting. They should adopt and effectively implement well-resourced policies, including special measures, to improve the socioeconomic situation of racial and ethnic groups and Indigenous Peoples, including specific programmes for women, children, older persons and persons with disabilities, and to address deep-rooted discrimination.126 Specific health-related prevention programmes should target persons, including undocumented migrants, who are not covered by the public health insurance scheme.127 Applying a gender perspective in all policies and strategies for combating racial discrimination is fundamental to putting an end to the multiple and intersectional discrimination faced by Indigenous women, migrant women and women of African descent.</w:t>
      </w:r>
    </w:p>
    <w:p w:rsidR="00000000" w:rsidDel="00000000" w:rsidP="00000000" w:rsidRDefault="00000000" w:rsidRPr="00000000" w14:paraId="0000009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In accordance with article 6, States must assure to everyone within their jurisdiction effective protection and remedies against any acts of racial discrimination which violate his or her right to health, as well as the right to seek adequate reparation or satisfaction for any damage suffered as a result of such discrimination.</w:t>
      </w:r>
    </w:p>
    <w:p w:rsidR="00000000" w:rsidDel="00000000" w:rsidP="00000000" w:rsidRDefault="00000000" w:rsidRPr="00000000" w14:paraId="0000009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States should: [...]</w:t>
      </w:r>
    </w:p>
    <w:p w:rsidR="00000000" w:rsidDel="00000000" w:rsidP="00000000" w:rsidRDefault="00000000" w:rsidRPr="00000000" w14:paraId="00000099">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Ensure, concerning any violation of the Convention that has resulted in harm, full reparation for the injury caused;132 </w:t>
      </w:r>
    </w:p>
    <w:p w:rsidR="00000000" w:rsidDel="00000000" w:rsidP="00000000" w:rsidRDefault="00000000" w:rsidRPr="00000000" w14:paraId="0000009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Adopt structural measures along with individual reparation; </w:t>
      </w:r>
    </w:p>
    <w:p w:rsidR="00000000" w:rsidDel="00000000" w:rsidP="00000000" w:rsidRDefault="00000000" w:rsidRPr="00000000" w14:paraId="0000009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 part of reparation, take positive measures, such as education and training, guarantees regarding participation, and empowerment of the community affected, to ensure compliance with the obligation breached.  </w:t>
      </w:r>
    </w:p>
    <w:p w:rsidR="00000000" w:rsidDel="00000000" w:rsidP="00000000" w:rsidRDefault="00000000" w:rsidRPr="00000000" w14:paraId="0000009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1"/>
        <w:rPr/>
      </w:pPr>
      <w:bookmarkStart w:colFirst="0" w:colLast="0" w:name="_yaeqzyf3abqo" w:id="8"/>
      <w:bookmarkEnd w:id="8"/>
      <w:r w:rsidDel="00000000" w:rsidR="00000000" w:rsidRPr="00000000">
        <w:rPr>
          <w:rtl w:val="0"/>
        </w:rPr>
        <w:t xml:space="preserve">R. G. n. 38 (2025): Diretrizes gerais no combate à xenofobia contra imigrantes</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Texto completo da R.G.: </w:t>
      </w:r>
      <w:hyperlink r:id="rId14">
        <w:r w:rsidDel="00000000" w:rsidR="00000000" w:rsidRPr="00000000">
          <w:rPr>
            <w:rFonts w:ascii="Times New Roman" w:cs="Times New Roman" w:eastAsia="Times New Roman" w:hAnsi="Times New Roman"/>
            <w:color w:val="1155cc"/>
            <w:sz w:val="24"/>
            <w:szCs w:val="24"/>
            <w:u w:val="single"/>
            <w:rtl w:val="0"/>
          </w:rPr>
          <w:t xml:space="preserve">tbinternet.ohchr.org/_layouts/15/treatybodyexternal/Download.aspx?symbolno=CERD%2FC%2FGC%2F38-CMW%2FC%2FGC%2F7&amp;Lang=en</w:t>
        </w:r>
      </w:hyperlink>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States Parties should take adequate measures to improve the regulation and supervision of the labour conditions of Indigenous migrant workers, regardless of their migration status, and ensure equal access to social protection, remedies and complaint mechanisms. States Parties should also make the appropriate reforms to policies in order to respect the land rights of Indigenous Peoples, including measures aimed at supporting culturally appropriate reintegration, access to justice, and reparations in cases of forced displacement, with particular attention paid to land restitution and community rebuilding.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binternet.ohchr.org/_layouts/15/treatybodyexternal/Download.aspx?symbolno=CERD%2FC%2FGC%2F35&amp;Lang=en" TargetMode="External"/><Relationship Id="rId10" Type="http://schemas.openxmlformats.org/officeDocument/2006/relationships/hyperlink" Target="https://tbinternet.ohchr.org/_layouts/15/treatybodyexternal/Download.aspx?symbolno=CERD%2FC%2FGC%2F34&amp;Lang=en" TargetMode="External"/><Relationship Id="rId13" Type="http://schemas.openxmlformats.org/officeDocument/2006/relationships/hyperlink" Target="https://drive.google.com/file/d/1O2CAiLAhGJjDilrNvGesff28PCOXe8EO/view?usp=drive_link" TargetMode="External"/><Relationship Id="rId12" Type="http://schemas.openxmlformats.org/officeDocument/2006/relationships/hyperlink" Target="https://tbinternet.ohchr.org/_layouts/15/treatybodyexternal/Download.aspx?symbolno=CERD%2FC%2FGC%2F36&amp;Lan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binternet.ohchr.org/_layouts/15/treatybodyexternal/Download.aspx?symbolno=INT%2FCERD%2FGEC%2F7503&amp;Lang=en" TargetMode="External"/><Relationship Id="rId14" Type="http://schemas.openxmlformats.org/officeDocument/2006/relationships/hyperlink" Target="https://tbinternet.ohchr.org/_layouts/15/treatybodyexternal/Download.aspx?symbolno=CERD%2FC%2FGC%2F38-CMW%2FC%2FGC%2F7&amp;Lang=en" TargetMode="External"/><Relationship Id="rId5" Type="http://schemas.openxmlformats.org/officeDocument/2006/relationships/styles" Target="styles.xml"/><Relationship Id="rId6" Type="http://schemas.openxmlformats.org/officeDocument/2006/relationships/hyperlink" Target="https://drive.google.com/file/d/1Gp-VKkBJfsfGyi68OMn9GvMFPDV6f92S/view?usp=drive_link" TargetMode="External"/><Relationship Id="rId7" Type="http://schemas.openxmlformats.org/officeDocument/2006/relationships/hyperlink" Target="https://drive.google.com/file/d/1Gp-VKkBJfsfGyi68OMn9GvMFPDV6f92S/view?usp=drive_link" TargetMode="External"/><Relationship Id="rId8" Type="http://schemas.openxmlformats.org/officeDocument/2006/relationships/hyperlink" Target="https://tbinternet.ohchr.org/_layouts/15/treatybodyexternal/Download.aspx?symbolno=INT%2FCERD%2FGEC%2F7495&amp;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