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CERD/C/BRA/CO/18-20*</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Concluding observations on the combined eighteenth to twentieth periodic reports of Brazil</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 de dezembro de 2022</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“Índice” de recomendações diretas do CERD para citar no Subsídio/Relatório:</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 Recomendações </w:t>
      </w:r>
      <w:r w:rsidDel="00000000" w:rsidR="00000000" w:rsidRPr="00000000">
        <w:rPr>
          <w:rFonts w:ascii="Times New Roman" w:cs="Times New Roman" w:eastAsia="Times New Roman" w:hAnsi="Times New Roman"/>
          <w:b w:val="1"/>
          <w:bCs w:val="1"/>
          <w:sz w:val="24"/>
          <w:szCs w:val="24"/>
          <w:rtl w:val="0"/>
        </w:rPr>
        <w:t xml:space="preserve">em negrito</w:t>
      </w:r>
      <w:r w:rsidDel="00000000" w:rsidR="00000000" w:rsidRPr="00000000">
        <w:rPr>
          <w:rFonts w:ascii="Times New Roman" w:cs="Times New Roman" w:eastAsia="Times New Roman" w:hAnsi="Times New Roman"/>
          <w:sz w:val="24"/>
          <w:szCs w:val="24"/>
          <w:rtl w:val="0"/>
        </w:rPr>
        <w:t xml:space="preserve"> tratadas como prioritárias pelo CERD (Par. 68 e 69)</w:t>
      </w:r>
    </w:p>
    <w:p w:rsidR="00000000" w:rsidDel="00000000" w:rsidP="00000000" w:rsidRDefault="00000000" w:rsidRPr="00000000" w14:paraId="00000007">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05"/>
        <w:gridCol w:w="1425"/>
        <w:gridCol w:w="1635"/>
        <w:gridCol w:w="2250"/>
        <w:tblGridChange w:id="0">
          <w:tblGrid>
            <w:gridCol w:w="3705"/>
            <w:gridCol w:w="1425"/>
            <w:gridCol w:w="1635"/>
            <w:gridCol w:w="225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Parágrafo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Número de recomendações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Coleção de dados demográficos desagregados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Implementação doméstica (nacional) da Convenção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Estrutura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Acesso à justiça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Situação de mulheres afro-brasileiras, indígenas e quilombolas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Direito à saúde e impacto da pandemia de COVID-19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(a-f); Prioritárias: a-c, 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Disparidades no acesso à educação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(a-c); Prioritária: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Pobreza, trabalho e renda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Discriminação e segregação na moradia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Representação política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(a-c); Prioritária: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Medidas especiais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Discurso de ódio racista e crimes de ódio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Homicídios motivados pela raça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Uso excessivo da força pela polícia e militares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(a-h); Prioritária: 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Justiça criminal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Perfil racial (</w:t>
            </w:r>
            <w:r w:rsidDel="00000000" w:rsidR="00000000" w:rsidRPr="00000000">
              <w:rPr>
                <w:rFonts w:ascii="Times New Roman" w:cs="Times New Roman" w:eastAsia="Times New Roman" w:hAnsi="Times New Roman"/>
                <w:i w:val="1"/>
                <w:iCs w:val="1"/>
                <w:sz w:val="24"/>
                <w:szCs w:val="24"/>
                <w:rtl w:val="0"/>
              </w:rPr>
              <w:t xml:space="preserve">racial profiling</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Reunião pacífica (</w:t>
            </w:r>
            <w:r w:rsidDel="00000000" w:rsidR="00000000" w:rsidRPr="00000000">
              <w:rPr>
                <w:rFonts w:ascii="Times New Roman" w:cs="Times New Roman" w:eastAsia="Times New Roman" w:hAnsi="Times New Roman"/>
                <w:i w:val="1"/>
                <w:iCs w:val="1"/>
                <w:sz w:val="24"/>
                <w:szCs w:val="24"/>
                <w:rtl w:val="0"/>
              </w:rPr>
              <w:t xml:space="preserve">peaceful assembly</w:t>
            </w:r>
            <w:r w:rsidDel="00000000" w:rsidR="00000000" w:rsidRPr="00000000">
              <w:rPr>
                <w:rFonts w:ascii="Times New Roman" w:cs="Times New Roman" w:eastAsia="Times New Roman" w:hAnsi="Times New Roman"/>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Perseguição a membros de religiões afro-brasileiras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Defensores de direitos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meio-ambiente, negócios e direitos humanos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Comunidades indígenas e quilombolas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Proteção legal às terras indígenas e quilombolas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Imigrantes, refugiados e requerentes de asilo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Povos ciganos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Esforços para combater preconceitos raciais, aumentar a instrução e abordar os legados de</w:t>
            </w:r>
          </w:p>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injustiças históricas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(a-e); Prioritária: 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Ratificação de outros tratados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Emenda ao artigo 8º da Convenção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Declaração opcional sob o artigo 14 da Convenção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Declaração e Programa de Ação de Durban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Decade for People of African Descent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Consultas à sociedade civil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Disseminação da informação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E">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 Concerns and recommendations</w:t>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Disaggregated demographic data collection</w:t>
      </w:r>
      <w:r w:rsidDel="00000000" w:rsidR="00000000" w:rsidRPr="00000000">
        <w:rPr>
          <w:rtl w:val="0"/>
        </w:rPr>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5. “The Committee notes the information provided by the State party about the collection of data on the racial and ethnic composition of the population that is disaggregated to reveal their disparate social, economic, political and civil status within society. It is nevertheless concerned about gaps and weaknesses in mechanisms for coordinating, integrating and verifying data collected at the federal, state and municipal levels, inter alia, due to cuts to the budgets of agencies responsible for data collection. It is also concerned that current data collection methods do not accurately capture the situation of those facing intersectional discrimination, including Afro-Brazilians, Indigenous Peoples and Quilombolas with disabilities and/or who identify as LGBTQI+ persons (arts. 1–2)”. </w:t>
      </w:r>
      <w:r w:rsidDel="00000000" w:rsidR="00000000" w:rsidRPr="00000000">
        <w:rPr>
          <w:rFonts w:ascii="Times New Roman" w:cs="Times New Roman" w:eastAsia="Times New Roman" w:hAnsi="Times New Roman"/>
          <w:sz w:val="24"/>
          <w:szCs w:val="24"/>
          <w:rtl w:val="0"/>
        </w:rPr>
        <w:t xml:space="preserve">Desagregação de dados demográficos sobre a composição racial e étnica da população, insuficiência de dados nos níveis federal, estadual e municipal, falha em abordar a situação de discriminação interseccional includindo raça e deficiência ou orientação sexual.</w:t>
      </w:r>
    </w:p>
    <w:p w:rsidR="00000000" w:rsidDel="00000000" w:rsidP="00000000" w:rsidRDefault="00000000" w:rsidRPr="00000000" w14:paraId="00000091">
      <w:pPr>
        <w:numPr>
          <w:ilvl w:val="0"/>
          <w:numId w:val="2"/>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 fato, o III Relatório é </w:t>
      </w:r>
      <w:r w:rsidDel="00000000" w:rsidR="00000000" w:rsidRPr="00000000">
        <w:rPr>
          <w:rFonts w:ascii="Times New Roman" w:cs="Times New Roman" w:eastAsia="Times New Roman" w:hAnsi="Times New Roman"/>
          <w:i w:val="1"/>
          <w:iCs w:val="1"/>
          <w:sz w:val="24"/>
          <w:szCs w:val="24"/>
          <w:rtl w:val="0"/>
        </w:rPr>
        <w:t xml:space="preserve">nulo</w:t>
      </w:r>
      <w:r w:rsidDel="00000000" w:rsidR="00000000" w:rsidRPr="00000000">
        <w:rPr>
          <w:rFonts w:ascii="Times New Roman" w:cs="Times New Roman" w:eastAsia="Times New Roman" w:hAnsi="Times New Roman"/>
          <w:sz w:val="24"/>
          <w:szCs w:val="24"/>
          <w:rtl w:val="0"/>
        </w:rPr>
        <w:t xml:space="preserve"> quanto a PCDs e LGBTQIA+. É um não-problema.</w:t>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Domestic implementation of the Convention </w:t>
      </w:r>
    </w:p>
    <w:p w:rsidR="00000000" w:rsidDel="00000000" w:rsidP="00000000" w:rsidRDefault="00000000" w:rsidRPr="00000000" w14:paraId="0000009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7: Critica a falta de dados detalhados sobre o escopo da legislação contra discriminação racial.</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7: “[...] Furthermore, the Committee welcomes the ratification of the Inter-American Convention against Racism, Racial Discrimination and Related Forms of Intolerance by the State party, but regrets the lack of information on any measures by the Government to effectively implement the obligations under this Convention and to assess what measures need to be taken in order to fully comply with those obligations (art. 1)”. </w:t>
      </w:r>
      <w:r w:rsidDel="00000000" w:rsidR="00000000" w:rsidRPr="00000000">
        <w:rPr>
          <w:rFonts w:ascii="Times New Roman" w:cs="Times New Roman" w:eastAsia="Times New Roman" w:hAnsi="Times New Roman"/>
          <w:sz w:val="24"/>
          <w:szCs w:val="24"/>
          <w:rtl w:val="0"/>
        </w:rPr>
        <w:t xml:space="preserve">Assinatura da Convenção Interamericana contra o Racismo, a Discriminação Racial e Formas Correlatas de Intolerância (2013), mas sem informações de como implementá-lo.</w:t>
      </w:r>
    </w:p>
    <w:p w:rsidR="00000000" w:rsidDel="00000000" w:rsidP="00000000" w:rsidRDefault="00000000" w:rsidRPr="00000000" w14:paraId="00000096">
      <w:pPr>
        <w:numPr>
          <w:ilvl w:val="0"/>
          <w:numId w:val="4"/>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ser justo, o Decreto que promulga a Convenção na legislação brasileira é somente de 2022. Cabe ao nosso ciclo tanto quanto ao anterior.</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Institucional framework</w:t>
      </w: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9: Preocupação do CERD em não haver uma instituição nacional independente sobre direitos humanos. Cita os Princípios de Paris e a Recomendação Geral n. 17 (1993).</w:t>
      </w:r>
    </w:p>
    <w:p w:rsidR="00000000" w:rsidDel="00000000" w:rsidP="00000000" w:rsidRDefault="00000000" w:rsidRPr="00000000" w14:paraId="0000009A">
      <w:pPr>
        <w:numPr>
          <w:ilvl w:val="0"/>
          <w:numId w:val="3"/>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Aqui entra a criação do MIR?</w:t>
      </w:r>
    </w:p>
    <w:p w:rsidR="00000000" w:rsidDel="00000000" w:rsidP="00000000" w:rsidRDefault="00000000" w:rsidRPr="00000000" w14:paraId="0000009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Access to justice</w:t>
      </w:r>
      <w:r w:rsidDel="00000000" w:rsidR="00000000" w:rsidRPr="00000000">
        <w:rPr>
          <w:rtl w:val="0"/>
        </w:rPr>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11: CERD diz que há informação limitada sobre limitação do acesso à justiça, demora no andamento dos processos, queima de provas, baixo nível de confiança em vitimas de discriminação racial.</w:t>
      </w:r>
    </w:p>
    <w:p w:rsidR="00000000" w:rsidDel="00000000" w:rsidP="00000000" w:rsidRDefault="00000000" w:rsidRPr="00000000" w14:paraId="0000009E">
      <w:pPr>
        <w:numPr>
          <w:ilvl w:val="0"/>
          <w:numId w:val="1"/>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Mas isso não é bem mais difícil de medir? O CNJ faz esse tipo de busca?</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Situation of Afro-Brazilian, Indigenous and Quilombola women</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13: Destaca como o problema do racismo estrutural sobre mulheres negras e indígenas foi evidenciado durante a pandemia da COVID-19. </w:t>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Right to health and the impact of the COVID-19 pandemic</w:t>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15-7: Existe uma seção inteira dedicada ao problema da pandemia da COVID-19 e, de fato, o novo Relatório deve ser capaz de responder isso.</w:t>
      </w:r>
    </w:p>
    <w:p w:rsidR="00000000" w:rsidDel="00000000" w:rsidP="00000000" w:rsidRDefault="00000000" w:rsidRPr="00000000" w14:paraId="000000A5">
      <w:pPr>
        <w:numPr>
          <w:ilvl w:val="0"/>
          <w:numId w:val="6"/>
        </w:numPr>
        <w:spacing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Isso me faz lembrar que também a questão do Genocídio Yanomami precisa ser tratada de forma central.</w:t>
      </w:r>
    </w:p>
    <w:p w:rsidR="00000000" w:rsidDel="00000000" w:rsidP="00000000" w:rsidRDefault="00000000" w:rsidRPr="00000000" w14:paraId="000000A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16: “[...] (e) High levels of violence against Afro-Brazilian, Indigenous and Quilombola women, including those who identify as LGBTQI+ persons, particularly in the form of femicide, and weaknesses in the measures taken by the State, including the national plan to combat femicide”. </w:t>
      </w:r>
      <w:r w:rsidDel="00000000" w:rsidR="00000000" w:rsidRPr="00000000">
        <w:rPr>
          <w:rFonts w:ascii="Times New Roman" w:cs="Times New Roman" w:eastAsia="Times New Roman" w:hAnsi="Times New Roman"/>
          <w:sz w:val="24"/>
          <w:szCs w:val="24"/>
          <w:rtl w:val="0"/>
        </w:rPr>
        <w:t xml:space="preserve">É preciso demonstrar os avanços e as barreiras na questão do crime de feminicídio, o recorte racial e de classe existente nos números (se possível) e incluir a preocupação com mulheres LGBTQI+ vítimas de feminicídio. A situação de pessoas trans, calamitosa no país, deve ser retratada. Nada disso existe no III Relatório.</w:t>
      </w:r>
    </w:p>
    <w:p w:rsidR="00000000" w:rsidDel="00000000" w:rsidP="00000000" w:rsidRDefault="00000000" w:rsidRPr="00000000" w14:paraId="000000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16: “[...] (f) Reports that violence against Afro-Brazilians is so prevalent that it must be considered a public health crisis. It is concerned about the constant mental anguish and trauma suffered by Afro-Brazilian women and communities in perpetual mourning for murdered children and families who constantly experience militarized police violence invading their homes and neighbourhoods without warning or warrant. It is also concerned that, despite the profound mental health consequences of such violence, there was a lack of clear information provided by the State party about the provision of psychosocial support services to those most affected (arts. 2 and 5)”. </w:t>
      </w:r>
      <w:r w:rsidDel="00000000" w:rsidR="00000000" w:rsidRPr="00000000">
        <w:rPr>
          <w:rFonts w:ascii="Times New Roman" w:cs="Times New Roman" w:eastAsia="Times New Roman" w:hAnsi="Times New Roman"/>
          <w:sz w:val="24"/>
          <w:szCs w:val="24"/>
          <w:rtl w:val="0"/>
        </w:rPr>
        <w:t xml:space="preserve">Essa espécie de crítica-recomendação é muito importante.</w:t>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17: “[...] (c) Ensure that all Afro-Brazilian, Indigenous and Quilombola women can access legal voluntary termination of pregnancy under safe and dignified conditions without harassment or efforts to criminalize them or their medical providers”. </w:t>
      </w:r>
      <w:r w:rsidDel="00000000" w:rsidR="00000000" w:rsidRPr="00000000">
        <w:rPr>
          <w:rFonts w:ascii="Times New Roman" w:cs="Times New Roman" w:eastAsia="Times New Roman" w:hAnsi="Times New Roman"/>
          <w:sz w:val="24"/>
          <w:szCs w:val="24"/>
          <w:rtl w:val="0"/>
        </w:rPr>
        <w:t xml:space="preserve">A resposta do CERD fala sobre direito ao aborto. Talvez seja impossível passar para o Subsídio o estado da discussão sobre o direito ao aborto no país, mas com certeza há dados que demonstrem a vitimização de mulheres negras nessa situação. Novamente, isso não é tratado no III Relatório – a não ser que faça parte do agregado de mortalidade materna, mas não há essa ênfase lá.</w:t>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Disparities in access to education</w:t>
      </w: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18: Sugere dimensionar o impacto da COVID-19 sobre a escolarização de pessoas negras e indígenas. Por outro lado, parabeniza os avanços decorrentes da Lei de Cotas. É prioridade atualizar esses números.</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Poverty, work and income</w:t>
      </w:r>
      <w:r w:rsidDel="00000000" w:rsidR="00000000" w:rsidRPr="00000000">
        <w:rPr>
          <w:rtl w:val="0"/>
        </w:rPr>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20: Preocupação com os dados de insegurança alimentar, fome e pobreza extrema em domicílios chefiados por mulheres. De fato, esse é um dado que não está oferecido de forma tão objetiva no III Relatório.</w:t>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Discrimination and segregation in housing</w:t>
      </w: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24-5: Parágrafos criticam o fato de programas de moradia no Brasil tomarem em consideração apenas o critério da renda e recomenda que critérios raciais sejam estabelecidos. Eu discordo um pouco, já que a correlação entre cor ou raça e renda no país ainda é fortíssima, mas, enfim. Melhor responder a isso.</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Representação política</w:t>
      </w:r>
      <w:r w:rsidDel="00000000" w:rsidR="00000000" w:rsidRPr="00000000">
        <w:rPr>
          <w:rtl w:val="0"/>
        </w:rPr>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26-7: Primeira questão é o fato desse tema ser uma preocupação expressa quase que unicamente no CCD. Há bastante espaço para tratar do tema no Relatório ao CERD.</w:t>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26: “[...] (e) Threats, hate speech, including online hate speech, harassment and violence towards Afro-Brazilian women, particularly those seen as LGBTQI+ women, seeking or holding political office and a lack of accountability for such human rights violations (arts. 2 and 4–6)”. </w:t>
      </w:r>
      <w:r w:rsidDel="00000000" w:rsidR="00000000" w:rsidRPr="00000000">
        <w:rPr>
          <w:rFonts w:ascii="Times New Roman" w:cs="Times New Roman" w:eastAsia="Times New Roman" w:hAnsi="Times New Roman"/>
          <w:sz w:val="24"/>
          <w:szCs w:val="24"/>
          <w:rtl w:val="0"/>
        </w:rPr>
        <w:t xml:space="preserve">Necessidade de avançar sobre a cobertura de discurso de ódio e assédio em ambientes virtuais, sobretudo em mulheres afro-brasileiras LGBTQI+.</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Racist hate speech and hate crimes </w:t>
      </w:r>
    </w:p>
    <w:p w:rsidR="00000000" w:rsidDel="00000000" w:rsidP="00000000" w:rsidRDefault="00000000" w:rsidRPr="00000000" w14:paraId="000000B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30: Trata do problema de discurso de ódio racista como </w:t>
      </w:r>
      <w:r w:rsidDel="00000000" w:rsidR="00000000" w:rsidRPr="00000000">
        <w:rPr>
          <w:rFonts w:ascii="Times New Roman" w:cs="Times New Roman" w:eastAsia="Times New Roman" w:hAnsi="Times New Roman"/>
          <w:i w:val="1"/>
          <w:iCs w:val="1"/>
          <w:sz w:val="24"/>
          <w:szCs w:val="24"/>
          <w:rtl w:val="0"/>
        </w:rPr>
        <w:t xml:space="preserve">ascendente</w:t>
      </w:r>
      <w:r w:rsidDel="00000000" w:rsidR="00000000" w:rsidRPr="00000000">
        <w:rPr>
          <w:rFonts w:ascii="Times New Roman" w:cs="Times New Roman" w:eastAsia="Times New Roman" w:hAnsi="Times New Roman"/>
          <w:sz w:val="24"/>
          <w:szCs w:val="24"/>
          <w:rtl w:val="0"/>
        </w:rPr>
        <w:t xml:space="preserve"> na sociedade brasileira. E, de fato, acredito que o nosso Subsídio deveria tratar o problema dessa forma.</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31: Citação à Recomendação Geral n. 35.</w:t>
      </w:r>
    </w:p>
    <w:p w:rsidR="00000000" w:rsidDel="00000000" w:rsidP="00000000" w:rsidRDefault="00000000" w:rsidRPr="00000000" w14:paraId="000000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Racially motivated homicides</w:t>
      </w:r>
    </w:p>
    <w:p w:rsidR="00000000" w:rsidDel="00000000" w:rsidP="00000000" w:rsidRDefault="00000000" w:rsidRPr="00000000" w14:paraId="000000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32: Menciona a interrupção frequente do Plano Juventude Viva. Como está isso?</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Excessive use of force by law enforcement and military officials</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34: Cita duas questões que estão ausentes no III Relatório: crimes de violência sexual contra mulheres negras – e/ou PCDs e LGBTQI+ – e o uso de câmeras corporais em policiais. Esta última, sendo regra recente, é importante dar um foco no par legislação/implementação.</w:t>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36: “[...] (a) Ensuring the demilitarization of law enforcement activities in Brazil”. </w:t>
      </w:r>
      <w:r w:rsidDel="00000000" w:rsidR="00000000" w:rsidRPr="00000000">
        <w:rPr>
          <w:rFonts w:ascii="Times New Roman" w:cs="Times New Roman" w:eastAsia="Times New Roman" w:hAnsi="Times New Roman"/>
          <w:sz w:val="24"/>
          <w:szCs w:val="24"/>
          <w:rtl w:val="0"/>
        </w:rPr>
        <w:t xml:space="preserve">Há espaço para tratar desse debate, nem que seja com projetos de lei?</w:t>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Criminal justice </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iCs w:val="1"/>
          <w:sz w:val="24"/>
          <w:szCs w:val="24"/>
          <w:rtl w:val="0"/>
        </w:rPr>
        <w:t xml:space="preserve">Racial profiling</w:t>
      </w:r>
      <w:r w:rsidDel="00000000" w:rsidR="00000000" w:rsidRPr="00000000">
        <w:rPr>
          <w:rFonts w:ascii="Times New Roman" w:cs="Times New Roman" w:eastAsia="Times New Roman" w:hAnsi="Times New Roman"/>
          <w:sz w:val="24"/>
          <w:szCs w:val="24"/>
          <w:rtl w:val="0"/>
        </w:rPr>
        <w:br w:type="textWrapping"/>
        <w:t xml:space="preserve">Par. 37-40: Destaque aqui é a preocupação com o perfil racial e a demanda de uma resposta à Recomendação Geral n. 31 (2005).</w:t>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Persecution of those practising Afro-Brazilian religions</w:t>
      </w: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43: “(d) The fact that women who practise Afro-Brazilian religions experience their religion being negatively taken into account in decisions over custody of their children”. </w:t>
      </w:r>
      <w:r w:rsidDel="00000000" w:rsidR="00000000" w:rsidRPr="00000000">
        <w:rPr>
          <w:rFonts w:ascii="Times New Roman" w:cs="Times New Roman" w:eastAsia="Times New Roman" w:hAnsi="Times New Roman"/>
          <w:sz w:val="24"/>
          <w:szCs w:val="24"/>
          <w:rtl w:val="0"/>
        </w:rPr>
        <w:t xml:space="preserve">Essa é uma dimensão importante que não aparece no III Relatório. Para ser justo, a caracterização dos povos e comunidades tradicionais de terreiro e matriz africana é pouco satisfatória.</w:t>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Human rights defenders</w:t>
      </w: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45-6: Outra preocupação inexistente no III Relatório. Especialmente o caso do assassinato de Bruno Pereira e Dom Phillips (2022) precisam ser retratados, mas dando luz aos outros inúmeros casos.</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Indigenous and Quilombola communities</w:t>
      </w:r>
      <w:r w:rsidDel="00000000" w:rsidR="00000000" w:rsidRPr="00000000">
        <w:rPr>
          <w:rtl w:val="0"/>
        </w:rPr>
      </w:r>
    </w:p>
    <w:p w:rsidR="00000000" w:rsidDel="00000000" w:rsidP="00000000" w:rsidRDefault="00000000" w:rsidRPr="00000000" w14:paraId="000000D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49: “The Committee is concerned about: </w:t>
      </w:r>
    </w:p>
    <w:p w:rsidR="00000000" w:rsidDel="00000000" w:rsidP="00000000" w:rsidRDefault="00000000" w:rsidRPr="00000000" w14:paraId="000000D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Violence against Indigenous and Quilombola communities, including killings, often taking place in the context of the defence of their lands and/or as a result of their work as Indigenous human rights defenders”. </w:t>
      </w:r>
      <w:r w:rsidDel="00000000" w:rsidR="00000000" w:rsidRPr="00000000">
        <w:rPr>
          <w:rFonts w:ascii="Times New Roman" w:cs="Times New Roman" w:eastAsia="Times New Roman" w:hAnsi="Times New Roman"/>
          <w:sz w:val="24"/>
          <w:szCs w:val="24"/>
          <w:rtl w:val="0"/>
        </w:rPr>
        <w:t xml:space="preserve">Genocídio Yanomami.</w:t>
      </w:r>
    </w:p>
    <w:p w:rsidR="00000000" w:rsidDel="00000000" w:rsidP="00000000" w:rsidRDefault="00000000" w:rsidRPr="00000000" w14:paraId="000000D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Legal protection of Indigenous and Quilombola land</w:t>
      </w:r>
      <w:r w:rsidDel="00000000" w:rsidR="00000000" w:rsidRPr="00000000">
        <w:rPr>
          <w:rtl w:val="0"/>
        </w:rPr>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51. “The Committee is concerned that, despite the State party’s declared objective in 2004 to complete the process of Indigenous and Quilombola land demarcation by 2007,9 progress has stalled, with no new land demarcations having taken place since 2016. The Committee takes note of the information provided by the State party, during the dialogue, about the impact of the COVID-19 pandemic on the process, but is nevertheless concerned, particularly as land demarcation stalled several years prior to the emergence of the pandemic and reports suggest that the budget for the demarcation process was subject to presidential veto in 2022. The Committee is also deeply concerned about the application and institutionalization of the Temporal Landmark thesis, whereby only land occupied by Indigenous Peoples at the time of the passing of the Constitution in 1988 is considered eligible for demarcation. The Committee is further concerned by reports that, in the context of stalling Indigenous and Quilombola land demarcation, the judiciary are using the “security suspension mechanism” to authorize projects on Indigenous lands, without the free, informed and prior consent of those affected. Moreover, the Committee is concerned by reports of legislative proposals developed without consultation with Indigenous and Quilombola communities, such as Bill 191/2020, which would allow for the economic exploitation of natural resources on Indigenous lands and a weakening of environmental regulatory frameworks”. </w:t>
      </w:r>
      <w:r w:rsidDel="00000000" w:rsidR="00000000" w:rsidRPr="00000000">
        <w:rPr>
          <w:rFonts w:ascii="Times New Roman" w:cs="Times New Roman" w:eastAsia="Times New Roman" w:hAnsi="Times New Roman"/>
          <w:sz w:val="24"/>
          <w:szCs w:val="24"/>
          <w:rtl w:val="0"/>
        </w:rPr>
        <w:t xml:space="preserve">É preciso MUITA atenção sobre o debate em relação à tese do Marco Temporal, que ganhou desdobramentos decisivos recentes, e sobre a política de demarcação de terras. Sobre esta última, se possível, tentar recompilar uma estatística que demonstre uma curva nos números ao longo de todo o ciclo.</w:t>
      </w:r>
    </w:p>
    <w:p w:rsidR="00000000" w:rsidDel="00000000" w:rsidP="00000000" w:rsidRDefault="00000000" w:rsidRPr="00000000" w14:paraId="000000D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53: Citação à Recomendação Geral n. 23 (1997).</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Roma</w:t>
      </w:r>
      <w:r w:rsidDel="00000000" w:rsidR="00000000" w:rsidRPr="00000000">
        <w:rPr>
          <w:rFonts w:ascii="Times New Roman" w:cs="Times New Roman" w:eastAsia="Times New Roman" w:hAnsi="Times New Roman"/>
          <w:sz w:val="24"/>
          <w:szCs w:val="24"/>
          <w:rtl w:val="0"/>
        </w:rPr>
        <w:br w:type="textWrapping"/>
        <w:t xml:space="preserve">Par. 56: Conclusões reiteram o que o próprio Relatório demonstrou sobre informação demográfica insuficiente sobre povos ciganos.</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Outras recomendações</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 61-2: Tratados e Convenções que o CERD sugeriu assinatura, admissão ou ratificação:</w:t>
      </w:r>
    </w:p>
    <w:p w:rsidR="00000000" w:rsidDel="00000000" w:rsidP="00000000" w:rsidRDefault="00000000" w:rsidRPr="00000000" w14:paraId="000000DB">
      <w:pPr>
        <w:numPr>
          <w:ilvl w:val="0"/>
          <w:numId w:val="5"/>
        </w:numPr>
        <w:spacing w:line="360" w:lineRule="auto"/>
        <w:ind w:left="720" w:hanging="36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International Convention on the Protection of the Rights of All Migrant Workers and Members of Their Families</w:t>
      </w:r>
    </w:p>
    <w:p w:rsidR="00000000" w:rsidDel="00000000" w:rsidP="00000000" w:rsidRDefault="00000000" w:rsidRPr="00000000" w14:paraId="000000DC">
      <w:pPr>
        <w:numPr>
          <w:ilvl w:val="0"/>
          <w:numId w:val="5"/>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Amendment to article 8 (6) of the Convention adopted on 15 January 1992</w:t>
      </w:r>
    </w:p>
    <w:p w:rsidR="00000000" w:rsidDel="00000000" w:rsidP="00000000" w:rsidRDefault="00000000" w:rsidRPr="00000000" w14:paraId="000000DD">
      <w:pPr>
        <w:numPr>
          <w:ilvl w:val="0"/>
          <w:numId w:val="5"/>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The optional declaration provided for in article 14 of the Convention recognizing the competence of the Committee to receive and consider individual complaints.</w:t>
      </w:r>
    </w:p>
    <w:p w:rsidR="00000000" w:rsidDel="00000000" w:rsidP="00000000" w:rsidRDefault="00000000" w:rsidRPr="00000000" w14:paraId="000000DE">
      <w:pPr>
        <w:numPr>
          <w:ilvl w:val="0"/>
          <w:numId w:val="5"/>
        </w:numPr>
        <w:spacing w:line="360" w:lineRule="auto"/>
        <w:ind w:left="720" w:hanging="360"/>
        <w:jc w:val="both"/>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Durban Declaration and Programme of Action</w:t>
      </w:r>
      <w:r w:rsidDel="00000000" w:rsidR="00000000" w:rsidRPr="00000000">
        <w:rPr>
          <w:rFonts w:ascii="Times New Roman" w:cs="Times New Roman" w:eastAsia="Times New Roman" w:hAnsi="Times New Roman"/>
          <w:sz w:val="24"/>
          <w:szCs w:val="24"/>
          <w:rtl w:val="0"/>
        </w:rPr>
        <w:t xml:space="preserve"> – aqui é citada a Recomendação Geral n. 33 (2009)</w:t>
      </w:r>
    </w:p>
    <w:p w:rsidR="00000000" w:rsidDel="00000000" w:rsidP="00000000" w:rsidRDefault="00000000" w:rsidRPr="00000000" w14:paraId="000000DF">
      <w:pPr>
        <w:numPr>
          <w:ilvl w:val="0"/>
          <w:numId w:val="5"/>
        </w:numPr>
        <w:spacing w:line="36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General Assembly resolution 68/237, in which the Assembly proclaimed 2015–2024 the International Decade for People of African Descent</w:t>
      </w:r>
    </w:p>
    <w:p w:rsidR="00000000" w:rsidDel="00000000" w:rsidP="00000000" w:rsidRDefault="00000000" w:rsidRPr="00000000" w14:paraId="000000E0">
      <w:pPr>
        <w:spacing w:line="36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Follow-up to the present concluding observations</w:t>
      </w:r>
      <w:r w:rsidDel="00000000" w:rsidR="00000000" w:rsidRPr="00000000">
        <w:rPr>
          <w:rtl w:val="0"/>
        </w:rPr>
      </w:r>
    </w:p>
    <w:p w:rsidR="00000000" w:rsidDel="00000000" w:rsidP="00000000" w:rsidRDefault="00000000" w:rsidRPr="00000000" w14:paraId="000000E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 68. “In accordance with article 9 (1) of the Convention and rule 65 of its rules of procedure, the Committee requests the State party to provide, within one year of the adoption of the present concluding observations, information on its implementation of the recommendations contained in paragraphs 17 (a) (right to health and the impact of the COVID-19 pandemic), 19 (c) (disparities in access to education), 23 (a) (poverty, work and income) and 36 (a)–(d) (excessive use of force by law enforcement and military officials)”.</w:t>
      </w:r>
    </w:p>
    <w:p w:rsidR="00000000" w:rsidDel="00000000" w:rsidP="00000000" w:rsidRDefault="00000000" w:rsidRPr="00000000" w14:paraId="000000E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 69: “The Committee wishes to draw the attention of the State party to the particular importance of the recommendations contained in paragraphs 17 (b)–(c) and (e)–(f) (right to health and the impact of the COVID-19 pandemic), 23 (poverty, work and income), 27 (c) (political representation), 33 (racially motivated homicides), 46 (human rights defenders), 48 (development, environment, business and human rights), 50 (Indigenous and Quilombola communities), 53 (legal protection of Indigenous and Quilombola land) and 60 (e) (efforts to combat racial prejudices, increase understanding and address legacies of historical injustices) above and requests the State party to provide detailed information in its next periodic report on the concrete measures taken to implement those recommendations”. </w:t>
      </w:r>
      <w:r w:rsidDel="00000000" w:rsidR="00000000" w:rsidRPr="00000000">
        <w:rPr>
          <w:rFonts w:ascii="Times New Roman" w:cs="Times New Roman" w:eastAsia="Times New Roman" w:hAnsi="Times New Roman"/>
          <w:sz w:val="24"/>
          <w:szCs w:val="24"/>
          <w:rtl w:val="0"/>
        </w:rPr>
        <w:t xml:space="preserve">Recomendações tratadas como prioritárias.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