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QUADRO DE INVESTIGAÇÃO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Baseado nas Observações Finais do CERD (2022) - Ciclo 18º-20º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Cruzamento com Recomendações Gerais e Plano de Ação de Durban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EIXO I — ESTRUTURA NORMATIVA E INSTITUCIONAL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59.00000000000034" w:tblpY="0"/>
        <w:tblW w:w="12210.0" w:type="dxa"/>
        <w:jc w:val="left"/>
        <w:tblInd w:w="-840.0" w:type="dxa"/>
        <w:tblLayout w:type="fixed"/>
        <w:tblLook w:val="0400"/>
      </w:tblPr>
      <w:tblGrid>
        <w:gridCol w:w="1935"/>
        <w:gridCol w:w="3270"/>
        <w:gridCol w:w="2250"/>
        <w:gridCol w:w="2100"/>
        <w:gridCol w:w="2655"/>
        <w:tblGridChange w:id="0">
          <w:tblGrid>
            <w:gridCol w:w="1935"/>
            <w:gridCol w:w="3270"/>
            <w:gridCol w:w="2250"/>
            <w:gridCol w:w="2100"/>
            <w:gridCol w:w="2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Questões de Investigação (Checklist CERD)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Evidências / Fontes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Recomendações Gerais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 do Tempo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Estatísticas e Censo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[Par. 5 e 6]</w:t>
            </w:r>
            <w:r w:rsidDel="00000000" w:rsidR="00000000" w:rsidRPr="00000000">
              <w:rPr>
                <w:rtl w:val="0"/>
              </w:rPr>
              <w:t xml:space="preserve"> O Censo 2022 garantiu cobertura total em áreas indígenas/quilombolas? O critério de autoidentificação foi respeitado em todos os registros administrativos?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• Microdados do Censo 2022 (IBGE).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Formulários de registro (RAIS, CadÚnico, SINAN).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23 (1997)</w:t>
              </w:r>
            </w:hyperlink>
            <w:r w:rsidDel="00000000" w:rsidR="00000000" w:rsidRPr="00000000">
              <w:rPr>
                <w:rtl w:val="0"/>
              </w:rPr>
              <w:t xml:space="preserve">, Par. 5 e 6.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2022: </w:t>
            </w:r>
            <w:r w:rsidDel="00000000" w:rsidR="00000000" w:rsidRPr="00000000">
              <w:rPr>
                <w:rtl w:val="0"/>
              </w:rPr>
              <w:t xml:space="preserve">Censo: atenção especial ao mapeamento das comunidades tradicionais e ao crescimento da população negra no país.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Legislação Antirracista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[Par. ___)]</w:t>
            </w:r>
            <w:r w:rsidDel="00000000" w:rsidR="00000000" w:rsidRPr="00000000">
              <w:rPr>
                <w:rtl w:val="0"/>
              </w:rPr>
              <w:t xml:space="preserve"> O Estatuto da Igualdade Racial (Lei 12.288) foi efetivamente regulamentado e implementado nos níveis estadual e municipal?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• Leis estaduais/municipais (2018-2025).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Planos estaduais de igualdade racial.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34 (2011)</w:t>
              </w:r>
            </w:hyperlink>
            <w:r w:rsidDel="00000000" w:rsidR="00000000" w:rsidRPr="00000000">
              <w:rPr>
                <w:rtl w:val="0"/>
              </w:rPr>
              <w:t xml:space="preserve">, Par. 10, 11 e 12.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2023-04-20: </w:t>
            </w:r>
            <w:r w:rsidDel="00000000" w:rsidR="00000000" w:rsidRPr="00000000">
              <w:rPr>
                <w:rtl w:val="0"/>
              </w:rPr>
              <w:t xml:space="preserve">Lei nº 14.553 altera o Estatuto da Igualdade Racial para medir a distribuição étnico-racial no mercado de trabalho.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Capacidade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[Par. 14 c (53?)]</w:t>
            </w:r>
            <w:r w:rsidDel="00000000" w:rsidR="00000000" w:rsidRPr="00000000">
              <w:rPr>
                <w:rtl w:val="0"/>
              </w:rPr>
              <w:t xml:space="preserve"> O SINAPIR e os órgãos de igualdade racial (MIR/MPI) receberam recursos (humanos/financeiros) suficientes ou sofreram desmonte?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• Lei Orçamentária Anual (LOA) vs. Execução.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• Organogramas e Decretos.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31 (2005)</w:t>
              </w:r>
            </w:hyperlink>
            <w:r w:rsidDel="00000000" w:rsidR="00000000" w:rsidRPr="00000000">
              <w:rPr>
                <w:rtl w:val="0"/>
              </w:rPr>
              <w:t xml:space="preserve">, Par. 5 (j); </w:t>
            </w: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34 (2011)</w:t>
              </w:r>
            </w:hyperlink>
            <w:r w:rsidDel="00000000" w:rsidR="00000000" w:rsidRPr="00000000">
              <w:rPr>
                <w:rtl w:val="0"/>
              </w:rPr>
              <w:t xml:space="preserve">, Par. 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Discurso de Ódio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[Par. 30 e 31]</w:t>
            </w:r>
            <w:r w:rsidDel="00000000" w:rsidR="00000000" w:rsidRPr="00000000">
              <w:rPr>
                <w:rtl w:val="0"/>
              </w:rPr>
              <w:t xml:space="preserve"> - Houve responsabilização de autoridades públicas e políticos que fizeram declarações racistas ou incitaram violência contra indígenas?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• Inquéritos do MPF/STF/AGU e CGU.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• Julgamentos e Relatórios do TCU.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• Cadernos de Jurisprudência do STF.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• Notas técnicas de denúncia.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34 (2011)</w:t>
              </w:r>
            </w:hyperlink>
            <w:r w:rsidDel="00000000" w:rsidR="00000000" w:rsidRPr="00000000">
              <w:rPr>
                <w:rtl w:val="0"/>
              </w:rPr>
              <w:t xml:space="preserve">, especialmente Par. 13 e 15.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Representação Política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[Par. 26 e 27]</w:t>
            </w:r>
            <w:r w:rsidDel="00000000" w:rsidR="00000000" w:rsidRPr="00000000">
              <w:rPr>
                <w:rtl w:val="0"/>
              </w:rPr>
              <w:t xml:space="preserve"> - Houve aumento efetivo da representação de afrodescendentes e indígenas em cargos de decisão política?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Dados do TSE (Eleições 2022/24); Cargos DAS (Executivo).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34 (2011)</w:t>
              </w:r>
            </w:hyperlink>
            <w:r w:rsidDel="00000000" w:rsidR="00000000" w:rsidRPr="00000000">
              <w:rPr>
                <w:rtl w:val="0"/>
              </w:rPr>
              <w:t xml:space="preserve">, Par. 42-46.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2020-08-25: </w:t>
            </w:r>
            <w:r w:rsidDel="00000000" w:rsidR="00000000" w:rsidRPr="00000000">
              <w:rPr>
                <w:rtl w:val="0"/>
              </w:rPr>
              <w:t xml:space="preserve">TSE: distribuição do Fundo Partidário proporcional aos candidatos negros e mulheres.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2020-10-02</w:t>
            </w:r>
            <w:r w:rsidDel="00000000" w:rsidR="00000000" w:rsidRPr="00000000">
              <w:rPr>
                <w:rtl w:val="0"/>
              </w:rPr>
              <w:t xml:space="preserve">: STF confirma a regra.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2023-03-21: </w:t>
            </w:r>
            <w:r w:rsidDel="00000000" w:rsidR="00000000" w:rsidRPr="00000000">
              <w:rPr>
                <w:rtl w:val="0"/>
              </w:rPr>
              <w:t xml:space="preserve">Decreto nº 11.443 estabelece percentual mínimo de pessoas negras em funções de confiança na adm. pública federal direta, autárquica e fundacional.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Combate ao Preconceito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[Par. 60]</w:t>
            </w:r>
            <w:r w:rsidDel="00000000" w:rsidR="00000000" w:rsidRPr="00000000">
              <w:rPr>
                <w:rtl w:val="0"/>
              </w:rPr>
              <w:t xml:space="preserve"> - Que medidas concretas foram tomadas para combater preconceitos raciais e legados de injustiças históricas (educação/memória)?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Currículo escolar (Lei 10.639); Museus e Monumentos.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34 (2011)</w:t>
              </w:r>
            </w:hyperlink>
            <w:r w:rsidDel="00000000" w:rsidR="00000000" w:rsidRPr="00000000">
              <w:rPr>
                <w:rtl w:val="0"/>
              </w:rPr>
              <w:t xml:space="preserve">, Par. 20, 30, 32-3, 61-6; </w:t>
            </w: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35 (2013)</w:t>
              </w:r>
            </w:hyperlink>
            <w:r w:rsidDel="00000000" w:rsidR="00000000" w:rsidRPr="00000000">
              <w:rPr>
                <w:rtl w:val="0"/>
              </w:rPr>
              <w:t xml:space="preserve">, Par. 34-5;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2023-11-20: </w:t>
            </w:r>
            <w:r w:rsidDel="00000000" w:rsidR="00000000" w:rsidRPr="00000000">
              <w:rPr>
                <w:rtl w:val="0"/>
              </w:rPr>
              <w:t xml:space="preserve">Decreto nº 11.785 institui o Programa Federal de Ações Afirmativas;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2024-11-29: </w:t>
            </w:r>
            <w:r w:rsidDel="00000000" w:rsidR="00000000" w:rsidRPr="00000000">
              <w:rPr>
                <w:rtl w:val="0"/>
              </w:rPr>
              <w:t xml:space="preserve">Decreto nº 12.278 institui a Política Nacional para Povos e Comunidades de Terreiro e de Matriz Africana;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2025-12-18: </w:t>
            </w:r>
            <w:r w:rsidDel="00000000" w:rsidR="00000000" w:rsidRPr="00000000">
              <w:rPr>
                <w:rtl w:val="0"/>
              </w:rPr>
              <w:t xml:space="preserve">ADPF 973 do STF reconhece a existência de racismo estrutural;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2025-12-22</w:t>
            </w:r>
            <w:r w:rsidDel="00000000" w:rsidR="00000000" w:rsidRPr="00000000">
              <w:rPr>
                <w:rtl w:val="0"/>
              </w:rPr>
              <w:t xml:space="preserve">: STF vota pela inconstitucionalidade do Marco Temporal.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Legislação/Orçamento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[Geral]</w:t>
            </w:r>
            <w:r w:rsidDel="00000000" w:rsidR="00000000" w:rsidRPr="00000000">
              <w:rPr>
                <w:rtl w:val="0"/>
              </w:rPr>
              <w:t xml:space="preserve"> O orçamento para políticas de igualdade racial foi executado ou contingenciado no período?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LOA vs. Execução (SIOP).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Declaração de Durban</w:t>
              </w:r>
            </w:hyperlink>
            <w:r w:rsidDel="00000000" w:rsidR="00000000" w:rsidRPr="00000000">
              <w:rPr>
                <w:rtl w:val="0"/>
              </w:rPr>
              <w:t xml:space="preserve">, Par. 114, </w:t>
            </w:r>
            <w:hyperlink r:id="rId1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Plano de Ação de Durban</w:t>
              </w:r>
            </w:hyperlink>
            <w:r w:rsidDel="00000000" w:rsidR="00000000" w:rsidRPr="00000000">
              <w:rPr>
                <w:rtl w:val="0"/>
              </w:rPr>
              <w:t xml:space="preserve">, Par. 90, 117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EIXO II — VIOLÊNCIA RACIALIZADA E JUSTIÇA</w:t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96904880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0" w:tblpY="0"/>
            <w:tblW w:w="12570.0" w:type="dxa"/>
            <w:jc w:val="left"/>
            <w:tblInd w:w="-870.0" w:type="dxa"/>
            <w:tblLayout w:type="fixed"/>
            <w:tblLook w:val="0400"/>
          </w:tblPr>
          <w:tblGrid>
            <w:gridCol w:w="2235"/>
            <w:gridCol w:w="3045"/>
            <w:gridCol w:w="2460"/>
            <w:gridCol w:w="2040"/>
            <w:gridCol w:w="2790"/>
            <w:tblGridChange w:id="0">
              <w:tblGrid>
                <w:gridCol w:w="2235"/>
                <w:gridCol w:w="3045"/>
                <w:gridCol w:w="2460"/>
                <w:gridCol w:w="2040"/>
                <w:gridCol w:w="27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5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Tema Central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5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Questões de Investigação (Checklist CERD)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5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Evidências / Fontes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Recomendações Gerais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Linha do Tempo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Letalidade Policial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5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[Par. 34 a 36]</w:t>
                </w:r>
                <w:r w:rsidDel="00000000" w:rsidR="00000000" w:rsidRPr="00000000">
                  <w:rPr>
                    <w:rtl w:val="0"/>
                  </w:rPr>
                  <w:t xml:space="preserve"> - Que medidas concretas foram tomadas para reduzir a letalidade em favelas? A ADPF 635 (STF) foi cumprida?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Dados de Segurança Pública (ISP/Fórum Brasileiro).</w:t>
                </w:r>
              </w:p>
              <w:p w:rsidR="00000000" w:rsidDel="00000000" w:rsidP="00000000" w:rsidRDefault="00000000" w:rsidRPr="00000000" w14:paraId="00000061">
                <w:pPr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Relatórios de monitoramento da ADPF 635.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63">
                <w:pPr>
                  <w:rPr/>
                </w:pPr>
                <w:hyperlink r:id="rId19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31 (2005)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1 (a), 20-1; </w:t>
                </w:r>
                <w:hyperlink r:id="rId20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34 (2011)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28, 39.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6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2024-03-21</w:t>
                </w:r>
                <w:r w:rsidDel="00000000" w:rsidR="00000000" w:rsidRPr="00000000">
                  <w:rPr>
                    <w:rtl w:val="0"/>
                  </w:rPr>
                  <w:t xml:space="preserve">: Decreto nº 11.956/2024 institui o Plano Juventude Negra Viva que, entre outras coisas, pretende enfrentar e reduzir a violência letal contra a juventude negra;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2024-12-18: </w:t>
                </w:r>
                <w:r w:rsidDel="00000000" w:rsidR="00000000" w:rsidRPr="00000000">
                  <w:rPr>
                    <w:rtl w:val="0"/>
                  </w:rPr>
                  <w:t xml:space="preserve">Lançado o “Índice de Vulnerabilidade da Juventude Negra à Violência” (IVJ-N);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Controle Externo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[Par. 34 e]</w:t>
                </w:r>
                <w:r w:rsidDel="00000000" w:rsidR="00000000" w:rsidRPr="00000000">
                  <w:rPr>
                    <w:rtl w:val="0"/>
                  </w:rPr>
                  <w:t xml:space="preserve"> Houve expansão do uso de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câmeras corporais</w:t>
                </w:r>
                <w:r w:rsidDel="00000000" w:rsidR="00000000" w:rsidRPr="00000000">
                  <w:rPr>
                    <w:rtl w:val="0"/>
                  </w:rPr>
                  <w:t xml:space="preserve">? As investigações de mortes policiais são feitas por órgãos independentes ou pela própria corporação?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Editais de compra de câmeras.</w:t>
                </w:r>
              </w:p>
              <w:p w:rsidR="00000000" w:rsidDel="00000000" w:rsidP="00000000" w:rsidRDefault="00000000" w:rsidRPr="00000000" w14:paraId="00000069">
                <w:pPr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Estatísticas das Corregedorias e MP.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6B">
                <w:pPr>
                  <w:rPr/>
                </w:pPr>
                <w:hyperlink r:id="rId21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36 (2020)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35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2024-05-28: </w:t>
                </w:r>
                <w:r w:rsidDel="00000000" w:rsidR="00000000" w:rsidRPr="00000000">
                  <w:rPr>
                    <w:rtl w:val="0"/>
                  </w:rPr>
                  <w:t xml:space="preserve">Portaria MJSP nº 648 estabelece diretrizes sobre o uso de câmeras corporais;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6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Sistema Prisional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6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[Par. 37 e 38]</w:t>
                </w:r>
                <w:r w:rsidDel="00000000" w:rsidR="00000000" w:rsidRPr="00000000">
                  <w:rPr>
                    <w:rtl w:val="0"/>
                  </w:rPr>
                  <w:t xml:space="preserve"> O Estado adotou medidas para reduzir a desproporção de negros no sistema carcerário (revisão da Lei de Drogas/Penas alternativas)?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Levantamento Nacional de Informações Penitenciárias (SISDEPEN).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0">
                <w:pPr>
                  <w:rPr/>
                </w:pPr>
                <w:hyperlink r:id="rId22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31 (2005)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1, 5 (a-f; i-j).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1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2024-11-22</w:t>
                </w:r>
                <w:r w:rsidDel="00000000" w:rsidR="00000000" w:rsidRPr="00000000">
                  <w:rPr>
                    <w:rtl w:val="0"/>
                  </w:rPr>
                  <w:t xml:space="preserve"> - </w:t>
                </w:r>
                <w:hyperlink r:id="rId23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Resolução CNJ nº 598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estabelece as diretrizes para adoção de Perspectiva Racial nos julgamentos em todo o Poder Judiciário;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Acesso à Justiça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[Par. 11 e 12]</w:t>
                </w:r>
                <w:r w:rsidDel="00000000" w:rsidR="00000000" w:rsidRPr="00000000">
                  <w:rPr>
                    <w:rtl w:val="0"/>
                  </w:rPr>
                  <w:t xml:space="preserve"> A Defensoria Pública foi interiorizada para áreas de conflito? Há garantia de intérpretes de línguas indígenas nos tribunais?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Relatórios de gestão da DPU/DPEs.</w:t>
                </w:r>
              </w:p>
              <w:p w:rsidR="00000000" w:rsidDel="00000000" w:rsidP="00000000" w:rsidRDefault="00000000" w:rsidRPr="00000000" w14:paraId="00000075">
                <w:pPr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Dados do CNJ (Resolução 287).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rPr/>
                </w:pPr>
                <w:hyperlink r:id="rId24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23 (1997)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4 (b, d) e 5; </w:t>
                </w:r>
                <w:hyperlink r:id="rId25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31 (2005)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5 (e), 30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Homicídios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[Par. 32 e 33]</w:t>
                </w:r>
                <w:r w:rsidDel="00000000" w:rsidR="00000000" w:rsidRPr="00000000">
                  <w:rPr>
                    <w:rtl w:val="0"/>
                  </w:rPr>
                  <w:t xml:space="preserve"> O Estado reduziu os homicídios motivados por raça? Há dados oficiais desagregados sobre essa motivação?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Atlas da Violência; Anuário FBSP.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rPr>
                    <w:b w:val="1"/>
                    <w:bCs w:val="1"/>
                  </w:rPr>
                </w:pPr>
                <w:hyperlink r:id="rId26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34 (2011)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28, 31; </w:t>
                </w:r>
                <w:hyperlink r:id="rId27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37 (2024)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2024-12-18: </w:t>
                </w:r>
                <w:r w:rsidDel="00000000" w:rsidR="00000000" w:rsidRPr="00000000">
                  <w:rPr>
                    <w:rtl w:val="0"/>
                  </w:rPr>
                  <w:t xml:space="preserve">Lançado o “Índice de Vulnerabilidade da Juventude Negra à Violência” (IVJ-N);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Defensores de DH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[Par. 45 e 46]</w:t>
                </w:r>
                <w:r w:rsidDel="00000000" w:rsidR="00000000" w:rsidRPr="00000000">
                  <w:rPr>
                    <w:rtl w:val="0"/>
                  </w:rPr>
                  <w:t xml:space="preserve"> O Programa de Proteção (PPDDH) garantiu a segurança de defensores, especialmente em áreas rurais?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da CPT; Orçamento PPDDH.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numPr>
                    <w:ilvl w:val="0"/>
                    <w:numId w:val="1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(!!!)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2025-11-05</w:t>
                </w:r>
                <w:r w:rsidDel="00000000" w:rsidR="00000000" w:rsidRPr="00000000">
                  <w:rPr>
                    <w:rtl w:val="0"/>
                  </w:rPr>
                  <w:t xml:space="preserve"> - Decreto nº 12.710 institui </w:t>
                </w:r>
                <w:r w:rsidDel="00000000" w:rsidR="00000000" w:rsidRPr="00000000">
                  <w:rPr>
                    <w:highlight w:val="white"/>
                    <w:rtl w:val="0"/>
                  </w:rPr>
                  <w:t xml:space="preserve">o “Plano Nacional de Proteção a Defensoras e Defensores de Direitos Humanos”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EIXO III — TERRITÓRIO, POVOS INDÍGENAS E QUILOMBOLAS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77539131"/>
        <w:tag w:val="goog_rdk_2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12375.0" w:type="dxa"/>
            <w:jc w:val="left"/>
            <w:tblInd w:w="-840.0" w:type="dxa"/>
            <w:tblLayout w:type="fixed"/>
            <w:tblLook w:val="0400"/>
          </w:tblPr>
          <w:tblGrid>
            <w:gridCol w:w="2280"/>
            <w:gridCol w:w="2805"/>
            <w:gridCol w:w="2475"/>
            <w:gridCol w:w="2100"/>
            <w:gridCol w:w="2715"/>
            <w:tblGridChange w:id="0">
              <w:tblGrid>
                <w:gridCol w:w="2280"/>
                <w:gridCol w:w="2805"/>
                <w:gridCol w:w="2475"/>
                <w:gridCol w:w="2100"/>
                <w:gridCol w:w="271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Tema Central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Questões de Investigação (Checklist CERD)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Evidências / Fontes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Recomendações Gerais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Linha do Tempo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Demarcação e Titulação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[Par. 51 a 53]</w:t>
                </w:r>
                <w:r w:rsidDel="00000000" w:rsidR="00000000" w:rsidRPr="00000000">
                  <w:rPr>
                    <w:rtl w:val="0"/>
                  </w:rPr>
                  <w:t xml:space="preserve"> Quantas Terras Indígenas e Quilombos foram demarcados/titulados de 2018 a 2025? Houve aceleração ou paralisação?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Dados oficiais FUNAI e INCRA.</w:t>
                </w:r>
              </w:p>
              <w:p w:rsidR="00000000" w:rsidDel="00000000" w:rsidP="00000000" w:rsidRDefault="00000000" w:rsidRPr="00000000" w14:paraId="000000A4">
                <w:pPr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Monitoramento de ONGs (ISA/Cimi/Conaq).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rPr/>
                </w:pPr>
                <w:hyperlink r:id="rId28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23 (1997)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5; </w:t>
                </w:r>
                <w:hyperlink r:id="rId29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34 (2011)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4 (a); </w:t>
                </w:r>
                <w:hyperlink r:id="rId30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38 (2025)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57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2020-04-16: </w:t>
                </w:r>
                <w:r w:rsidDel="00000000" w:rsidR="00000000" w:rsidRPr="00000000">
                  <w:rPr>
                    <w:rtl w:val="0"/>
                  </w:rPr>
                  <w:t xml:space="preserve">Instrução Normativa Funai nº 9/2020 facilitava venda, desmembramento e invasão de terras indígenas não-homologadas;</w:t>
                </w:r>
              </w:p>
              <w:p w:rsidR="00000000" w:rsidDel="00000000" w:rsidP="00000000" w:rsidRDefault="00000000" w:rsidRPr="00000000" w14:paraId="000000A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2020-04-16: </w:t>
                </w:r>
                <w:r w:rsidDel="00000000" w:rsidR="00000000" w:rsidRPr="00000000">
                  <w:rPr>
                    <w:rtl w:val="0"/>
                  </w:rPr>
                  <w:t xml:space="preserve">MPF encaminha à PGR propositura de ADPF em face da IN Funai nº 9/2020;</w:t>
                </w:r>
              </w:p>
              <w:p w:rsidR="00000000" w:rsidDel="00000000" w:rsidP="00000000" w:rsidRDefault="00000000" w:rsidRPr="00000000" w14:paraId="000000A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2023-10-20: </w:t>
                </w:r>
                <w:r w:rsidDel="00000000" w:rsidR="00000000" w:rsidRPr="00000000">
                  <w:rPr>
                    <w:rtl w:val="0"/>
                  </w:rPr>
                  <w:t xml:space="preserve">Lei nº 14.701/2023 é publicada dispondo sobre reconhecimento, marcação, uso e gestão de terras indígenas.</w:t>
                </w:r>
              </w:p>
              <w:p w:rsidR="00000000" w:rsidDel="00000000" w:rsidP="00000000" w:rsidRDefault="00000000" w:rsidRPr="00000000" w14:paraId="000000A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2023-11-20: </w:t>
                </w:r>
                <w:r w:rsidDel="00000000" w:rsidR="00000000" w:rsidRPr="00000000">
                  <w:rPr>
                    <w:rtl w:val="0"/>
                  </w:rPr>
                  <w:t xml:space="preserve">Decreto nº 11.786/2023 institui a Política Nacional de Gestão Territorial e Ambiental Quilombola - PNGTAQ;</w:t>
                </w:r>
              </w:p>
              <w:p w:rsidR="00000000" w:rsidDel="00000000" w:rsidP="00000000" w:rsidRDefault="00000000" w:rsidRPr="00000000" w14:paraId="000000A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Segurança Jurídica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[Par. 51]</w:t>
                </w:r>
                <w:r w:rsidDel="00000000" w:rsidR="00000000" w:rsidRPr="00000000">
                  <w:rPr>
                    <w:rtl w:val="0"/>
                  </w:rPr>
                  <w:t xml:space="preserve"> Qual a posição oficial do Estado (Executivo/Legislativo/Judiciário) sobre a tese do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Marco Temporal</w:t>
                </w:r>
                <w:r w:rsidDel="00000000" w:rsidR="00000000" w:rsidRPr="00000000">
                  <w:rPr>
                    <w:rtl w:val="0"/>
                  </w:rPr>
                  <w:t xml:space="preserve"> e a Lei 14.701?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Ações no STF (RE 1.017.365 e ADIs).</w:t>
                </w:r>
              </w:p>
              <w:p w:rsidR="00000000" w:rsidDel="00000000" w:rsidP="00000000" w:rsidRDefault="00000000" w:rsidRPr="00000000" w14:paraId="000000AF">
                <w:pPr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Votos e pareceres da AGU.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rPr/>
                </w:pPr>
                <w:hyperlink r:id="rId31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23 (1997)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4 (a, c-e), 5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2023-10-20: </w:t>
                </w:r>
                <w:r w:rsidDel="00000000" w:rsidR="00000000" w:rsidRPr="00000000">
                  <w:rPr>
                    <w:rtl w:val="0"/>
                  </w:rPr>
                  <w:t xml:space="preserve">Lei nº 14.701/2023 é publicada dispondo sobre reconhecimento, marcação, uso e gestão de terras indígenas.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2023-12-27: </w:t>
                </w:r>
                <w:r w:rsidDel="00000000" w:rsidR="00000000" w:rsidRPr="00000000">
                  <w:rPr>
                    <w:rtl w:val="0"/>
                  </w:rPr>
                  <w:t xml:space="preserve">Congresso promulga artigos com a tese do Marco Temporal vetados na Lei nº 14.701;</w:t>
                </w:r>
              </w:p>
              <w:p w:rsidR="00000000" w:rsidDel="00000000" w:rsidP="00000000" w:rsidRDefault="00000000" w:rsidRPr="00000000" w14:paraId="000000B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2025-12-22: </w:t>
                </w:r>
                <w:r w:rsidDel="00000000" w:rsidR="00000000" w:rsidRPr="00000000">
                  <w:rPr>
                    <w:rtl w:val="0"/>
                  </w:rPr>
                  <w:t xml:space="preserve">Maioria dos ministros do STF vota pela inconstitucionalidade do Marco Temporal (ACD 87, ADIs 7582, 7583 e 7586).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Desintrusão (Invasões)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[Par. 30 d]</w:t>
                </w:r>
                <w:r w:rsidDel="00000000" w:rsidR="00000000" w:rsidRPr="00000000">
                  <w:rPr>
                    <w:rtl w:val="0"/>
                  </w:rPr>
                  <w:t xml:space="preserve"> O Estado realizou operações efetivas para retirar invasores (garimpeiros/madeireiros) de terras protegidas (ex: Yanomami)?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Relatórios de operações (Polícia Federal/Ibama).</w:t>
                </w:r>
              </w:p>
              <w:p w:rsidR="00000000" w:rsidDel="00000000" w:rsidP="00000000" w:rsidRDefault="00000000" w:rsidRPr="00000000" w14:paraId="000000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Declaração de Estado de emergência no Território Yanomami (Portaria GM/MS nº 28/2023)</w:t>
                </w:r>
              </w:p>
              <w:p w:rsidR="00000000" w:rsidDel="00000000" w:rsidP="00000000" w:rsidRDefault="00000000" w:rsidRPr="00000000" w14:paraId="000000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Dados de desmatamento (Prodes/Deter).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rPr/>
                </w:pPr>
                <w:hyperlink r:id="rId32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23 (1997)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3, 5; </w:t>
                </w:r>
                <w:hyperlink r:id="rId33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34 (2011)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4 (a)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2023-01-20: </w:t>
                </w:r>
                <w:r w:rsidDel="00000000" w:rsidR="00000000" w:rsidRPr="00000000">
                  <w:rPr>
                    <w:rtl w:val="0"/>
                  </w:rPr>
                  <w:t xml:space="preserve">Portaria GM/MS, nº 28/2023 declara Estado de Emergência no Território Yanomami.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rPr/>
                </w:pPr>
                <w:sdt>
                  <w:sdtPr>
                    <w:id w:val="-812169133"/>
                    <w:tag w:val="goog_rdk_1"/>
                  </w:sdtPr>
                  <w:sdtContent>
                    <w:commentRangeStart w:id="0"/>
                  </w:sdtContent>
                </w:sdt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Defensores de DH</w:t>
                </w:r>
                <w:commentRangeEnd w:id="0"/>
                <w:r w:rsidDel="00000000" w:rsidR="00000000" w:rsidRPr="00000000">
                  <w:commentReference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[Par. 32]</w:t>
                </w:r>
                <w:r w:rsidDel="00000000" w:rsidR="00000000" w:rsidRPr="00000000">
                  <w:rPr>
                    <w:rtl w:val="0"/>
                  </w:rPr>
                  <w:t xml:space="preserve"> O PPDDH foi fortalecido para proteger lideranças ameaçadas? Os assassinatos no campo foram elucidados?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Orçamento do PPDDH.</w:t>
                </w:r>
              </w:p>
              <w:p w:rsidR="00000000" w:rsidDel="00000000" w:rsidP="00000000" w:rsidRDefault="00000000" w:rsidRPr="00000000" w14:paraId="000000BF">
                <w:pPr>
                  <w:rPr/>
                </w:pPr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Relatórios da CPT (Conflitos no Campo).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rPr/>
                </w:pPr>
                <w:hyperlink r:id="rId34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31 (2005)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4 (a); </w:t>
                </w:r>
                <w:hyperlink r:id="rId35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34 (2011)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28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2025-11-05: </w:t>
                </w:r>
                <w:r w:rsidDel="00000000" w:rsidR="00000000" w:rsidRPr="00000000">
                  <w:rPr>
                    <w:rtl w:val="0"/>
                  </w:rPr>
                  <w:t xml:space="preserve">Decreto nº 12.710 institui o Plano Nacional de Proteção a Defensoras e Defensores de Direitos Humanos.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Meio Ambiente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[Par. 48]</w:t>
                </w:r>
                <w:r w:rsidDel="00000000" w:rsidR="00000000" w:rsidRPr="00000000">
                  <w:rPr>
                    <w:rtl w:val="0"/>
                  </w:rPr>
                  <w:t xml:space="preserve"> Os projetos de desenvolvimento e exploração ambiental respeitaram os direitos humanos e a consulta prévia?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Licenciamentos ambientais; Casos de contaminação (Mercúrio).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rPr/>
                </w:pPr>
                <w:hyperlink r:id="rId36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31 (2005)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4; </w:t>
                </w:r>
                <w:hyperlink r:id="rId37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37 (2024)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20-2; 54 (g)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2023-11-20: </w:t>
                </w:r>
                <w:r w:rsidDel="00000000" w:rsidR="00000000" w:rsidRPr="00000000">
                  <w:rPr>
                    <w:rtl w:val="0"/>
                  </w:rPr>
                  <w:t xml:space="preserve">Decreto nº 11.786/2023 institui a Política Nacional de Gestão Territorial e Ambiental Quilombola.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Comunidades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[Par. 50]</w:t>
                </w:r>
                <w:r w:rsidDel="00000000" w:rsidR="00000000" w:rsidRPr="00000000">
                  <w:rPr>
                    <w:rtl w:val="0"/>
                  </w:rPr>
                  <w:t xml:space="preserve"> A situação dos direitos humanos nas comunidades quilombolas e indígenas melhorou (acesso a água, luz, saneamento)?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Censo 2022 (Dados de entorno); CadÚnico.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rPr/>
                </w:pPr>
                <w:hyperlink r:id="rId38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R. G. n. 37 (2024)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Par. 6, 22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120.0" w:type="dxa"/>
                  <w:left w:w="180.0" w:type="dxa"/>
                  <w:bottom w:w="120.0" w:type="dxa"/>
                  <w:right w:w="18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2023-03-21: </w:t>
                </w:r>
                <w:r w:rsidDel="00000000" w:rsidR="00000000" w:rsidRPr="00000000">
                  <w:rPr>
                    <w:rtl w:val="0"/>
                  </w:rPr>
                  <w:t xml:space="preserve">Decreto nº 11.447 lança o Programa Aquilomba Brasil;</w:t>
                </w:r>
              </w:p>
              <w:p w:rsidR="00000000" w:rsidDel="00000000" w:rsidP="00000000" w:rsidRDefault="00000000" w:rsidRPr="00000000" w14:paraId="000000C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2023-11-20: </w:t>
                </w:r>
                <w:r w:rsidDel="00000000" w:rsidR="00000000" w:rsidRPr="00000000">
                  <w:rPr>
                    <w:rtl w:val="0"/>
                  </w:rPr>
                  <w:t xml:space="preserve">Decreto nº 11.786/2023 institui a Política Nacional de Gestão Territorial e Ambiental Quilombola;</w:t>
                </w:r>
              </w:p>
              <w:p w:rsidR="00000000" w:rsidDel="00000000" w:rsidP="00000000" w:rsidRDefault="00000000" w:rsidRPr="00000000" w14:paraId="000000C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2024-08-01: </w:t>
                </w:r>
                <w:r w:rsidDel="00000000" w:rsidR="00000000" w:rsidRPr="00000000">
                  <w:rPr>
                    <w:rtl w:val="0"/>
                  </w:rPr>
                  <w:t xml:space="preserve">Decreto nº 12.128 institui o Plano Nacional de Políticas para Povos Ciganos;</w:t>
                </w:r>
              </w:p>
            </w:tc>
          </w:tr>
        </w:tbl>
      </w:sdtContent>
    </w:sdt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EIXO IV — DIREITOS ECONÔMICOS, SOCIAIS E CULTURAIS (DESCA)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390.0" w:type="dxa"/>
        <w:jc w:val="left"/>
        <w:tblLayout w:type="fixed"/>
        <w:tblLook w:val="0400"/>
      </w:tblPr>
      <w:tblGrid>
        <w:gridCol w:w="2235"/>
        <w:gridCol w:w="2850"/>
        <w:gridCol w:w="2475"/>
        <w:gridCol w:w="2100"/>
        <w:gridCol w:w="2730"/>
        <w:tblGridChange w:id="0">
          <w:tblGrid>
            <w:gridCol w:w="2235"/>
            <w:gridCol w:w="2850"/>
            <w:gridCol w:w="2475"/>
            <w:gridCol w:w="2100"/>
            <w:gridCol w:w="27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Questões de Investigação (Checklist CERD)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Evidências / Fontes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Recomendações Gerais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 do Tempo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[Par. 36 a/c]</w:t>
            </w:r>
            <w:r w:rsidDel="00000000" w:rsidR="00000000" w:rsidRPr="00000000">
              <w:rPr>
                <w:rtl w:val="0"/>
              </w:rPr>
              <w:t xml:space="preserve"> Houve plano de reparação pelo impacto da COVID em negros/indígenas? A mortalidade materna de mulheres negras caiu? Houve avanços na implementação da PNSIPN?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• Boletins Epidemiológicos (SasiSUS/DataSUS).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• Dados do SIM (Mortalidade).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• Relatório do Observatório Parlamentar da Revisão Periódica Universal (2022).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hyperlink r:id="rId3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37 (2024)</w:t>
              </w:r>
            </w:hyperlink>
            <w:r w:rsidDel="00000000" w:rsidR="00000000" w:rsidRPr="00000000">
              <w:rPr>
                <w:rtl w:val="0"/>
              </w:rPr>
              <w:t xml:space="preserve">, Par. 44, 54 (c), 61, 66, 67 (g-i)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 e Renda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[Par. 23]</w:t>
            </w:r>
            <w:r w:rsidDel="00000000" w:rsidR="00000000" w:rsidRPr="00000000">
              <w:rPr>
                <w:rtl w:val="0"/>
              </w:rPr>
              <w:t xml:space="preserve"> Quais medidas concretas combateram a pobreza e a desigualdade de renda baseada em raça?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PNAD Contínua (Renda e Desemprego).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hyperlink r:id="rId4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34 (2011)</w:t>
              </w:r>
            </w:hyperlink>
            <w:r w:rsidDel="00000000" w:rsidR="00000000" w:rsidRPr="00000000">
              <w:rPr>
                <w:rtl w:val="0"/>
              </w:rPr>
              <w:t xml:space="preserve">, Par. 51-53, 58-60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 e 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[Par. 34]</w:t>
            </w:r>
            <w:r w:rsidDel="00000000" w:rsidR="00000000" w:rsidRPr="00000000">
              <w:rPr>
                <w:rtl w:val="0"/>
              </w:rPr>
              <w:t xml:space="preserve"> A Lei de Cotas no Serviço Público foi renovada/ampliada? O que foi feito para combater o desemprego jovem negro?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• Dados da Lei 12.990 (SIAPE).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• PNAD Contínua (Desemprego/Renda).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hyperlink r:id="rId4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34 (2011)</w:t>
              </w:r>
            </w:hyperlink>
            <w:r w:rsidDel="00000000" w:rsidR="00000000" w:rsidRPr="00000000">
              <w:rPr>
                <w:rtl w:val="0"/>
              </w:rPr>
              <w:t xml:space="preserve">, Par. 53, 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Liberdade Religiosa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[Par. 38]</w:t>
            </w:r>
            <w:r w:rsidDel="00000000" w:rsidR="00000000" w:rsidRPr="00000000">
              <w:rPr>
                <w:rtl w:val="0"/>
              </w:rPr>
              <w:t xml:space="preserve"> O Estado produziu dados sobre ataques a religiões de matriz africana e puniu os agressores?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• Disque 100 (Ouvidoria Nacional).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• Registros de Ocorrência Policial.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hyperlink r:id="rId4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34 (2011)</w:t>
              </w:r>
            </w:hyperlink>
            <w:r w:rsidDel="00000000" w:rsidR="00000000" w:rsidRPr="00000000">
              <w:rPr>
                <w:rtl w:val="0"/>
              </w:rPr>
              <w:t xml:space="preserve">, Par. 4 (b), </w:t>
            </w:r>
            <w:hyperlink r:id="rId4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R. G. n. 35 (2013)</w:t>
              </w:r>
            </w:hyperlink>
            <w:r w:rsidDel="00000000" w:rsidR="00000000" w:rsidRPr="00000000">
              <w:rPr>
                <w:rtl w:val="0"/>
              </w:rPr>
              <w:t xml:space="preserve">, Par. 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footerReference r:id="rId44" w:type="default"/>
      <w:pgSz w:h="11906" w:w="16838" w:orient="landscape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ouglas Guimaraes Leite" w:id="0" w:date="2026-02-10T03:02:23Z"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Já presente no eixo anterior.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F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746010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746010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746010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Legenda">
    <w:name w:val="caption"/>
    <w:basedOn w:val="Normal"/>
    <w:next w:val="Normal"/>
    <w:autoRedefine w:val="1"/>
    <w:uiPriority w:val="35"/>
    <w:unhideWhenUsed w:val="1"/>
    <w:qFormat w:val="1"/>
    <w:rsid w:val="00245121"/>
    <w:pPr>
      <w:spacing w:after="200" w:line="240" w:lineRule="auto"/>
    </w:pPr>
    <w:rPr>
      <w:rFonts w:cs="Calibri" w:eastAsia="Calibri"/>
      <w:iCs w:val="1"/>
      <w:kern w:val="0"/>
      <w:sz w:val="20"/>
      <w:szCs w:val="18"/>
      <w:lang w:eastAsia="pt-BR"/>
    </w:rPr>
  </w:style>
  <w:style w:type="paragraph" w:styleId="EstiloJustificadoPrimeiralinha125cmDepoisde0ptSupe" w:customStyle="1">
    <w:name w:val="Estilo Justificado Primeira linha:  125 cm Depois de:  0 pt Supe..."/>
    <w:basedOn w:val="Normal"/>
    <w:autoRedefine w:val="1"/>
    <w:qFormat w:val="1"/>
    <w:rsid w:val="0024512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708"/>
      <w:jc w:val="both"/>
    </w:pPr>
    <w:rPr>
      <w:rFonts w:cs="Times New Roman" w:eastAsia="Times New Roman"/>
      <w:kern w:val="0"/>
      <w:szCs w:val="20"/>
      <w:lang w:eastAsia="pt-BR"/>
    </w:rPr>
  </w:style>
  <w:style w:type="paragraph" w:styleId="Textodenotaderodap">
    <w:name w:val="footnote text"/>
    <w:basedOn w:val="Normal"/>
    <w:link w:val="TextodenotaderodapChar"/>
    <w:autoRedefine w:val="1"/>
    <w:uiPriority w:val="99"/>
    <w:unhideWhenUsed w:val="1"/>
    <w:qFormat w:val="1"/>
    <w:rsid w:val="00991DC8"/>
    <w:pPr>
      <w:spacing w:line="240" w:lineRule="auto"/>
      <w:jc w:val="both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rsid w:val="00991DC8"/>
    <w:rPr>
      <w:rFonts w:ascii="Times New Roman" w:hAnsi="Times New Roman"/>
      <w:sz w:val="20"/>
      <w:szCs w:val="20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466564"/>
    <w:pPr>
      <w:spacing w:after="100" w:line="276" w:lineRule="auto"/>
    </w:pPr>
    <w:rPr>
      <w:rFonts w:eastAsiaTheme="minorEastAsia"/>
      <w:kern w:val="0"/>
      <w:lang w:eastAsia="ja-JP"/>
    </w:rPr>
  </w:style>
  <w:style w:type="paragraph" w:styleId="Citaodireta1" w:customStyle="1">
    <w:name w:val="Citação direta 1"/>
    <w:qFormat w:val="1"/>
    <w:rsid w:val="009911B7"/>
    <w:pPr>
      <w:spacing w:line="240" w:lineRule="auto"/>
      <w:ind w:left="2268"/>
      <w:jc w:val="both"/>
    </w:pPr>
    <w:rPr>
      <w:rFonts w:ascii="Times New Roman" w:cs="Times New Roman" w:eastAsia="Times New Roman" w:hAnsi="Times New Roman"/>
      <w:color w:val="000000"/>
      <w:kern w:val="0"/>
      <w:sz w:val="20"/>
      <w:szCs w:val="20"/>
      <w:lang w:eastAsia="pt-BR"/>
    </w:rPr>
  </w:style>
  <w:style w:type="paragraph" w:styleId="Citaodireta" w:customStyle="1">
    <w:name w:val="Citação direta"/>
    <w:basedOn w:val="Normal"/>
    <w:link w:val="CitaodiretaChar"/>
    <w:qFormat w:val="1"/>
    <w:rsid w:val="009C07C6"/>
    <w:pPr>
      <w:spacing w:line="240" w:lineRule="auto"/>
      <w:ind w:left="2268"/>
      <w:jc w:val="both"/>
    </w:pPr>
    <w:rPr>
      <w:rFonts w:cs="Times New Roman" w:eastAsia="Times New Roman"/>
      <w:color w:val="000000"/>
      <w:sz w:val="20"/>
      <w:szCs w:val="20"/>
      <w:lang w:eastAsia="pt-BR"/>
    </w:rPr>
  </w:style>
  <w:style w:type="character" w:styleId="CitaodiretaChar" w:customStyle="1">
    <w:name w:val="Citação direta Char"/>
    <w:basedOn w:val="Fontepargpadro"/>
    <w:link w:val="Citaodireta"/>
    <w:rsid w:val="009C07C6"/>
    <w:rPr>
      <w:rFonts w:cs="Times New Roman" w:eastAsia="Times New Roman"/>
      <w:color w:val="000000"/>
      <w:sz w:val="20"/>
      <w:szCs w:val="20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494D0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CabealhodoSumrio">
    <w:name w:val="TOC Heading"/>
    <w:basedOn w:val="Ttulo1"/>
    <w:next w:val="Normal"/>
    <w:autoRedefine w:val="1"/>
    <w:uiPriority w:val="39"/>
    <w:unhideWhenUsed w:val="1"/>
    <w:qFormat w:val="1"/>
    <w:rsid w:val="00494D09"/>
    <w:pPr>
      <w:spacing w:after="240" w:before="240"/>
      <w:jc w:val="center"/>
      <w:outlineLvl w:val="9"/>
    </w:pPr>
    <w:rPr>
      <w:rFonts w:ascii="Times New Roman" w:hAnsi="Times New Roman"/>
      <w:b w:val="1"/>
      <w:caps w:val="1"/>
      <w:color w:val="auto"/>
      <w:kern w:val="0"/>
      <w:sz w:val="24"/>
      <w:szCs w:val="32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74601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74601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746010"/>
    <w:rPr>
      <w:rFonts w:cstheme="majorBidi" w:eastAsiaTheme="majorEastAsia"/>
      <w:i w:val="1"/>
      <w:iCs w:val="1"/>
      <w:color w:val="2f5496" w:themeColor="accent1" w:themeShade="0000BF"/>
      <w:sz w:val="24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746010"/>
    <w:rPr>
      <w:rFonts w:cstheme="majorBidi" w:eastAsiaTheme="majorEastAsia"/>
      <w:color w:val="2f5496" w:themeColor="accent1" w:themeShade="0000BF"/>
      <w:sz w:val="24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746010"/>
    <w:rPr>
      <w:rFonts w:cstheme="majorBidi" w:eastAsiaTheme="majorEastAsia"/>
      <w:i w:val="1"/>
      <w:iCs w:val="1"/>
      <w:color w:val="595959" w:themeColor="text1" w:themeTint="0000A6"/>
      <w:sz w:val="24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746010"/>
    <w:rPr>
      <w:rFonts w:cstheme="majorBidi" w:eastAsiaTheme="majorEastAsia"/>
      <w:color w:val="595959" w:themeColor="text1" w:themeTint="0000A6"/>
      <w:sz w:val="24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746010"/>
    <w:rPr>
      <w:rFonts w:cstheme="majorBidi" w:eastAsiaTheme="majorEastAsia"/>
      <w:i w:val="1"/>
      <w:iCs w:val="1"/>
      <w:color w:val="272727" w:themeColor="text1" w:themeTint="0000D8"/>
      <w:sz w:val="24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746010"/>
    <w:rPr>
      <w:rFonts w:cstheme="majorBidi" w:eastAsiaTheme="majorEastAsia"/>
      <w:color w:val="272727" w:themeColor="text1" w:themeTint="0000D8"/>
      <w:sz w:val="24"/>
    </w:rPr>
  </w:style>
  <w:style w:type="character" w:styleId="TtuloChar" w:customStyle="1">
    <w:name w:val="Título Char"/>
    <w:basedOn w:val="Fontepargpadro"/>
    <w:link w:val="Ttulo"/>
    <w:uiPriority w:val="10"/>
    <w:rsid w:val="007460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74601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746010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746010"/>
    <w:rPr>
      <w:rFonts w:ascii="Times New Roman" w:hAnsi="Times New Roman"/>
      <w:i w:val="1"/>
      <w:iCs w:val="1"/>
      <w:color w:val="404040" w:themeColor="text1" w:themeTint="0000BF"/>
      <w:sz w:val="24"/>
    </w:rPr>
  </w:style>
  <w:style w:type="paragraph" w:styleId="PargrafodaLista">
    <w:name w:val="List Paragraph"/>
    <w:basedOn w:val="Normal"/>
    <w:uiPriority w:val="34"/>
    <w:qFormat w:val="1"/>
    <w:rsid w:val="00746010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746010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74601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46010"/>
    <w:rPr>
      <w:rFonts w:ascii="Times New Roman" w:hAnsi="Times New Roman"/>
      <w:i w:val="1"/>
      <w:iCs w:val="1"/>
      <w:color w:val="2f5496" w:themeColor="accent1" w:themeShade="0000BF"/>
      <w:sz w:val="24"/>
    </w:rPr>
  </w:style>
  <w:style w:type="character" w:styleId="RefernciaIntensa">
    <w:name w:val="Intense Reference"/>
    <w:basedOn w:val="Fontepargpadro"/>
    <w:uiPriority w:val="32"/>
    <w:qFormat w:val="1"/>
    <w:rsid w:val="0074601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NOq8Rz5AwQAUBOc24EfR98W6MenBHRRPKhays-MJ5B0/edit?tab=t.0" TargetMode="External"/><Relationship Id="rId20" Type="http://schemas.openxmlformats.org/officeDocument/2006/relationships/hyperlink" Target="https://docs.google.com/document/d/1NOq8Rz5AwQAUBOc24EfR98W6MenBHRRPKhays-MJ5B0/edit?tab=t.0" TargetMode="External"/><Relationship Id="rId42" Type="http://schemas.openxmlformats.org/officeDocument/2006/relationships/hyperlink" Target="https://docs.google.com/document/d/1NOq8Rz5AwQAUBOc24EfR98W6MenBHRRPKhays-MJ5B0/edit?tab=t.0" TargetMode="External"/><Relationship Id="rId41" Type="http://schemas.openxmlformats.org/officeDocument/2006/relationships/hyperlink" Target="https://docs.google.com/document/d/1NOq8Rz5AwQAUBOc24EfR98W6MenBHRRPKhays-MJ5B0/edit?tab=t.0" TargetMode="External"/><Relationship Id="rId22" Type="http://schemas.openxmlformats.org/officeDocument/2006/relationships/hyperlink" Target="https://docs.google.com/document/d/1NOq8Rz5AwQAUBOc24EfR98W6MenBHRRPKhays-MJ5B0/edit?tab=t.0" TargetMode="External"/><Relationship Id="rId44" Type="http://schemas.openxmlformats.org/officeDocument/2006/relationships/footer" Target="footer1.xml"/><Relationship Id="rId21" Type="http://schemas.openxmlformats.org/officeDocument/2006/relationships/hyperlink" Target="https://docs.google.com/document/d/1NOq8Rz5AwQAUBOc24EfR98W6MenBHRRPKhays-MJ5B0/edit?tab=t.0" TargetMode="External"/><Relationship Id="rId43" Type="http://schemas.openxmlformats.org/officeDocument/2006/relationships/hyperlink" Target="https://docs.google.com/document/d/1NOq8Rz5AwQAUBOc24EfR98W6MenBHRRPKhays-MJ5B0/edit?tab=t.0" TargetMode="External"/><Relationship Id="rId24" Type="http://schemas.openxmlformats.org/officeDocument/2006/relationships/hyperlink" Target="https://docs.google.com/document/d/1NOq8Rz5AwQAUBOc24EfR98W6MenBHRRPKhays-MJ5B0/edit?tab=t.0" TargetMode="External"/><Relationship Id="rId23" Type="http://schemas.openxmlformats.org/officeDocument/2006/relationships/hyperlink" Target="https://atos.cnj.jus.br/files/original121813202411266745bc8528359.pdf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NOq8Rz5AwQAUBOc24EfR98W6MenBHRRPKhays-MJ5B0/edit?tab=t.0" TargetMode="External"/><Relationship Id="rId26" Type="http://schemas.openxmlformats.org/officeDocument/2006/relationships/hyperlink" Target="https://docs.google.com/document/d/1NOq8Rz5AwQAUBOc24EfR98W6MenBHRRPKhays-MJ5B0/edit?tab=t.0" TargetMode="External"/><Relationship Id="rId25" Type="http://schemas.openxmlformats.org/officeDocument/2006/relationships/hyperlink" Target="https://docs.google.com/document/d/1NOq8Rz5AwQAUBOc24EfR98W6MenBHRRPKhays-MJ5B0/edit?tab=t.0" TargetMode="External"/><Relationship Id="rId28" Type="http://schemas.openxmlformats.org/officeDocument/2006/relationships/hyperlink" Target="https://docs.google.com/document/d/1NOq8Rz5AwQAUBOc24EfR98W6MenBHRRPKhays-MJ5B0/edit?tab=t.0" TargetMode="External"/><Relationship Id="rId27" Type="http://schemas.openxmlformats.org/officeDocument/2006/relationships/hyperlink" Target="https://docs.google.com/document/d/1NOq8Rz5AwQAUBOc24EfR98W6MenBHRRPKhays-MJ5B0/edit?tab=t.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docs.google.com/document/d/1NOq8Rz5AwQAUBOc24EfR98W6MenBHRRPKhays-MJ5B0/edit?tab=t.0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hyperlink" Target="https://docs.google.com/document/d/1NOq8Rz5AwQAUBOc24EfR98W6MenBHRRPKhays-MJ5B0/edit?tab=t.0" TargetMode="External"/><Relationship Id="rId30" Type="http://schemas.openxmlformats.org/officeDocument/2006/relationships/hyperlink" Target="https://docs.google.com/document/d/1NOq8Rz5AwQAUBOc24EfR98W6MenBHRRPKhays-MJ5B0/edit?tab=t.0" TargetMode="External"/><Relationship Id="rId11" Type="http://schemas.openxmlformats.org/officeDocument/2006/relationships/hyperlink" Target="https://docs.google.com/document/d/1NOq8Rz5AwQAUBOc24EfR98W6MenBHRRPKhays-MJ5B0/edit?tab=t.0" TargetMode="External"/><Relationship Id="rId33" Type="http://schemas.openxmlformats.org/officeDocument/2006/relationships/hyperlink" Target="https://docs.google.com/document/d/1NOq8Rz5AwQAUBOc24EfR98W6MenBHRRPKhays-MJ5B0/edit?tab=t.0" TargetMode="External"/><Relationship Id="rId10" Type="http://schemas.openxmlformats.org/officeDocument/2006/relationships/hyperlink" Target="https://docs.google.com/document/d/1NOq8Rz5AwQAUBOc24EfR98W6MenBHRRPKhays-MJ5B0/edit?tab=t.0" TargetMode="External"/><Relationship Id="rId32" Type="http://schemas.openxmlformats.org/officeDocument/2006/relationships/hyperlink" Target="https://docs.google.com/document/d/1NOq8Rz5AwQAUBOc24EfR98W6MenBHRRPKhays-MJ5B0/edit?tab=t.0" TargetMode="External"/><Relationship Id="rId13" Type="http://schemas.openxmlformats.org/officeDocument/2006/relationships/hyperlink" Target="https://docs.google.com/document/d/1NOq8Rz5AwQAUBOc24EfR98W6MenBHRRPKhays-MJ5B0/edit?tab=t.0" TargetMode="External"/><Relationship Id="rId35" Type="http://schemas.openxmlformats.org/officeDocument/2006/relationships/hyperlink" Target="https://docs.google.com/document/d/1NOq8Rz5AwQAUBOc24EfR98W6MenBHRRPKhays-MJ5B0/edit?tab=t.0" TargetMode="External"/><Relationship Id="rId12" Type="http://schemas.openxmlformats.org/officeDocument/2006/relationships/hyperlink" Target="https://docs.google.com/document/d/1NOq8Rz5AwQAUBOc24EfR98W6MenBHRRPKhays-MJ5B0/edit?tab=t.0" TargetMode="External"/><Relationship Id="rId34" Type="http://schemas.openxmlformats.org/officeDocument/2006/relationships/hyperlink" Target="https://docs.google.com/document/d/1NOq8Rz5AwQAUBOc24EfR98W6MenBHRRPKhays-MJ5B0/edit?tab=t.0" TargetMode="External"/><Relationship Id="rId15" Type="http://schemas.openxmlformats.org/officeDocument/2006/relationships/hyperlink" Target="https://docs.google.com/document/d/1NOq8Rz5AwQAUBOc24EfR98W6MenBHRRPKhays-MJ5B0/edit?tab=t.0" TargetMode="External"/><Relationship Id="rId37" Type="http://schemas.openxmlformats.org/officeDocument/2006/relationships/hyperlink" Target="https://docs.google.com/document/d/1NOq8Rz5AwQAUBOc24EfR98W6MenBHRRPKhays-MJ5B0/edit?tab=t.0" TargetMode="External"/><Relationship Id="rId14" Type="http://schemas.openxmlformats.org/officeDocument/2006/relationships/hyperlink" Target="https://docs.google.com/document/d/1NOq8Rz5AwQAUBOc24EfR98W6MenBHRRPKhays-MJ5B0/edit?tab=t.0" TargetMode="External"/><Relationship Id="rId36" Type="http://schemas.openxmlformats.org/officeDocument/2006/relationships/hyperlink" Target="https://docs.google.com/document/d/1NOq8Rz5AwQAUBOc24EfR98W6MenBHRRPKhays-MJ5B0/edit?tab=t.0" TargetMode="External"/><Relationship Id="rId17" Type="http://schemas.openxmlformats.org/officeDocument/2006/relationships/hyperlink" Target="https://docs.google.com/document/d/1NOq8Rz5AwQAUBOc24EfR98W6MenBHRRPKhays-MJ5B0/edit?tab=t.0" TargetMode="External"/><Relationship Id="rId39" Type="http://schemas.openxmlformats.org/officeDocument/2006/relationships/hyperlink" Target="https://docs.google.com/document/d/1NOq8Rz5AwQAUBOc24EfR98W6MenBHRRPKhays-MJ5B0/edit?tab=t.0" TargetMode="External"/><Relationship Id="rId16" Type="http://schemas.openxmlformats.org/officeDocument/2006/relationships/hyperlink" Target="https://docs.google.com/document/d/1NOq8Rz5AwQAUBOc24EfR98W6MenBHRRPKhays-MJ5B0/edit?tab=t.0" TargetMode="External"/><Relationship Id="rId38" Type="http://schemas.openxmlformats.org/officeDocument/2006/relationships/hyperlink" Target="https://docs.google.com/document/d/1NOq8Rz5AwQAUBOc24EfR98W6MenBHRRPKhays-MJ5B0/edit?tab=t.0" TargetMode="External"/><Relationship Id="rId19" Type="http://schemas.openxmlformats.org/officeDocument/2006/relationships/hyperlink" Target="https://docs.google.com/document/d/1NOq8Rz5AwQAUBOc24EfR98W6MenBHRRPKhays-MJ5B0/edit?tab=t.0" TargetMode="External"/><Relationship Id="rId18" Type="http://schemas.openxmlformats.org/officeDocument/2006/relationships/hyperlink" Target="https://docs.google.com/document/d/1NOq8Rz5AwQAUBOc24EfR98W6MenBHRRPKhays-MJ5B0/edit?tab=t.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DUft0PxwYWVpWg864nfWHjvHg==">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2026-01-14T20:33:00Z</dcterms:created>
  <dc:creator>EDUARDO CELESTINO CORDEIRO</dc:creator>
</cp:coreProperties>
</file>