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CERD/C/BRA/FCO/18-20</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 received from Brazil on follow-up to the concluding observations on its combined eighteenth to twentieth periodic reports</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de janeiro de 2026</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Resumo: </w:t>
      </w:r>
      <w:r w:rsidDel="00000000" w:rsidR="00000000" w:rsidRPr="00000000">
        <w:rPr>
          <w:rFonts w:ascii="Times New Roman" w:cs="Times New Roman" w:eastAsia="Times New Roman" w:hAnsi="Times New Roman"/>
          <w:sz w:val="24"/>
          <w:szCs w:val="24"/>
          <w:rtl w:val="0"/>
        </w:rPr>
        <w:t xml:space="preserve">Em observância ao parágrafo 68 das conclusões do CERD sobre o último relatório do Estado brasileiro, o país teve de elaborar respostas urgentes a algumas recomendações feitas pelo Comitê no documento. Essas respostas foram elaboradas, sobretudo, a partir do conjunto de planos, programas, decretos e portarias criados no âmbito dos ministérios da Igualdade Racial, Saúde e Justiça e Segurança Pública desde 2023. Essas medidas são citadas no documento, acompanhadas de pequenos resumos sobre o seu conteúdo, por vezes vagos. Pouquíssima estatística foi produzida para acompanhar alguns índices que o CERD julgava fundamentais: impacto da COVID-19, pobreza, desmilitarização da polícia e uso de instrumentos menos letais. No geral, entretanto, a resposta consegue remeter-se objetivamente aos critérios do CERD, ainda que mais no campo das medidas do que na evolução de dados. Especialmente no âmbito das ações governamentais para a população quilombola e da ação da Suprema Corte contra a violência policial, demonstra-se esforço contínuo na criação de legislações e programas. O ponto mais baixo é a ausência de uma demonstração empírica do impacto da pandemia de COVID-19 sobre a população negra, indígena e quilombola, considerando a interseccionalidade com deficiências. </w:t>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Anotações:</w:t>
      </w: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 “[...] Among the concluding observations, adopted at CERD’s 2,952nd session, held on 1 December 2022, is the request set forth in paragraph 68, consisting of a call for information from the Brazilian State regarding the implementation of the recommendations contained in paragraphs 17 (a) (right to health and the effects of the COVID-19 pandemic); 19 (c) (disparities in access to education); 23 (a) (poverty, work and income); and 36 (a) to (d) (excessive use of force by law enforcement and military agents), which is the subject of the present report”. </w:t>
      </w:r>
      <w:r w:rsidDel="00000000" w:rsidR="00000000" w:rsidRPr="00000000">
        <w:rPr>
          <w:rFonts w:ascii="Times New Roman" w:cs="Times New Roman" w:eastAsia="Times New Roman" w:hAnsi="Times New Roman"/>
          <w:sz w:val="24"/>
          <w:szCs w:val="24"/>
          <w:rtl w:val="0"/>
        </w:rPr>
        <w:t xml:space="preserve">Expõe os critérios de resposta do documento como previsto no parágrafo 68 das conclusões do CERD (2022).</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2: “In Brazil, at the federal level, the Ministry of Racial Equality (MIR) plays a strategic role in formulating and implementing public policies aimed at promoting racial equality and addressing structural racism”. </w:t>
      </w:r>
      <w:r w:rsidDel="00000000" w:rsidR="00000000" w:rsidRPr="00000000">
        <w:rPr>
          <w:rFonts w:ascii="Times New Roman" w:cs="Times New Roman" w:eastAsia="Times New Roman" w:hAnsi="Times New Roman"/>
          <w:sz w:val="24"/>
          <w:szCs w:val="24"/>
          <w:rtl w:val="0"/>
        </w:rPr>
        <w:t xml:space="preserve">Já no parágrafo 2 reconhece o papel central do MIR na formulação e implementação de políticas públicas contra discriminação racial. Programas citados: Programa Juventude Negra Viva (Decreto Nº 11.956/2024) – PJNV, Programa Federal de Ações Afirmativas – PFAA (Decreto Nº 11.785/2023) e Política Nacional de Gestão Territorial e Ambiental Quilombola – PNGTAQ (Decreto Nº 11.786/2023).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4: Programa Nacional de Segurança Pública com Cidadania (PRONASCI 2), Decreto Nº 11.436/2023, no âmbito do Ministério da Justiça e Segurança Pública.</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5: Estratégia Antirracista para a Saúde, Portaria GM/MS Nº 2.198/2023, no âmbito do Ministério d Saúde.</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5: “[...] Furthermore, in the subsequent action plan of the Anti-Racist Strategy for 2025, Ordinance GM/MS No. 5,801/2024 was approved as part of the priorities, reinforcing affirmative action, the national health agreement for </w:t>
      </w:r>
      <w:r w:rsidDel="00000000" w:rsidR="00000000" w:rsidRPr="00000000">
        <w:rPr>
          <w:rFonts w:ascii="Times New Roman" w:cs="Times New Roman" w:eastAsia="Times New Roman" w:hAnsi="Times New Roman"/>
          <w:b w:val="1"/>
          <w:bCs w:val="1"/>
          <w:i w:val="1"/>
          <w:iCs w:val="1"/>
          <w:sz w:val="24"/>
          <w:szCs w:val="24"/>
          <w:rtl w:val="0"/>
        </w:rPr>
        <w:t xml:space="preserve">quilombola </w:t>
      </w:r>
      <w:r w:rsidDel="00000000" w:rsidR="00000000" w:rsidRPr="00000000">
        <w:rPr>
          <w:rFonts w:ascii="Times New Roman" w:cs="Times New Roman" w:eastAsia="Times New Roman" w:hAnsi="Times New Roman"/>
          <w:b w:val="1"/>
          <w:bCs w:val="1"/>
          <w:sz w:val="24"/>
          <w:szCs w:val="24"/>
          <w:rtl w:val="0"/>
        </w:rPr>
        <w:t xml:space="preserve">communities, and the improvement of the “race and color” and traditional peoples fields in information systems”. </w:t>
      </w: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6: Política Nacional de Equidade, Educação para as Relações Étnico-Raciais e Educação Escolar Quilombola (Pneerq), Portaria do MEC, Nº 470/2024.</w:t>
      </w:r>
    </w:p>
    <w:p w:rsidR="00000000" w:rsidDel="00000000" w:rsidP="00000000" w:rsidRDefault="00000000" w:rsidRPr="00000000" w14:paraId="00000012">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citação a esses programas é seguida de um resumo brevíssimo e um pouco vago sobre sua atuação.</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II. Follow-up information on the concluding observations (CERD/C/BRA/CO/18-20)</w:t>
      </w:r>
    </w:p>
    <w:p w:rsidR="00000000" w:rsidDel="00000000" w:rsidP="00000000" w:rsidRDefault="00000000" w:rsidRPr="00000000" w14:paraId="00000015">
      <w:pPr>
        <w:numPr>
          <w:ilvl w:val="0"/>
          <w:numId w:val="11"/>
        </w:numPr>
        <w:spacing w:line="36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Parágrafo 17 (a)</w:t>
      </w: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“17. The Committee recommends that the State party take all necessary measures to ensure the full and effective implementation of the National Comprehensive Health Policy for the Afro-Brazilian Population, including the provision of adequate funding and institutional structures. It should also consult with Afro-Brazilian, Indigenous and Quilombola women to identify and address current policies and services that have been ineffective in eliminating health inequalities. The State party should also: </w:t>
      </w:r>
    </w:p>
    <w:p w:rsidR="00000000" w:rsidDel="00000000" w:rsidP="00000000" w:rsidRDefault="00000000" w:rsidRPr="00000000" w14:paraId="00000017">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 Develop and implement effective measures to protect, on an equal basis, Afro-Brazilians, Indigenous Peoples, Quilombolas and non-citizens from the COVID 19 pandemic, as well as future public health emergencies. Such measures should be developed and implemented in consultation with the communities most affected by the COVID-19 pandemic and should, inter alia, ensure that all Afro-Brazilians, Indigenous Peoples, Quilombolas and non-citizens are and remain fully vaccinated, including through targeted measures that address any specific barriers to their vaccination [...]</w:t>
      </w:r>
    </w:p>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8: Política Nacional de Saúde Integral da População Quilombola – PNASQ (MS). Demanda da sociedade civil apontada na 17ª Conferência Nacional de Saúde (2023). </w:t>
      </w:r>
    </w:p>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 8: “The establishment of the PNASQ represents the first policy of the Ministry of Health (MS) specifically directed at this population, with the objective of ensuring comprehensive access to health care, considering their social diversity and their ethnic, cultural, territorial, and historical specificities. The PNASQ prioritizes the reduction of ethno-racial inequalities and the confrontation of racism and discrimination in the services of the Unified Health System (SUS), ultimately aiming at improving health indicators and the quality of life of quilombola communities”</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9: Plano de Ação estabelecido em 2024 dentro da Estratégia Antirracista para a Saúde voltado para 1) institucionalização da Estratégia; 2) implementação de ações afirmativas; 3) coordenação, monitoração e valorização de políticas públicas.</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10: </w:t>
      </w:r>
      <w:hyperlink r:id="rId6">
        <w:r w:rsidDel="00000000" w:rsidR="00000000" w:rsidRPr="00000000">
          <w:rPr>
            <w:rFonts w:ascii="Times New Roman" w:cs="Times New Roman" w:eastAsia="Times New Roman" w:hAnsi="Times New Roman"/>
            <w:color w:val="1155cc"/>
            <w:sz w:val="24"/>
            <w:szCs w:val="24"/>
            <w:u w:val="single"/>
            <w:rtl w:val="0"/>
          </w:rPr>
          <w:t xml:space="preserve">Grupo de Trabalho de Saúde Graça Epifânio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11: 1ª Seminário Nacional sobre Saúde Quilombola. Maranhão, 2025. Objetivo foi formular o PNSAQ.</w:t>
      </w:r>
    </w:p>
    <w:p w:rsidR="00000000" w:rsidDel="00000000" w:rsidP="00000000" w:rsidRDefault="00000000" w:rsidRPr="00000000" w14:paraId="0000001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12: Política Nacional para Povos e Comunidades Tradicionais de Terreiro e de Matriz Africana.</w:t>
      </w:r>
    </w:p>
    <w:p w:rsidR="00000000" w:rsidDel="00000000" w:rsidP="00000000" w:rsidRDefault="00000000" w:rsidRPr="00000000" w14:paraId="0000001F">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Ok. Mas o parágrafo a ser respondido falava especificamente sobre consequências médicas e sociais da COVID-19. O documento poderia ter mostrado dados de impacto da pandemia sobre as populações negras e quilombolas, antes de enumerar os planos criados. </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11"/>
        </w:numPr>
        <w:spacing w:line="36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Parágrafo 19 ©</w:t>
      </w:r>
    </w:p>
    <w:p w:rsidR="00000000" w:rsidDel="00000000" w:rsidP="00000000" w:rsidRDefault="00000000" w:rsidRPr="00000000" w14:paraId="00000022">
      <w:pPr>
        <w:numPr>
          <w:ilvl w:val="0"/>
          <w:numId w:val="8"/>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The Committee reiterates its recommendation that the State party: </w:t>
      </w:r>
    </w:p>
    <w:p w:rsidR="00000000" w:rsidDel="00000000" w:rsidP="00000000" w:rsidRDefault="00000000" w:rsidRPr="00000000" w14:paraId="00000023">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Renew the system of quotas for places at higher educational institutions for Afro-Brazilians and Indigenous Peoples. The State party should also take the opportunity of the 10-year review to strengthen the quota system, including by ensuring that it facilitates access to university among Afro-Brazilians and Indigenous Peoples facing intersectional forms of discrimination, including those with disabilities”.</w:t>
      </w:r>
    </w:p>
    <w:p w:rsidR="00000000" w:rsidDel="00000000" w:rsidP="00000000" w:rsidRDefault="00000000" w:rsidRPr="00000000" w14:paraId="0000002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13: Política Nacional de Equidade, Educação para as Relações Étnico-Raciais e Educação Escolar Quilombola (Portaria GAB/MEC Nº 470/2024).</w:t>
      </w:r>
    </w:p>
    <w:p w:rsidR="00000000" w:rsidDel="00000000" w:rsidP="00000000" w:rsidRDefault="00000000" w:rsidRPr="00000000" w14:paraId="0000002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14: “In Brazil, according to the 2024 School Census, 294.2 thousand students were enrolled in schools providing Indigenous education; another 279 thousand students attended schools built in </w:t>
      </w:r>
      <w:r w:rsidDel="00000000" w:rsidR="00000000" w:rsidRPr="00000000">
        <w:rPr>
          <w:rFonts w:ascii="Times New Roman" w:cs="Times New Roman" w:eastAsia="Times New Roman" w:hAnsi="Times New Roman"/>
          <w:b w:val="1"/>
          <w:bCs w:val="1"/>
          <w:i w:val="1"/>
          <w:iCs w:val="1"/>
          <w:sz w:val="24"/>
          <w:szCs w:val="24"/>
          <w:rtl w:val="0"/>
        </w:rPr>
        <w:t xml:space="preserve">quilombola </w:t>
      </w:r>
      <w:r w:rsidDel="00000000" w:rsidR="00000000" w:rsidRPr="00000000">
        <w:rPr>
          <w:rFonts w:ascii="Times New Roman" w:cs="Times New Roman" w:eastAsia="Times New Roman" w:hAnsi="Times New Roman"/>
          <w:b w:val="1"/>
          <w:bCs w:val="1"/>
          <w:sz w:val="24"/>
          <w:szCs w:val="24"/>
          <w:rtl w:val="0"/>
        </w:rPr>
        <w:t xml:space="preserve">communities; and more than 398.2 thousand students came from agrarian reform settlement areas”. </w:t>
      </w:r>
      <w:r w:rsidDel="00000000" w:rsidR="00000000" w:rsidRPr="00000000">
        <w:rPr>
          <w:rFonts w:ascii="Times New Roman" w:cs="Times New Roman" w:eastAsia="Times New Roman" w:hAnsi="Times New Roman"/>
          <w:sz w:val="24"/>
          <w:szCs w:val="24"/>
          <w:rtl w:val="0"/>
        </w:rPr>
        <w:t xml:space="preserve">Dados do Censo Escolar 2024.</w:t>
      </w:r>
    </w:p>
    <w:p w:rsidR="00000000" w:rsidDel="00000000" w:rsidP="00000000" w:rsidRDefault="00000000" w:rsidRPr="00000000" w14:paraId="0000002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15: “Also noteworthy is Law No. 14,723/23, which updates the Quotas Law in federal education (higher and technical), providing for the reservation of places for students from public schools and others. Among the changes introduced by the new legislation are the modification of the admission mechanism for quota students in federal higher education, the reduction of family income thresholds for reserved places, and the inclusion of quilombola students as beneficiaries of the quotas”. </w:t>
      </w:r>
      <w:r w:rsidDel="00000000" w:rsidR="00000000" w:rsidRPr="00000000">
        <w:rPr>
          <w:rFonts w:ascii="Times New Roman" w:cs="Times New Roman" w:eastAsia="Times New Roman" w:hAnsi="Times New Roman"/>
          <w:sz w:val="24"/>
          <w:szCs w:val="24"/>
          <w:rtl w:val="0"/>
        </w:rPr>
        <w:t xml:space="preserve">Atualização da Lei de Cotas com a Lei Nº 14.723/23. Par. 16 anota que essa lei inclui estudantes quilombolas como beneficiários das cotas, equiparados a afrodescendentes, indígenas e PCDs.</w:t>
      </w:r>
    </w:p>
    <w:p w:rsidR="00000000" w:rsidDel="00000000" w:rsidP="00000000" w:rsidRDefault="00000000" w:rsidRPr="00000000" w14:paraId="0000002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17: Diretoria de Políticas para Povos e Comunidades Tradicionais de Matriz Africana e de Terreiros (DPTMAT). Encontro das Juventudes de Terreiro (2025).</w:t>
      </w:r>
    </w:p>
    <w:p w:rsidR="00000000" w:rsidDel="00000000" w:rsidP="00000000" w:rsidRDefault="00000000" w:rsidRPr="00000000" w14:paraId="0000002C">
      <w:pPr>
        <w:numPr>
          <w:ilvl w:val="0"/>
          <w:numId w:val="1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Pelo que eu entendi, esse Encontro atual de forma regional ou estadual. Seria uma boa recolher informações nesses níveis. </w:t>
      </w:r>
    </w:p>
    <w:p w:rsidR="00000000" w:rsidDel="00000000" w:rsidP="00000000" w:rsidRDefault="00000000" w:rsidRPr="00000000" w14:paraId="0000002D">
      <w:pPr>
        <w:numPr>
          <w:ilvl w:val="0"/>
          <w:numId w:val="1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Sobre essa seção, ficou respondido como o Estado buscou atualizar a Lei de Cotas e, de forma breve, como pessoas com deficiência entram nesse âmbito. </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11"/>
        </w:numPr>
        <w:spacing w:line="36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Parágrafo 23 (a)</w:t>
      </w:r>
    </w:p>
    <w:p w:rsidR="00000000" w:rsidDel="00000000" w:rsidP="00000000" w:rsidRDefault="00000000" w:rsidRPr="00000000" w14:paraId="00000030">
      <w:pPr>
        <w:numPr>
          <w:ilvl w:val="0"/>
          <w:numId w:val="7"/>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“23. The Committee recommends that the State party: </w:t>
      </w:r>
    </w:p>
    <w:p w:rsidR="00000000" w:rsidDel="00000000" w:rsidP="00000000" w:rsidRDefault="00000000" w:rsidRPr="00000000" w14:paraId="00000031">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Take all necessary and effective steps to eradicate poverty among Afro Brazilians, Indigenous Peoples and Quilombolas, including ensuring that effective and sufficient cash transfer programmes are in place [...]”</w:t>
      </w:r>
    </w:p>
    <w:p w:rsidR="00000000" w:rsidDel="00000000" w:rsidP="00000000" w:rsidRDefault="00000000" w:rsidRPr="00000000" w14:paraId="00000032">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18: Menção imediata ao Bolsa Família e ao CadÚnico.</w:t>
      </w:r>
    </w:p>
    <w:p w:rsidR="00000000" w:rsidDel="00000000" w:rsidP="00000000" w:rsidRDefault="00000000" w:rsidRPr="00000000" w14:paraId="0000003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18: “The number of Indigenous and quilombola beneficiaries of the Bolsa Família Program has increased by 30% since January 2023, according to data from the Ministry of Social Development and Assistance, Family, and the Fight against Hunger (MDS), which is responsible for coordinating the National Social Assistance Policy (PNAS)”. </w:t>
      </w:r>
      <w:r w:rsidDel="00000000" w:rsidR="00000000" w:rsidRPr="00000000">
        <w:rPr>
          <w:rFonts w:ascii="Times New Roman" w:cs="Times New Roman" w:eastAsia="Times New Roman" w:hAnsi="Times New Roman"/>
          <w:sz w:val="24"/>
          <w:szCs w:val="24"/>
          <w:rtl w:val="0"/>
        </w:rPr>
        <w:t xml:space="preserve">Três anos depois, será que o Ministério tem um novo número?</w:t>
      </w:r>
    </w:p>
    <w:p w:rsidR="00000000" w:rsidDel="00000000" w:rsidP="00000000" w:rsidRDefault="00000000" w:rsidRPr="00000000" w14:paraId="0000003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 19: “In August 2025, of the total families served by the Bolsa Família Program, 239,900 were Indigenous families and 278,600 were quilombola families. With regard to Black beneficiaries, composed of Afro-descendants, 21.36 million were Black women and 15.31 million were Black men, totaling 36.67 million Black people served, equivalent to 73.27% of the beneficiaries that month”.</w:t>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21: Política Nacional de Segurança Alimentar e Nutrição. 3º Plano Nacional de Segurança Alimentar e Nutrição.</w:t>
      </w:r>
    </w:p>
    <w:p w:rsidR="00000000" w:rsidDel="00000000" w:rsidP="00000000" w:rsidRDefault="00000000" w:rsidRPr="00000000" w14:paraId="0000003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22: MIR: Programa Economia de Terreiro, Edital Sabores e Saberes, e prêmios culturais Mestres e Mestras de Terreiro.</w:t>
      </w:r>
    </w:p>
    <w:p w:rsidR="00000000" w:rsidDel="00000000" w:rsidP="00000000" w:rsidRDefault="00000000" w:rsidRPr="00000000" w14:paraId="0000003A">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Acredito que a resposta deveria trazer dados sobre pobreza e pobreza extrema, com o recorte de cor ou raça e gênero. As conclusões do CERD são especialmente preocupadas com o nível de pobreza de domicílios chefiados por mulheres negras. Também não fica claro, como uma diretriz do CERD, como a pobreza extrema ataca pessoas negras PCD, por exemplo.</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11"/>
        </w:numPr>
        <w:spacing w:line="36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Parágrafo 36 (a)</w:t>
      </w:r>
    </w:p>
    <w:p w:rsidR="00000000" w:rsidDel="00000000" w:rsidP="00000000" w:rsidRDefault="00000000" w:rsidRPr="00000000" w14:paraId="0000003D">
      <w:pPr>
        <w:numPr>
          <w:ilvl w:val="0"/>
          <w:numId w:val="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Committee recommends that the State party take immediate and decisive action to end the excessive and lethal use of force by law enforcement and military officials, including by: </w:t>
      </w:r>
    </w:p>
    <w:p w:rsidR="00000000" w:rsidDel="00000000" w:rsidP="00000000" w:rsidRDefault="00000000" w:rsidRPr="00000000" w14:paraId="0000003E">
      <w:pPr>
        <w:numPr>
          <w:ilvl w:val="0"/>
          <w:numId w:val="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Ensuring the demilitarization of law enforcement activities in Brazil [...]”</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36: “Recognizing that the discussion on the demilitarization of police activities in Brazil is broad and interinstitutional in scope, the Brazilian State has welcomed the recommendations issued by CERD and has taken them into account in the formulation of public policies”. </w:t>
      </w:r>
      <w:r w:rsidDel="00000000" w:rsidR="00000000" w:rsidRPr="00000000">
        <w:rPr>
          <w:rFonts w:ascii="Times New Roman" w:cs="Times New Roman" w:eastAsia="Times New Roman" w:hAnsi="Times New Roman"/>
          <w:sz w:val="24"/>
          <w:szCs w:val="24"/>
          <w:rtl w:val="0"/>
        </w:rPr>
        <w:t xml:space="preserve">Rapaz. Parágrafo único. Ok.</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Parágrafo 36 (b) e (c)</w:t>
      </w:r>
    </w:p>
    <w:p w:rsidR="00000000" w:rsidDel="00000000" w:rsidP="00000000" w:rsidRDefault="00000000" w:rsidRPr="00000000" w14:paraId="00000043">
      <w:pPr>
        <w:numPr>
          <w:ilvl w:val="0"/>
          <w:numId w:val="12"/>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Ensuring that guidelines and manuals used to train all relevant law enforcement and security officials outline protocols for the use of force, according to the principles of proportionality, necessity and legality, along with standards relating to racial equality, and that training is effective and frequent; </w:t>
      </w:r>
    </w:p>
    <w:p w:rsidR="00000000" w:rsidDel="00000000" w:rsidP="00000000" w:rsidRDefault="00000000" w:rsidRPr="00000000" w14:paraId="00000044">
      <w:pPr>
        <w:numPr>
          <w:ilvl w:val="0"/>
          <w:numId w:val="12"/>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Ensuring the deployment of less lethal weapons during policing activities, particularly in areas densely populated with civilians, including Afro-Brazilians [...]”</w:t>
      </w:r>
    </w:p>
    <w:p w:rsidR="00000000" w:rsidDel="00000000" w:rsidP="00000000" w:rsidRDefault="00000000" w:rsidRPr="00000000" w14:paraId="0000004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25: Projeto Nacional de Qualificação do Uso da Força. Quatro pilares: 1) diretrizes operacionais e suporte legal; 2) treinamento e capacitação continuada; 3) aquisição e doação de equipamento protetivo e instrumentos menos letais; 3) diagnóstico e acesso ao impacto (</w:t>
      </w:r>
      <w:r w:rsidDel="00000000" w:rsidR="00000000" w:rsidRPr="00000000">
        <w:rPr>
          <w:rFonts w:ascii="Times New Roman" w:cs="Times New Roman" w:eastAsia="Times New Roman" w:hAnsi="Times New Roman"/>
          <w:i w:val="1"/>
          <w:iCs w:val="1"/>
          <w:sz w:val="24"/>
          <w:szCs w:val="24"/>
          <w:rtl w:val="0"/>
        </w:rPr>
        <w:t xml:space="preserve">impact assessment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26: Decreto Nº 12.314/2024.</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27: Portaria MJSP Nº 855/2025.</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28: Portaria MJSP Nº 856/2025, estabelecendo o Comitê Nacional de Monitoramento do Uso da Força.</w:t>
      </w:r>
    </w:p>
    <w:p w:rsidR="00000000" w:rsidDel="00000000" w:rsidP="00000000" w:rsidRDefault="00000000" w:rsidRPr="00000000" w14:paraId="0000004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 29: 29. “Parallel to the regulatory framework, the Ministry of Justice and Public Security implemented large-scale training initiatives. By August 2025, 28 editions of in-person and distance-learning courses on the differentiated use of force had been carried out, training 1,168 multipliers, including instructors of the National Course on the Use of Force and the Course on Body Cameras and the Use of Force: Principles and Practices. These programs are essential to ensure that the regulatory framework is effectively internalized by police institutions, becoming part of everyday practice”. </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30: “The adherence by federative entities to the National Project for the Qualification of the Use of Force reinforces its inductive nature: 21 states have already formalized Terms of Adherence, committing to internalize Decree No. 12,341/2024 and Ordinance MJSP No. 855/2025 into their internal regulations, in alignment with the Unified Public Security System (SUSP)”. </w:t>
      </w:r>
      <w:r w:rsidDel="00000000" w:rsidR="00000000" w:rsidRPr="00000000">
        <w:rPr>
          <w:rFonts w:ascii="Times New Roman" w:cs="Times New Roman" w:eastAsia="Times New Roman" w:hAnsi="Times New Roman"/>
          <w:sz w:val="24"/>
          <w:szCs w:val="24"/>
          <w:rtl w:val="0"/>
        </w:rPr>
        <w:t xml:space="preserve">Enfim, um dado a nível estadual.</w:t>
      </w:r>
    </w:p>
    <w:p w:rsidR="00000000" w:rsidDel="00000000" w:rsidP="00000000" w:rsidRDefault="00000000" w:rsidRPr="00000000" w14:paraId="0000004C">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Essa seção é capaz de responder sobre a inclusão de diretrizes contra a violência motivada pela raça e a não observância aos direitos humanos em manuais e treinamentos, entretanto, não oferece dados sobre a utilização de instrumentos menos letais. Diz-se que criou planos e programas, mas não consegue medir um primeiro impacto (sendo que são medidas recentíssimas, de 2024 ou mesmo 2025).</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Parágrafo 36 (d)</w:t>
      </w:r>
    </w:p>
    <w:p w:rsidR="00000000" w:rsidDel="00000000" w:rsidP="00000000" w:rsidRDefault="00000000" w:rsidRPr="00000000" w14:paraId="0000004F">
      <w:pPr>
        <w:numPr>
          <w:ilvl w:val="0"/>
          <w:numId w:val="6"/>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Fully complying with and effectively implementing all judgments of the Federal Supreme Court relating to the excessive and lethal use of force; [...]”</w:t>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33: ADPF 635 sobre letalidade policial. Muito importante detalhar isso no Subsídio. Descrição um pouco mais cuidadosa neste parágrafo.</w:t>
      </w:r>
    </w:p>
    <w:p w:rsidR="00000000" w:rsidDel="00000000" w:rsidP="00000000" w:rsidRDefault="00000000" w:rsidRPr="00000000" w14:paraId="0000005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 34. “These guidelines directly correspond to the public policies and regulations recently instituted by the Ministry of Justice and Public Security. Decree No. 12,341/2024 regulated Law No. 13,060/2014 and established in its Article 2 principles such as legality, necessity, proportionality, accountability, and non-discrimination. Article 3, §§ 2 and 3, expressly prohibited the use of firearms against unarmed fleeing persons or vehicles that disregard police checkpoints, except in cases of immediate risk of death, thereby reproducing the commands of ADPF 635. Article 6, in turn, imposed on security agencies the obligation to regulate personal and residential searches, the use of handcuffs, crisis management, and protocols for incidents resulting in injury or death, in line with the determinations of the Federal Supreme Court regarding control, planning, and accountability”.</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35: Portaria MJSP Nº 855/2025 detalha a implementação do decreto.</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37: Portaria MJSP Nº 648/2024, regula o Projeto Nacional de Câmeras Corporais.</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38: “[...] Meanwhile, the Body Camera Project reached 14 states, with investments exceeding R$166 million and the distribution of more than 8,000 devices, prioritizing territories with the highest levels of police lethality. Studies conducted by UNDP and SENASP indicate a reduction of up to 60% in the use of force and a significant drop in abuse complaints in the areas already covered, in line with the outcomes expected by the Federal Supreme Court”. </w:t>
      </w:r>
      <w:r w:rsidDel="00000000" w:rsidR="00000000" w:rsidRPr="00000000">
        <w:rPr>
          <w:rFonts w:ascii="Times New Roman" w:cs="Times New Roman" w:eastAsia="Times New Roman" w:hAnsi="Times New Roman"/>
          <w:sz w:val="24"/>
          <w:szCs w:val="24"/>
          <w:rtl w:val="0"/>
        </w:rPr>
        <w:t xml:space="preserve">Enfim, números. É importante pensar por que 21 estados aderem ao Programa de Uso da Força, mas somente 14 o de Câmeras Corporais.</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39: Decreto Nº 12.341/2024 sobre cuidado psicológico contínuo para agentes envolvidos em incidentes críticos.</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41: “Furthermore, the Pena Justa National Plan, an initiative coordinated by the National Council of Justice (CNJ) and the Ministry of Justice and Public Security (MJSP) to address the crisis of the Brazilian prison system, was drafted in compliance with ADPF 347, in which the Federal Supreme Court recognized the Brazilian prison system as a state of unconstitutional affairs due to overcrowding, the precariousness of available places, the disproportionate entry of detainees for low-risk offenses, and the excessive length of imprisonment beyond the legal term - factors that undermine resocialization and public security”. </w:t>
      </w:r>
      <w:r w:rsidDel="00000000" w:rsidR="00000000" w:rsidRPr="00000000">
        <w:rPr>
          <w:rFonts w:ascii="Times New Roman" w:cs="Times New Roman" w:eastAsia="Times New Roman" w:hAnsi="Times New Roman"/>
          <w:sz w:val="24"/>
          <w:szCs w:val="24"/>
          <w:rtl w:val="0"/>
        </w:rPr>
        <w:t xml:space="preserve">Decisão do STF sobre estado de coisas inconstitucional no sistema prisional brasileiro. Poderia ser um documento central para o Subsídio.</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 43: “Innovatively, it provides for the production of data on quilombolas and traditional communities within the prison system, in order to guide specific policies. Its effectiveness depends on the allocation of resources, social and institutional awareness-raising, and the creation of employment and income opportunities for former inmates, contributing to the reduction of recidivism and inequalities”. </w:t>
      </w:r>
    </w:p>
    <w:p w:rsidR="00000000" w:rsidDel="00000000" w:rsidP="00000000" w:rsidRDefault="00000000" w:rsidRPr="00000000" w14:paraId="0000005B">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a seção mais satisfatória das respostas, com informações de diversos municípios, tentativa de uma cobertura a nível estadual e estatísticas. Mostra o impacto das ADPFs 347 e 635.</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v.br/saude/pt-br/centrais-de-conteudo/publicacoes/notas-tecnicas/2025/nota-tecnica-no-03-2024-asses-gm-ms/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