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Relatório do Estado brasileiro à Convenção Internacional sobre a Eliminação de Todas as Formas de Discriminação Racial</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2018</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Rascunho de parágrafos sobre o Relatório:</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último Relatório do Estado brasileiro à Convenção Internacional sobre a Eliminação de Todas as Formas de Discriminação Racial, referente ao ciclo de 2004 a 2017, buscou cumprir com a função de responder às demandas políticas, legais e administrativas de combate à desigualdade racial, com base nas diretrizes para produção de relatórios elaboradas pela CERD (HRI/GEN/2/Rev.6, A/RES/68/268 e CERD/C/70/Rev.5). O documento demonstrou medidas de evolução na posição do Estado brasileiro em cumprimento aos 7 primeiro artigos da Convenção. Entretanto, também buscou alinhavar problemas e falhas ao atingir as metas estabelecidas pela CERD ao longo do último ciclo.</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ao artigo 1º, apesar  de não existir uma definição oficial de raça no Brasil (§ 4), o Relatório prezou o papel do IBGE na amplitude de classificações de cor ou raça e no nível de detalhamento de informações sobre a população negra no país, tanto no Censo de 2010 quanto nas PNADs de 2014 e 2015. Também celebrou a medida do STF (2008) de considerar regras internacionais sobre direitos humanos ratificadas no Brasil como tendo </w:t>
      </w:r>
      <w:r w:rsidDel="00000000" w:rsidR="00000000" w:rsidRPr="00000000">
        <w:rPr>
          <w:rFonts w:ascii="Times New Roman" w:cs="Times New Roman" w:eastAsia="Times New Roman" w:hAnsi="Times New Roman"/>
          <w:i w:val="1"/>
          <w:iCs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de norma supralegal, e quando aprovadas por quórum especial no Poder Legislativo, </w:t>
      </w:r>
      <w:r w:rsidDel="00000000" w:rsidR="00000000" w:rsidRPr="00000000">
        <w:rPr>
          <w:rFonts w:ascii="Times New Roman" w:cs="Times New Roman" w:eastAsia="Times New Roman" w:hAnsi="Times New Roman"/>
          <w:i w:val="1"/>
          <w:iCs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de Emenda Constitucional (§ 9). </w:t>
      </w:r>
    </w:p>
    <w:p w:rsidR="00000000" w:rsidDel="00000000" w:rsidP="00000000" w:rsidRDefault="00000000" w:rsidRPr="00000000" w14:paraId="0000000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resposta às demandas do artigo 2º, foi recuperado o aparato constitucional estabelecido desde 1988 sobre a igualdade racial em termos de direitos e obrigações, além da previsão da prática de racismo como crime inafiançável e imprescritível (§ 17). Em 2016, o STJ mudou seu entendimento, equiparando o crime de injúria racial também como inafiançável e imprescritível. A criação de órgãos como a Secretaria Nacional de Políticas de Promoção da Igualdade Racial (SNPPIR) e espaços para contribuição da sociedade civil, como a Conferência Nacional de Promoção da Igualdade Racial (CONAPIR), também foi priorizada. </w:t>
      </w:r>
    </w:p>
    <w:p w:rsidR="00000000" w:rsidDel="00000000" w:rsidP="00000000" w:rsidRDefault="00000000" w:rsidRPr="00000000" w14:paraId="0000000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3º da Convenção, que versa sobre segregação racial e </w:t>
      </w:r>
      <w:r w:rsidDel="00000000" w:rsidR="00000000" w:rsidRPr="00000000">
        <w:rPr>
          <w:rFonts w:ascii="Times New Roman" w:cs="Times New Roman" w:eastAsia="Times New Roman" w:hAnsi="Times New Roman"/>
          <w:i w:val="1"/>
          <w:iCs w:val="1"/>
          <w:sz w:val="24"/>
          <w:szCs w:val="24"/>
          <w:rtl w:val="0"/>
        </w:rPr>
        <w:t xml:space="preserve">apartheid</w:t>
      </w:r>
      <w:r w:rsidDel="00000000" w:rsidR="00000000" w:rsidRPr="00000000">
        <w:rPr>
          <w:rFonts w:ascii="Times New Roman" w:cs="Times New Roman" w:eastAsia="Times New Roman" w:hAnsi="Times New Roman"/>
          <w:sz w:val="24"/>
          <w:szCs w:val="24"/>
          <w:rtl w:val="0"/>
        </w:rPr>
        <w:t xml:space="preserve">, foi respondido prioritariamente em termos de segregação socioespacial. Aqui se valorizou o tratamento estatístico e conceitual sobre as favelas, designadas como aglomerados subnormais pelo IBGE. Os dados demonstram o desafio encontrado pelo Estado brasileiro quanto à moradia da população pobre e negra no país:</w:t>
      </w:r>
    </w:p>
    <w:p w:rsidR="00000000" w:rsidDel="00000000" w:rsidP="00000000" w:rsidRDefault="00000000" w:rsidRPr="00000000" w14:paraId="00000009">
      <w:pPr>
        <w:spacing w:line="240" w:lineRule="auto"/>
        <w:ind w:left="2267.71653543307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ind w:left="2267.7165354330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 Dentre as formações socioespaciais mais conhecidas que compõem a paisagem das cidades brasileiras estão as favelas. Designadas pelo IBGE como aglomerados subnormais, as favelas concentravam, em 2011, 11,4 milhões de pessoas residentes, dos quais 68,33% eram negros, 30,57% brancos e 0,2% indígenas. Dos residentes negros em aglomerados subnormais 68,42% não tinham acesso à iluminação pública, 67,93% possuíam lixo acumulado no logradouro, 70,37% não possuíam pavimentação e 66,13% possuíam esgoto a céu aberto.</w:t>
      </w:r>
    </w:p>
    <w:p w:rsidR="00000000" w:rsidDel="00000000" w:rsidP="00000000" w:rsidRDefault="00000000" w:rsidRPr="00000000" w14:paraId="0000000B">
      <w:pPr>
        <w:spacing w:line="240" w:lineRule="auto"/>
        <w:ind w:left="2267.71653543307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de moradia e infraestrutura como o Programa Minha Casa Minha Vida e o Plano de Aceleração do Crescimento foram privilegiados como motores de combate a essa situação. Reconheceu-se também que os dados do Levantamento Nacional de Informações Penitenciárias, realizado em 2016 pelo Ministério da Justiça, demonstram como o recorte racial da população penitenciária e as condições dos cárceres no Brasil são um dos principais produtores da segregação racial nacional ainda hoje.</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tom crítico do Relatório se manteve nas respostas ao artigo 4º, referente à propaganda de superioridade racial e à incitação à discriminação racial. A seção ofereceu um panorama sobre o estado de casos judiciais por racismo e injúria racial, destacando que os inquéritos raramente chegam à fase decisória e resultam em sentenças condenatórias, um número de apenas 4% (§ 59). Conferiu-se especial atenção à monitoração do racismo no ambiente virtual, destacando o papel da ONG SaferNet Brasil e o número de 1.130 milhão de denúncias de racismo cibernético, resultando em 187.677 páginas removidas da internet (§ 60). </w:t>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resposta ao artigo 5º é a mais longa do relatório, dado o detalhamento que a Convenção demanda sobre a relação de direitos e liberdades a populações negras, originárias, quilombolas, ciganas e imigrantes. O Relatório estabelece um farto panorama dos índices de desemprego, informalidade, distinção de remuneração entre raças e gêneros, anos de atividade escolar, cobertura escolar e inserção no Ensino Superior por cor ou raça. É privilegiado nessa seção os avanços em políticas afirmativas, sobretudo com a lei de reserva de vagas em universidades públicas e institutos federais, a Lei nº 12.711/2012, e a Lei de Cotas no Serviço Público, nº 12.990/2014 (§§ 93-4, 101). Os dados sobre o direitos da população negra à saúde focaram nos níveis de mortalidade materna e assistência pré-natal, enfocando a interseccionalidade que caracteriza a vida de mulheres pobres e negras, que em geral tem condições mais precárias de gestação. O Relatório também reconheceu a existência insatisfatória de programas e medidas mais voltadas para o combate às consequências do racismo estrutural na saúde no Sistema Único de Saúde (SUS). Por fim, os índices voltados à segurança pública demonstram um estado alarmante quanto a vida da população negra no Brasil. </w:t>
      </w:r>
    </w:p>
    <w:p w:rsidR="00000000" w:rsidDel="00000000" w:rsidP="00000000" w:rsidRDefault="00000000" w:rsidRPr="00000000" w14:paraId="0000000F">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ind w:left="2267.7165354330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 Estes indicadores apresentam comportamentos distintos por Estado e região, mostrando que a dinâmica da violência vem sendo impactada por elementos outros de ordem espacial. Acompanhando esta dinâmica, vem se acentuando também a violência letal contra jovens do sexo masculino (56,5% dos óbitos de homens entre 15 e 19 anos têm como causa mortis os homicídios). Para este segmento, a taxa de homicídios é de 142,7 para cada 100 mil habitantes, quase cinco vezes superior à média nacional.</w:t>
      </w:r>
    </w:p>
    <w:p w:rsidR="00000000" w:rsidDel="00000000" w:rsidP="00000000" w:rsidRDefault="00000000" w:rsidRPr="00000000" w14:paraId="00000011">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 seção dedicada aos grupos especialmente abrangidos pela Convenção, o Relatório compilou diferentes níveis e tipos de estatísticas sobre os povos e comunidades tradicionais, as comunidades religiosas de matriz africana, as comunidades quilombolas, os povos ciganos e os imigrantes. Quanto aos povos indígenas e tradicionais, o documento privilegiou a Política Nacional de Desenvolvimento Sustentável dos Povos e Comunidades Tradicionais (2007), que prevê a inserção desses grupos em programas sociais, a promoção da conservação e do uso sustentável da biodiversidade e a garantia de alternativas de renda para as comunidades rurais (§ 134). Quanto às comunidades religiosas de matriz africana, destacou-se o I Plano Nacional de Desenvolvimento Sustentável dos Povos e Comunidades Tradicionais de Matriz Africana (2013-2015) e a Lei 11.481/2007, que regulariza a ocupação de áreas públicas destinadas à construção de templos e organizações religiosas. O III Programa Nacional de Direitos Humanos (PNDH-3) teve papel fundamental na evolução das políticas públicas voltadas às comunidades quilombolas, que não só devem avançar na política de regularização de terras, que constava em 2018 com 1.715 processos abertos no INCRA, mas também na inserção dessas comunidades em programas como o Luz para Todos e o Programa Estratégia Saúde da Família. O Relatório reconheceu a falta de dados suficientes para dar conta da demografia dos povos ciganos no país, entretanto, tentou traçar, com dados do IBGE e do CadÚnico, um perfil dessa população. Houve preocupação de listar uma série de medidas tomadas entre 2009 e 2016 para inserir os povos ciganos em programas governamentais e guias de políticas públicas, a fim de progredir sobre a falta de informação e assistência do Estado para com eles. Por fim, houve destaque para a crise imigratória da Venezuela, deflagrada a partir de 2016, com a criação do </w:t>
      </w:r>
      <w:r w:rsidDel="00000000" w:rsidR="00000000" w:rsidRPr="00000000">
        <w:rPr>
          <w:rFonts w:ascii="Times New Roman" w:cs="Times New Roman" w:eastAsia="Times New Roman" w:hAnsi="Times New Roman"/>
          <w:i w:val="1"/>
          <w:iCs w:val="1"/>
          <w:sz w:val="24"/>
          <w:szCs w:val="24"/>
          <w:rtl w:val="0"/>
        </w:rPr>
        <w:t xml:space="preserve">Comitê Federal de Assistência Emergencial para Acolhimento a pessoas em situação de vulnerabilidade decorrente de fluxo migratório</w:t>
      </w:r>
      <w:r w:rsidDel="00000000" w:rsidR="00000000" w:rsidRPr="00000000">
        <w:rPr>
          <w:rFonts w:ascii="Times New Roman" w:cs="Times New Roman" w:eastAsia="Times New Roman" w:hAnsi="Times New Roman"/>
          <w:sz w:val="24"/>
          <w:szCs w:val="24"/>
          <w:rtl w:val="0"/>
        </w:rPr>
        <w:t xml:space="preserve">. No bojo do direito de estrangeiros e refugiados, que em 2018 contava com estimadas 1,06 milhões de pessoas (§ 183), o Relatório destacou a substituição do Estatuto do Estrangeiro, decretado ainda no Regime Militar brasileiro, por uma nova Lei de Imigração (Lei nº 13.445/2017), baseada no diálogo com a sociedade civil e incorporando princípios internacionais de defesa aos direitos humanos.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artigo 6, dedicado ao acesso à justiça, teve resposta focada nos procedimentos judiciais e policiais em casos de racismo ou intolerância. O Relatório destacou a atuação do órgão Disque 100, que desde 2015 passou a ter módulos específicos de denúncia contra a violação de direitos da juventude negra, mulher ou população negra em geral e violação de direitos contra comunidades quilombolas, ciganos e de religiões de matriz africana (§ 202). Entretanto, o documento reconhece que pesquisas empíricas desde 2019 demonstram a continuidade da reprodução de um perfil social na justiça criminal e em abordagens policiais, demonstrando a maior probabilidade de condenação de sujeitos negros frente a não-negros. Outra dimensão desse problema é conferido pelo número de 5.144 pessoas mortas em intervenções policiais em 2017 (§ 216), índice que impacta sobretudo a população jovem masculina e negra.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Finalmente, em resposta ao artigo 7º que prevê a criação de medidas contra o preconceito no âmbito da educação, cultura e informação, os resultados variaram em extensão. No campo educacional, o destaque quase total foi à Lei nº 10.639/2003, que estabeleceu a obrigatoriedade do ensino de história e cultura africana e afro-brasileira no currículo escolar. Para além do seu impacto sobre a sala de aula e a preparação dos materiais escolares em todo o país, essa norma também fomentou programas e instrumentos, como o Programa Diversidade na Universidade e o direcionamento de seis dos 29 títulos da Coleção Educação para Todos para suas diretrizes. Outras medidas de currículo foram tomadas, como a criação das </w:t>
      </w:r>
      <w:r w:rsidDel="00000000" w:rsidR="00000000" w:rsidRPr="00000000">
        <w:rPr>
          <w:rFonts w:ascii="Times New Roman" w:cs="Times New Roman" w:eastAsia="Times New Roman" w:hAnsi="Times New Roman"/>
          <w:i w:val="1"/>
          <w:iCs w:val="1"/>
          <w:sz w:val="24"/>
          <w:szCs w:val="24"/>
          <w:rtl w:val="0"/>
        </w:rPr>
        <w:t xml:space="preserve">Diretrizes curriculares nacionais para educação das relações étnico-raciais e para o ensino de história e cultura afro-brasileira e africana </w:t>
      </w:r>
      <w:r w:rsidDel="00000000" w:rsidR="00000000" w:rsidRPr="00000000">
        <w:rPr>
          <w:rFonts w:ascii="Times New Roman" w:cs="Times New Roman" w:eastAsia="Times New Roman" w:hAnsi="Times New Roman"/>
          <w:sz w:val="24"/>
          <w:szCs w:val="24"/>
          <w:rtl w:val="0"/>
        </w:rPr>
        <w:t xml:space="preserve">em 2009 e as </w:t>
      </w:r>
      <w:r w:rsidDel="00000000" w:rsidR="00000000" w:rsidRPr="00000000">
        <w:rPr>
          <w:rFonts w:ascii="Times New Roman" w:cs="Times New Roman" w:eastAsia="Times New Roman" w:hAnsi="Times New Roman"/>
          <w:i w:val="1"/>
          <w:iCs w:val="1"/>
          <w:sz w:val="24"/>
          <w:szCs w:val="24"/>
          <w:rtl w:val="0"/>
        </w:rPr>
        <w:t xml:space="preserve">Diretrizes curriculares nacionais para a educação escolar quilombola na educação básica em 2012</w:t>
      </w:r>
      <w:r w:rsidDel="00000000" w:rsidR="00000000" w:rsidRPr="00000000">
        <w:rPr>
          <w:rFonts w:ascii="Times New Roman" w:cs="Times New Roman" w:eastAsia="Times New Roman" w:hAnsi="Times New Roman"/>
          <w:sz w:val="24"/>
          <w:szCs w:val="24"/>
          <w:rtl w:val="0"/>
        </w:rPr>
        <w:t xml:space="preserve">. No campo da cultura, o Relatório falhou em oferecer um quadro detalhado das medidas do Estado, relegando à seção apenas dois parágrafos sobre diretrizes gerais de atuação da Fundação Cultural Palmares. Sobre o âmbito da informação, o documento privilegiou a criação da Empresa Brasil de Comunicação (EBC) pela Lei nº 11.652/2008 e a veiculação de conteúdos voltados para o combate ao racismo e à discriminação racial. Além disso, veiculou-se ações do Conselho Nacional de Autorregulamentação Publicitária (CONAR) para identificar denúncias contra propaganda racista e discriminação racial na mídia, perfazendo, em 2013, 2,9% dos 340 processos abertos (§238).</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Avanços necessários: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Relatório tem, primeiramente, questões problemáticas de estrutura, que prejudicam no cumprimento das </w:t>
      </w:r>
      <w:r w:rsidDel="00000000" w:rsidR="00000000" w:rsidRPr="00000000">
        <w:rPr>
          <w:rFonts w:ascii="Times New Roman" w:cs="Times New Roman" w:eastAsia="Times New Roman" w:hAnsi="Times New Roman"/>
          <w:i w:val="1"/>
          <w:iCs w:val="1"/>
          <w:sz w:val="24"/>
          <w:szCs w:val="24"/>
          <w:rtl w:val="0"/>
        </w:rPr>
        <w:t xml:space="preserve">guidelines </w:t>
      </w:r>
      <w:r w:rsidDel="00000000" w:rsidR="00000000" w:rsidRPr="00000000">
        <w:rPr>
          <w:rFonts w:ascii="Times New Roman" w:cs="Times New Roman" w:eastAsia="Times New Roman" w:hAnsi="Times New Roman"/>
          <w:sz w:val="24"/>
          <w:szCs w:val="24"/>
          <w:rtl w:val="0"/>
        </w:rPr>
        <w:t xml:space="preserve">(CERD/C/70/Rev.5). A última das respostas aos 7 artigos não confere um título resumitivo, gerando prejuízo no paralelismo. A partir da resposta ao 4º artigo, o Relatório também não vincula antes dos parágrafos os critérios a ser respondidos naquela seção. Por mais que o Relatório não tenha de ser um recompilado exaustivo de dados, sente-se a falta de uma menção mais explícita das fontes estatísticas, no mesmo nível que se tem no </w:t>
      </w:r>
      <w:r w:rsidDel="00000000" w:rsidR="00000000" w:rsidRPr="00000000">
        <w:rPr>
          <w:rFonts w:ascii="Times New Roman" w:cs="Times New Roman" w:eastAsia="Times New Roman" w:hAnsi="Times New Roman"/>
          <w:i w:val="1"/>
          <w:iCs w:val="1"/>
          <w:sz w:val="24"/>
          <w:szCs w:val="24"/>
          <w:rtl w:val="0"/>
        </w:rPr>
        <w:t xml:space="preserve">Common core document</w:t>
      </w:r>
      <w:r w:rsidDel="00000000" w:rsidR="00000000" w:rsidRPr="00000000">
        <w:rPr>
          <w:rFonts w:ascii="Times New Roman" w:cs="Times New Roman" w:eastAsia="Times New Roman" w:hAnsi="Times New Roman"/>
          <w:sz w:val="24"/>
          <w:szCs w:val="24"/>
          <w:rtl w:val="0"/>
        </w:rPr>
        <w:t xml:space="preserve"> – por vezes, a origem da informação fica dispersa entre os parágrafos. Também é possível observar algumas diferenças gritantes na extensão das seções, sobretudo no item “Cultura” da resposta ao artigo 7º, e disparidade de aproveitamento de dados estatísticos, como na resposta ao artigo 6º.</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Ainda em termos de cumprimento das </w:t>
      </w:r>
      <w:r w:rsidDel="00000000" w:rsidR="00000000" w:rsidRPr="00000000">
        <w:rPr>
          <w:rFonts w:ascii="Times New Roman" w:cs="Times New Roman" w:eastAsia="Times New Roman" w:hAnsi="Times New Roman"/>
          <w:i w:val="1"/>
          <w:iCs w:val="1"/>
          <w:sz w:val="24"/>
          <w:szCs w:val="24"/>
          <w:rtl w:val="0"/>
        </w:rPr>
        <w:t xml:space="preserve">guidelines</w:t>
      </w:r>
      <w:r w:rsidDel="00000000" w:rsidR="00000000" w:rsidRPr="00000000">
        <w:rPr>
          <w:rFonts w:ascii="Times New Roman" w:cs="Times New Roman" w:eastAsia="Times New Roman" w:hAnsi="Times New Roman"/>
          <w:sz w:val="24"/>
          <w:szCs w:val="24"/>
          <w:rtl w:val="0"/>
        </w:rPr>
        <w:t xml:space="preserve">, o Relatório faz pouca ou nenhuma menção aos parâmetros estabelecidos pela CERD. As Recomendações Gerais são quase que sumariamente ignoradas, e pouco se reporta a critérios das próprias diretrizes da Comissão. Isso seja alguns prejuízos notáveis. Em especial, Recomendações Gerais sobre discurso de ódio racista e </w:t>
      </w:r>
      <w:r w:rsidDel="00000000" w:rsidR="00000000" w:rsidRPr="00000000">
        <w:rPr>
          <w:rFonts w:ascii="Times New Roman" w:cs="Times New Roman" w:eastAsia="Times New Roman" w:hAnsi="Times New Roman"/>
          <w:i w:val="1"/>
          <w:iCs w:val="1"/>
          <w:sz w:val="24"/>
          <w:szCs w:val="24"/>
          <w:rtl w:val="0"/>
        </w:rPr>
        <w:t xml:space="preserve">racial profiling </w:t>
      </w:r>
      <w:r w:rsidDel="00000000" w:rsidR="00000000" w:rsidRPr="00000000">
        <w:rPr>
          <w:rFonts w:ascii="Times New Roman" w:cs="Times New Roman" w:eastAsia="Times New Roman" w:hAnsi="Times New Roman"/>
          <w:sz w:val="24"/>
          <w:szCs w:val="24"/>
          <w:rtl w:val="0"/>
        </w:rPr>
        <w:t xml:space="preserve">(perfil racial em casos judiciais e abordagem policial) poderiam ter auxiliado fortemente a nortear as respostas aos artigos 2º, 3º e 6º de forma mais abrangente e satisfatória.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Quanto ao conteúdo, o Relatório precisa avançar sobretudo nas respostas aos artigos 4º e 7º. Em relação ao artigo 4º, que versa sobre propaganda de superioridade racial, está claro que o ciclo 2019-2025 ofereceu uma série de desafios mais incisivos que o ciclo anterior. O aprofundamento da polarização política no país deu espaço à ascensão de células neonazistas e crimes de ódio racial, chegando a incrementar os ataques violentos a negros e a comunidades religiosas de matriz africana. Será preciso lidar, também, com o próprio período em que o Estado brasileiro, em discursos oficiais, veiculou teses de discriminação racial, por meio da Presidência ou da Fundação Cultural Palmares. Além disso, é na resposta a este artigo que mais se demandará a atualização do Relatório quanto à democratização do acesso à internet e a veiculação de propaganda de supremacia racial por meio das redes sociais. O III Relatório já demonstra preocupação com crimes de racismo cibernético, preocupação que deve ser ampliada no próximo documento. Sobre o artigo 7º, é aqui que se sente a maior defasagem do Relatório quanto a atuação de órgãos estaduais e municipais no combate à desigualdade racial. A atuação de secretarias de Educação, Cultura, Saúde e Segurança Pública poderia estar muito mais presente no documento, seja para requalificar dados agregados nacionais dentro de seus âmbitos regionais e estaduais, ou para oferecer detalhamento de questões que a perspectiva federal não pode alcançar de forma satisfatória.</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Dados a ser atualizados no Relatório:</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2130"/>
        <w:gridCol w:w="3000"/>
        <w:tblGridChange w:id="0">
          <w:tblGrid>
            <w:gridCol w:w="3870"/>
            <w:gridCol w:w="2130"/>
            <w:gridCol w:w="300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Última atualização</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1 - Conceito de discriminação étnico-racial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Entendimento da população sobre os conceitos de cor e 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 (Pesquisa sobre as Características Étnico</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raciais da População - IBGE)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2 - Dispositivos legais e políticas para a eliminação da </w:t>
            </w:r>
          </w:p>
          <w:p w:rsidR="00000000" w:rsidDel="00000000" w:rsidP="00000000" w:rsidRDefault="00000000" w:rsidRPr="00000000" w14:paraId="00000028">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discriminação racial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de órgãos e conselhos do Sistema Nacional de Promoção da </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Igualdade Racial (SINAPIR)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edição da Conferência Nacional de Promoção da Igualdade Racial (CONAPIR)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3 - Segregação socioespacial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racial de habitantes de favelas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sobre infraestrutura em favelas (iluminação pública, pavimentação, saneamento 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Unidades habitacionais em condições inadequadas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(Fundação João Pinheiro/MG)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Déficit estimado de unidades habitacionais e recorte racial da demanda por novas moradias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(Fundação João Pinheiro/MG)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Contratação e entrega de unidades habitacionais do Programa Minha Casa Minha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Operações de urbanização em assentamentos precários, famílias beneficiadas e distribuição de investimentos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(Secretaria Nacional de Habitação do Ministério das Cidades)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carcerária e recorte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(Levantamento Nacional de Informações Penitenciárias)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 escolaridade e renda da população carcerária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(Levantamento Nacional de Informações Penitenciárias)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ocupação dos presídios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(Levantamento Nacional de Informações Penitenciárias)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 e crescimento do aprisionamento feminino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(Levantamento Nacional de Informações Penitenciárias)</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4 - Combate à propaganda de superioridade racial e de </w:t>
            </w:r>
          </w:p>
          <w:p w:rsidR="00000000" w:rsidDel="00000000" w:rsidP="00000000" w:rsidRDefault="00000000" w:rsidRPr="00000000" w14:paraId="0000005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incitação à discriminação racial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de discriminação racial e estado dos processos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(a partir do Tribunal de Justiça do Estado </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São Paulo)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globais de racismo (em línguas)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(a partir da SaferNet)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de racismo cibernético no Brasil e páginas removidas em decorrência delas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5 - Dos direitos sociais da população negra</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Trabalho, educação, desigualdade e renda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Pobreza extrema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Informalidade e percentual de negros desocupados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Desigualdade no rendimento médio entre negros e brancos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rendimento médio entre negros e brancos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Ocupações da população negra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Recorte racial do trabalho doméstico remunerado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Ascensão intergeracional de brancos e negros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Anos de estudo – recorte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escolar entre 0 e 17 anos - recorte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Distorção idade-série – recorte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escolar entre 18 e 24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Pessoas de 25 anos ou mais com 12 anos de estudos ou mais – recorte racial e de gênero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Ensino Superior – recorte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negra em instituições privadas e públicas de ensino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Recorte racial dos 10% mais pobres no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Saúde da população negra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Mortalidade materna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Mulheres negras que fizeram sete consultas de pré-natal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Porcentagem de mortes maternas evitáveis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homicídios no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Porcentagem de homicídios entre mortes de homens entre 15 e 19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vitimização por homicídios – recorte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(Anuário de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Mortes em decorrência de intervenção policial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(Anuário de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Crescimento de mortalidade de mulheres negras e brancas por morte violenta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(Anuário de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pessoas mortas por arma de fogo no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(Anuário de Segurança Pública)</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Grupos especialmente abrangidos pela Convenção</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Povos e comunidades tradicionais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Grupos sociais do campo, da floresta e das águas reconhecidas pelo Estado brasileiro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Nacional de Desenvolvimento Sustentável dos Povos e Comunidades Tradicionais (PNPCT)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Concentração regional de povos e comunidades tradicionais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 de extremamente pobres entre indígenas, quilombolas, ciganos, extrativistas, pescadores e ribeirinhos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Comunidades religiosas de matriz africana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das lideranças de comunidades tradicionais de terreiro (gênero, renda, ocupação)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(Ministério do Desenvolvimento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Atividades comunitárias e ações de assistência social em casas tradicionais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(Ministério do Desenvolvimento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de intolerância religiosa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(Ouvidoria Nacional do MDH, SEPPIR) </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Das comunidades quilombolas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Comunidades quilombolas certificadas pela Fundação Cultural Palmares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(Fundação Palmares, MinC)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Processos de regularização de terras quilombolas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(INCRA)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Equipes médicas e médicos do Programa Mais Médicos em territórios quilombolas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(Programa Estratégia Saúde da Família)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Domicílios quilombolas beneficiados com o Programa Luz para 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Instalações de escolas quilombolas (bibliotecas, laboratórios, quadras)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(Censo Escolar)</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Povos ciganos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pessoas dos povos ciganos Calon, Rom e Sinti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(IBGE, CadÚnico)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Municípios com acampamentos ciganos e distribuição 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Migração dos Calon para municípios de médio 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da população por idade e gênero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(IBGE, CadÚnico)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filhos por família e tendas por acampamento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Povos ciganos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imigrantes e entrada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(Ministério da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Solicitações de reconhecimento de refugiados e nacionalidades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(Comitê Nacional para os Refugiados - CONARE)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 de imigrantes empregados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Artigo 6 - Acesso à justiça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recebidas pelo módulo de igualdade racial do Disque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(Disque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Ausência de Defensores Públicos em comarcas brasileiras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(Defensoria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Mortos em decorrência de intervenção policial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 (Anuário de Segurança Pública)</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Artigo 7</w:t>
            </w:r>
            <w:r w:rsidDel="00000000" w:rsidR="00000000" w:rsidRPr="00000000">
              <w:rPr>
                <w:rtl w:val="0"/>
              </w:rPr>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Educação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 do UNIAFRO, “Programa de Ações Afirmativas para a população negra nas instituições públicas de ensino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Informação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de discriminação racial junto ao Conselho Nacional de Autorregulamentação Publicitária (CONAR)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(CONAR)</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Anexos - Dados consolidados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percentual das pessoas de 16 anos ou mais idade ocupadas na </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de referência, por grupo de idade em que começou a trabalhar, </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o sexo, cor/raça e grupos de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Contínua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desocupação da população com 16 anos ou mais idade (2004-2015)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desocupação da população com 16 anos ou mais de idade (2012-2016)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Contínua - IBGE)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informalidade das pessoas de 16 </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anos ou mais de idade por raça- Brasil, </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a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Contínua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do rendimento médio mensal no trabalho principal da população ocupada de </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anos ou mais de idade - 2004 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rendimento médio mensal do trabalho principal das pessoas de 16 </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anos ou mais de idade ocupadas na semana de referência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Contínua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ocupação do trabalho principal das pessoas de 16 anos ou mais de idade por raça- Brasil, 2012 a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Contínua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de mulheres no trabalho doméstico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(PNAD Contínua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dos que frequentam ensino superior em instituição privada segundo cor/raça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escolar de crianças e jovens, segundo faixa etária, sexo, cor/raça e localização do domicílio - Brasil, 2004 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distorção idade-série no ensino médio (1º ao 3º 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de pessoas de 25 anos ou mais de idade com 12 anos ou mais de estudo, por cor/raça, segundo sexo - Brasil e Regiões, 1995 a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dos que frequentam curso superior segundo raça/cor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Bolsas concedidas pelo PROUNI por cor/raça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(Sisprouni)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Bolsas concedidas PROUNI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(Sesu/MEC)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do que frequentam curso superior em instituição pública segundo cor/raça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Aglomerados Subnormais no Brasil por raça/cor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Refugiados reconhecidos no Brasil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(CONARE)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Evolução do número de pessoas em privação de liberdade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(Ministério da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Denúncias recebidas pela Ouvidoria Nacional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(SEPPIR)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Comparativo de municípios brasileiros com órgãos e conselhos para a igualdade racial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de órgãos para a igualdade racial por unidade federada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Anotações gerais: </w:t>
      </w: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 Período coberto é de 2004 a 2017. Nosso ciclo, portanto, é 2018-2025.</w:t>
      </w:r>
    </w:p>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 Diretrizes: HRI/GEN/2/Rev.6, A/RES/68/268 e CERD/C/70/Rev.5.</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Artigo 1 - Conceito de discriminação racial</w:t>
      </w: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4: Sistema de classificação por raça do IBGE.</w:t>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6: Inclusão de pretos e pardos como negros.</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7: Pesquisa sobre as Características Étnico raciais da População (Pcerp) de 2008, </w:t>
      </w:r>
      <w:r w:rsidDel="00000000" w:rsidR="00000000" w:rsidRPr="00000000">
        <w:rPr>
          <w:rFonts w:ascii="Times New Roman" w:cs="Times New Roman" w:eastAsia="Times New Roman" w:hAnsi="Times New Roman"/>
          <w:sz w:val="24"/>
          <w:szCs w:val="24"/>
          <w:rtl w:val="0"/>
        </w:rPr>
        <w:t xml:space="preserve">a fim de refinar a produção estatística em investigações sobre cor e raça. Foi refeita no ciclo atual?</w:t>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9: STF confere às regras internacionais ratificadas </w:t>
      </w:r>
      <w:r w:rsidDel="00000000" w:rsidR="00000000" w:rsidRPr="00000000">
        <w:rPr>
          <w:rFonts w:ascii="Times New Roman" w:cs="Times New Roman" w:eastAsia="Times New Roman" w:hAnsi="Times New Roman"/>
          <w:i w:val="1"/>
          <w:iCs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de norma supralegal. Se houver quórum especial, assume </w:t>
      </w:r>
      <w:r w:rsidDel="00000000" w:rsidR="00000000" w:rsidRPr="00000000">
        <w:rPr>
          <w:rFonts w:ascii="Times New Roman" w:cs="Times New Roman" w:eastAsia="Times New Roman" w:hAnsi="Times New Roman"/>
          <w:i w:val="1"/>
          <w:iCs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de emenda constitucional.</w:t>
      </w:r>
    </w:p>
    <w:p w:rsidR="00000000" w:rsidDel="00000000" w:rsidP="00000000" w:rsidRDefault="00000000" w:rsidRPr="00000000" w14:paraId="0000017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10. “Já no Poder Executivo Federal, podemos destacar o Aviso Circular nº 1, de 28 de dezembro de 2012, assinado pelas ministras de Estado da Igualdade Racial, de Políticas para as Mulheres e da Casa Civil da Presidência da República, que adotou o quesito “cor ou raça” como obrigatório nos registros administrativos, cadastros, formulários e bases de dados do governo federal”.  </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12: Destaque ao fato de que a implementação do conceito de discriminação racial da CERD permite pensar e recepcionar na legislação nacional formas de discriminação diretas e indiretas.</w:t>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14. “A proteção contra o tratamento discriminatório não faz distinção entre brasileiros e estrangeiros. No dia 24 de maio de 2017, foi aprovada a Lei nº 13.445, que dispõe sobre os direitos e deveres do migrante e do visitante no país e revoga dispositivo que encarava o estrangeiro como um problema de segurança nacional. Este novo marco regulatório da migração, ao adotar a perspectiva dos direitos humanos, incorpora princípios do texto constitucional”. </w:t>
      </w:r>
      <w:r w:rsidDel="00000000" w:rsidR="00000000" w:rsidRPr="00000000">
        <w:rPr>
          <w:rFonts w:ascii="Times New Roman" w:cs="Times New Roman" w:eastAsia="Times New Roman" w:hAnsi="Times New Roman"/>
          <w:sz w:val="24"/>
          <w:szCs w:val="24"/>
          <w:rtl w:val="0"/>
        </w:rPr>
        <w:t xml:space="preserve">Importante dar conta das mudanças de legislação sobre estrangeiros nos últimos anos.</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14 (p. 10 – erro de numeração): Menciona outros relatórios do Brasil, como o 3º Relatório brasileiro de cumprimento do Pacto Internacional sobre os Direitos Econômicos, Sociais e Culturais.</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Artigo 2 - Dispositivos legais e políticas para a eliminação da discriminação racial</w:t>
      </w: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17: Menções à Constituição Federal, especialmente arts. 3º, 5º e 7º. Adoção de normas contra a discriminação racial “orientam toda a legislação infraconstitucional vigente”.</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19-23: Revê legislações anteriores ao ciclo, sim, por exemplo, Lei nº 9029/1995 e Lei nº 7.716/1989. </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26: Órgãos ligados à proteção e promoção dos direitos humanos no Brasil. Ministério dos Direitos Humanos e Secretaria Nacional de Políticas de Promoção da Igualdade Racial (SNPPIR). </w:t>
      </w:r>
    </w:p>
    <w:p w:rsidR="00000000" w:rsidDel="00000000" w:rsidP="00000000" w:rsidRDefault="00000000" w:rsidRPr="00000000" w14:paraId="0000017D">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Incluir o MIR.</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29. “Visando a estimular ainda mais a territorialização, articulação e expansão das ações de combate ao racismo, construiu-se o Sistema Nacional de Promoção da Igualdade Racial (SINAPIR). O Sistema pretende ser uma forma de organização e articulação voltadas à implementação do conjunto de políticas e serviços para superar as desigualdades raciais no Brasil. Instituído pelo Estatuto da Igualdade Racial, o SINAPIR contava em maio de 2015 com a adesão de 197 órgãos e 106 conselhos de promoção da igualdade racial espalhados por todo Brasil”. </w:t>
      </w:r>
      <w:r w:rsidDel="00000000" w:rsidR="00000000" w:rsidRPr="00000000">
        <w:rPr>
          <w:rFonts w:ascii="Times New Roman" w:cs="Times New Roman" w:eastAsia="Times New Roman" w:hAnsi="Times New Roman"/>
          <w:sz w:val="24"/>
          <w:szCs w:val="24"/>
          <w:rtl w:val="0"/>
        </w:rPr>
        <w:t xml:space="preserve">Atualizar os dados do SINAPIR.</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30. “Estimulando também a participação social e a capilarização do debate racial na sociedade brasileira, realiza-se, a cada quatro anos, a Conferência Nacional de Promoção da Igualdade Racial (CONAPIR), que, em sua última edição em 2018, contou com a participação de aproximadamente seiscentos representantes de todo 13 14 o país. Foram organizadas quatro conferências entre 2004 e 2018, contando com a participação de diversos setores organizados da sociedade civil e de governos nos três níveis”. </w:t>
      </w:r>
      <w:r w:rsidDel="00000000" w:rsidR="00000000" w:rsidRPr="00000000">
        <w:rPr>
          <w:rFonts w:ascii="Times New Roman" w:cs="Times New Roman" w:eastAsia="Times New Roman" w:hAnsi="Times New Roman"/>
          <w:sz w:val="24"/>
          <w:szCs w:val="24"/>
          <w:rtl w:val="0"/>
        </w:rPr>
        <w:t xml:space="preserve">O CONAPIR se reuniu novamente em 2025 e elaborou um Caderno de Propostas. Acho excelente incorporarmos ao Subsídio. Está nesse link: </w:t>
      </w:r>
      <w:hyperlink r:id="rId6">
        <w:r w:rsidDel="00000000" w:rsidR="00000000" w:rsidRPr="00000000">
          <w:rPr>
            <w:rFonts w:ascii="Times New Roman" w:cs="Times New Roman" w:eastAsia="Times New Roman" w:hAnsi="Times New Roman"/>
            <w:color w:val="1155cc"/>
            <w:sz w:val="24"/>
            <w:szCs w:val="24"/>
            <w:u w:val="single"/>
            <w:rtl w:val="0"/>
          </w:rPr>
          <w:t xml:space="preserve">Governo Federal - Participa + Brasil - Caderno de Propostas 5ª- CONAPIR</w:t>
        </w:r>
      </w:hyperlink>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Artigo 3 - Segregação socioespacial</w:t>
      </w:r>
      <w:r w:rsidDel="00000000" w:rsidR="00000000" w:rsidRPr="00000000">
        <w:rPr>
          <w:rtl w:val="0"/>
        </w:rPr>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Resposta ao artigo 3º é muito focado nos planos de moradia do país, e com alguma informação sobre a população carcerária. Ele tem um tom crítico, demonstrando que apesar dos avanços, aqui representado pelo Minha Casa Minha Vida, há uma série de problemas de segregação socioespacial. Entretanto, seria interessante ir além da segregação socioespacial e pensar a segregação racial, que é o foco do art. 3º da Convenção, em, por exemplo, participação da população negra na educação e em empregos públicos. Além disso, outras demandas do artigo, como dados sobre povos ciganos e estrangeiros não-naturalizados, são ignorados na resposta.</w:t>
      </w:r>
    </w:p>
    <w:p w:rsidR="00000000" w:rsidDel="00000000" w:rsidP="00000000" w:rsidRDefault="00000000" w:rsidRPr="00000000" w14:paraId="0000018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36. “O III Programa Nacional de Direitos Humanos (PNDH-3), no eixo que trata da universalização de direitos em contexto de desigualdades, estabeleceu como compromisso do Estado brasileiro que nos programas habitacionais públicos sejam priorizadas as populações de baixa renda, população em situação de rua e os grupos sociais em situação de vulnerabilidade no espaço urbano e rural, devendo ser considerados os princípios de moradia digna, do desenho universal e de acessibilidade nos projetos”. </w:t>
      </w:r>
      <w:r w:rsidDel="00000000" w:rsidR="00000000" w:rsidRPr="00000000">
        <w:rPr>
          <w:rFonts w:ascii="Times New Roman" w:cs="Times New Roman" w:eastAsia="Times New Roman" w:hAnsi="Times New Roman"/>
          <w:sz w:val="24"/>
          <w:szCs w:val="24"/>
          <w:rtl w:val="0"/>
        </w:rPr>
        <w:t xml:space="preserve">O PNDH, aparentemente, não teve outra versão no nosso ciclo.</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38: </w:t>
      </w:r>
      <w:r w:rsidDel="00000000" w:rsidR="00000000" w:rsidRPr="00000000">
        <w:rPr>
          <w:rFonts w:ascii="Times New Roman" w:cs="Times New Roman" w:eastAsia="Times New Roman" w:hAnsi="Times New Roman"/>
          <w:sz w:val="24"/>
          <w:szCs w:val="24"/>
          <w:rtl w:val="0"/>
        </w:rPr>
        <w:t xml:space="preserve">Dados do IBGE sobre favelas têm última atualização de 2011. É preciso observar se há como atualizá-los.</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40. “Apesar de não haver iniciativas específicas com recorte racial destinadas à população negra, as referidas políticas têm atendido a população negra de forma indireta, pois adotam o critério de renda para definir seu público-alvo”. </w:t>
      </w:r>
      <w:r w:rsidDel="00000000" w:rsidR="00000000" w:rsidRPr="00000000">
        <w:rPr>
          <w:rFonts w:ascii="Times New Roman" w:cs="Times New Roman" w:eastAsia="Times New Roman" w:hAnsi="Times New Roman"/>
          <w:sz w:val="24"/>
          <w:szCs w:val="24"/>
          <w:rtl w:val="0"/>
        </w:rPr>
        <w:t xml:space="preserve">Isso aqui foi cobrado pelas conclusões do CERD. Importante pensar o que foi alterado nesse sentido.</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41. “[...] Entre 2009 e 2016 foram contratadas 4,5 milhões de novas moradias em 96% dos municípios brasileiros. Em 2016, 3,2 milhões de unidades habitacionais já haviam sido entregues a 11 milhões de pessoas, 91% destas atendendo à população com as menores faixas de rendimento estabelecidas pelo próprio programa”. </w:t>
      </w:r>
      <w:r w:rsidDel="00000000" w:rsidR="00000000" w:rsidRPr="00000000">
        <w:rPr>
          <w:rFonts w:ascii="Times New Roman" w:cs="Times New Roman" w:eastAsia="Times New Roman" w:hAnsi="Times New Roman"/>
          <w:sz w:val="24"/>
          <w:szCs w:val="24"/>
          <w:rtl w:val="0"/>
        </w:rPr>
        <w:t xml:space="preserve">Importante atualizar os dados do Minha Casa Minha Vida.</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42. “Integrante do Plano de Aceleração do Crescimento, um plano de desenvolvimento econômico instituído em 2009, estas ações tiveram como público-alvo prioritário a população residente em áreas sujeitas a fatores de risco, insalubridade ou degradação ambiental, o atendimento a famílias com menor renda per capita, maior número de dependentes, aos domicílios chefiados por mulheres, idosos, pessoas com deficiência, comunidades quilombolas, negras e indígenas. Estas características, conquanto não se resumam aos aglomerados subnormais, permitiram que estes territórios fossem especialmente impactados pela política”.</w:t>
      </w:r>
      <w:r w:rsidDel="00000000" w:rsidR="00000000" w:rsidRPr="00000000">
        <w:rPr>
          <w:rFonts w:ascii="Times New Roman" w:cs="Times New Roman" w:eastAsia="Times New Roman" w:hAnsi="Times New Roman"/>
          <w:sz w:val="24"/>
          <w:szCs w:val="24"/>
          <w:rtl w:val="0"/>
        </w:rPr>
        <w:t xml:space="preserve"> Importante também conseguir dados do Novo PAC.</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43: “Entre 2007 e 2014, foram realizadas 1.055 operações de urbanização em assentamentos precários, beneficiando 2.125.865 famílias, de acordo com informações da Secretaria Nacional de Habitação do Ministério das Cidades. Do total de investimentos destinados aos assentamentos precários, 30% foram destinados à produção habitacional, 26% à infraestrutura, 19% ao saneamento e 5% a melhorias habitacionais”. </w:t>
      </w:r>
      <w:r w:rsidDel="00000000" w:rsidR="00000000" w:rsidRPr="00000000">
        <w:rPr>
          <w:rFonts w:ascii="Times New Roman" w:cs="Times New Roman" w:eastAsia="Times New Roman" w:hAnsi="Times New Roman"/>
          <w:sz w:val="24"/>
          <w:szCs w:val="24"/>
          <w:rtl w:val="0"/>
        </w:rPr>
        <w:t xml:space="preserve">Há números novos para isso?</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48. “O Levantamento Nacional de Informações Penitenciárias, realizado em 2016 pelo Ministério da Justiça, aponta que 75% da população carcerária não concluiu o ciclo básico de ensino; o percentual de pessoas presas em atividades educacionais era de 12%, taxa próxima da fração em exercício de atividades laborais (15%); do universo de encarcerados em atividade laboral, 75% ou não recebiam nada ou recebiam menos do que 3/4 de um salário mínimo, violando disposição expressa na Lei de Execuções Penais; 36% dos presídios brasileiros tinham taxa de ocupação superior a 200% e 41% taxa de ocupação entre 101 e 200%. Apenas 7% da população carcerária se encontra em algum estabelecimento prisional sem superlotação”. </w:t>
      </w:r>
    </w:p>
    <w:p w:rsidR="00000000" w:rsidDel="00000000" w:rsidP="00000000" w:rsidRDefault="00000000" w:rsidRPr="00000000" w14:paraId="0000019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4 - Combate à propaganda de superioridade racial e de incitação à discriminação racial </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O Relatório foca em casos judiciais por racismo e injúria racial, bem como menciona iniciativas de combate a crimes cibernéticos de ódio racial. Também existe um tom crítico, reconhecendo que pouquíssimos casos judiciais de racismo tornavam-se inquéritos e processos, e dando conta da pouca produtividade do Executivo e do Judiciário nesse âmbito. Tenta fazer uma cobertura da questão a nível estadual, mas demonstra poucos dados, tendo São Paulo como exemplo e representante. É um espaço do Subsídio que deve demonstrar bastante força de atualização, principalmente levando em conta o avanço da democratização do acesso à Internet e a escalada da polarização política desde 2017, fim do ciclo que compete ao III Relatório. É preciso levantar dados sobre o avanço de grupos neonazistas no país, a ampliação de redes que promovem o discurso de ódio e a expressão desses grupos nas redes sociais. </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52-5: Retoma novamente legislação anterior: Lei nº 7.716/1989 e Lei nº 9.459/1997.</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57: “Os dados nacionais sobre processos judiciais por racismo ou injúria racial, após tramitação no sistema judiciário, apontam um número quase nulo de condenações ou mesmo de responsabilizações relativas dos denunciados. Pesquisa realizada entre 1995 e 2000 revelou que, dos 1050 boletins de ocorrência registrados por vítimas de discriminação racial, 62% tornaram-se inquéritos e 37% resultaram em processos judiciais. O percentual de condenações geradas por estes processos foi de 0,4%”. </w:t>
      </w:r>
      <w:r w:rsidDel="00000000" w:rsidR="00000000" w:rsidRPr="00000000">
        <w:rPr>
          <w:rFonts w:ascii="Times New Roman" w:cs="Times New Roman" w:eastAsia="Times New Roman" w:hAnsi="Times New Roman"/>
          <w:sz w:val="24"/>
          <w:szCs w:val="24"/>
          <w:rtl w:val="0"/>
        </w:rPr>
        <w:t xml:space="preserve">Certamente isso mudou. </w:t>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58. “Pesquisa realizada com dados compreendidos entre 2003 e 2011, levantou informações acerca do tratamento dispensado pelo Tribunal de Justiça do Estado de São Paulo às denúncias de discriminação racial, feitas por meio de boletins de ocorrência e da representação judicial das vítimas por seus advogados. Do total de 807 documentos judiciais com casos de ofensa ou tratamento discriminatório, apenas 119, ou 14,7%, resultaram em inquéritos e processos judiciais”. </w:t>
      </w:r>
      <w:r w:rsidDel="00000000" w:rsidR="00000000" w:rsidRPr="00000000">
        <w:rPr>
          <w:rFonts w:ascii="Times New Roman" w:cs="Times New Roman" w:eastAsia="Times New Roman" w:hAnsi="Times New Roman"/>
          <w:sz w:val="24"/>
          <w:szCs w:val="24"/>
          <w:rtl w:val="0"/>
        </w:rPr>
        <w:t xml:space="preserve">São Paulo aparece como exemplo único. Relatório tem problemas ao detalhar as informações a nível estadual e municipal.</w:t>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65: “65. Em 2006, a parceria firmada entre a ONG SaferNet Brasil, a ONG International Association of Internet Hotlines (INHOPE), o Ministério Público Federal, a Polícia Federal, o Senado Federal e a Secretaria de Direitos Humanos da Presidência da República – em função do cumprimento de convenções internacionais de direitos humanos ratificadas pelo Brasil – deu início ao sistema online de denúncias de crimes e de violações contra os direitos humanos praticados no espaço virtual. Casos cibernéticos de racismo, intolerância religiosa, xenofobia, antissemitismo, entre outros, passaram a ser monitorados, investigados e punidos por meio do trabalho conjunto entre as organizações não-governamentais e as instituições governamentais”. </w:t>
      </w:r>
      <w:r w:rsidDel="00000000" w:rsidR="00000000" w:rsidRPr="00000000">
        <w:rPr>
          <w:rFonts w:ascii="Times New Roman" w:cs="Times New Roman" w:eastAsia="Times New Roman" w:hAnsi="Times New Roman"/>
          <w:sz w:val="24"/>
          <w:szCs w:val="24"/>
          <w:rtl w:val="0"/>
        </w:rPr>
        <w:t xml:space="preserve">Isso deu frutos? Onde teríamos esses dados?</w:t>
      </w:r>
    </w:p>
    <w:p w:rsidR="00000000" w:rsidDel="00000000" w:rsidP="00000000" w:rsidRDefault="00000000" w:rsidRPr="00000000" w14:paraId="0000019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68: “[...] A principal forma de abordagem e solução das denúncias de racismo no espaço virtual tem sido a remoção compulsória das páginas que hospedaram as violações e não as corrigiram espontaneamente, o que ocorre devido às discussões em curso sobre a adequação da atual legislação antirracista brasileira aos crimes e violações cibernéticos. Uma vez que as leis em vigor ainda não estabelecem integralmente o espaço virtual como um meio no qual podem ocorrer os crimes por elas já previstos, as autoridades competentes têm encontrado barreiras para a sua atuação investigativa e punitiva. De todo modo, de 2006 a 2017, somados os números dos quatro canais, o total de denúncias de racismo cibernético no Brasil é de aproximadamente 1,130 milhão. As denúncias abrangeram 187.677 páginas digitais e, em relação a estas, 25,7%, ou 48.305, foram removidas da internet. Estes dados revelam grande frequência de atos e ofensas com teor discriminatório ancorado em elementos raciais no espaço virtual”. </w:t>
      </w:r>
      <w:r w:rsidDel="00000000" w:rsidR="00000000" w:rsidRPr="00000000">
        <w:rPr>
          <w:rFonts w:ascii="Times New Roman" w:cs="Times New Roman" w:eastAsia="Times New Roman" w:hAnsi="Times New Roman"/>
          <w:sz w:val="24"/>
          <w:szCs w:val="24"/>
          <w:rtl w:val="0"/>
        </w:rPr>
        <w:t xml:space="preserve">Fundamental desenvolver essa questão no Subsídio, e fazer referência às devidas Recomendações Gerais que versem sobre discurso de ódio.</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69. “Até 2016, não havia consenso quanto à adequação da atual legislação antirracista brasileira em relação à internet. Além da primeira atualização feita pela lei 12.735/2012, um recente Projeto de Lei do Senado Federal (PLS n. 80/2016) visa justamente a atualizar de novo o texto da lei 7.716, tornando-o compatível com a realidade atual do racismo operado por meio cibernético e dando mais poderes coibitivos e punitivos aos membros do sistema judiciário”. </w:t>
      </w:r>
      <w:r w:rsidDel="00000000" w:rsidR="00000000" w:rsidRPr="00000000">
        <w:rPr>
          <w:rFonts w:ascii="Times New Roman" w:cs="Times New Roman" w:eastAsia="Times New Roman" w:hAnsi="Times New Roman"/>
          <w:sz w:val="24"/>
          <w:szCs w:val="24"/>
          <w:rtl w:val="0"/>
        </w:rPr>
        <w:t xml:space="preserve">Passou? Se não, o que foi feito a respeito? Outros projetos foram oferecidos?</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5 - Dos direitos sociais da população negra</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Trabalho, educação, desigualdade e renda</w:t>
      </w: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Talvez o item mais completo do III Relatório, basicamente traz o recorte racial – e por vezes, interseccionalizado com o de gênero – aos dados inseridos no </w:t>
      </w:r>
      <w:r w:rsidDel="00000000" w:rsidR="00000000" w:rsidRPr="00000000">
        <w:rPr>
          <w:rFonts w:ascii="Times New Roman" w:cs="Times New Roman" w:eastAsia="Times New Roman" w:hAnsi="Times New Roman"/>
          <w:i w:val="1"/>
          <w:iCs w:val="1"/>
          <w:sz w:val="24"/>
          <w:szCs w:val="24"/>
          <w:rtl w:val="0"/>
        </w:rPr>
        <w:t xml:space="preserve">Common core document</w:t>
      </w:r>
      <w:r w:rsidDel="00000000" w:rsidR="00000000" w:rsidRPr="00000000">
        <w:rPr>
          <w:rFonts w:ascii="Times New Roman" w:cs="Times New Roman" w:eastAsia="Times New Roman" w:hAnsi="Times New Roman"/>
          <w:sz w:val="24"/>
          <w:szCs w:val="24"/>
          <w:rtl w:val="0"/>
        </w:rPr>
        <w:t xml:space="preserve">: renda, desemprego, informalidade, anos de estudo, cobertura escolar, acesso ao Nível Superior etc. Destaca como políticas públicas as leis de reservas de vagas em universidades e no setor público, além de programas como o ProUni, entre outros. Já adota um tom um pouco mais favorável aos avanços do Estado brasileiro, embora mantendo reservas. Além da atualização dos índices, destaco que o Subsídio poderia tratar sobre a evolução do financiamento da educação pública e insista na demonstração de dados que cruzem raça ou cor, gênero e classe. </w:t>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77: Aqui se estabelecem os recortes de cor ou raça para dados de desemprego e informalidade apresentados no </w:t>
      </w:r>
      <w:r w:rsidDel="00000000" w:rsidR="00000000" w:rsidRPr="00000000">
        <w:rPr>
          <w:rFonts w:ascii="Times New Roman" w:cs="Times New Roman" w:eastAsia="Times New Roman" w:hAnsi="Times New Roman"/>
          <w:i w:val="1"/>
          <w:iCs w:val="1"/>
          <w:sz w:val="24"/>
          <w:szCs w:val="24"/>
          <w:rtl w:val="0"/>
        </w:rPr>
        <w:t xml:space="preserve">Common core document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78: “78. Os rendimentos do trabalho também tenderam a melhorar entre 2004 e 2015, com 6,76% de queda na desigualdade entre negros e brancos. As diferenças, contudo, permanecem ainda elevadas entre os dois grupos: em 2015, os negros percebiam 58,21% do rendimento médio percebido pela população branca; homens negros recebiam 57,14% do rendimento médio dos homens brancos e mulheres negras 40,94%”. </w:t>
      </w:r>
      <w:r w:rsidDel="00000000" w:rsidR="00000000" w:rsidRPr="00000000">
        <w:rPr>
          <w:rFonts w:ascii="Times New Roman" w:cs="Times New Roman" w:eastAsia="Times New Roman" w:hAnsi="Times New Roman"/>
          <w:sz w:val="24"/>
          <w:szCs w:val="24"/>
          <w:rtl w:val="0"/>
        </w:rPr>
        <w:t xml:space="preserve">Me incomoda a falta de citação direta à referência do dado.</w:t>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79. “A razão de rendimento é desigual, mesmo quando consideradas as diferentes formas de inserção no mundo do trabalho. A razão de rendimento dos negros inseridos em ocupações formais era de 61,4% em relação ao rendimento dos brancos inseridos nos mesmos tipos de ocupação em 2016. Nas ocupações informais as diferenças são ainda maiores e em trajetória ascendente ainda mais intensa: em 2015, os negros inseridos nos setores informais recebiam 62,3% do rendimento médio mensal recebido pela população autodeclarada branca. Em 2016, a razão de rendimento caiu para 54,4%, indicando maior grau de vulnerabilização da população negra aos ciclos da atividade econômica”. </w:t>
      </w:r>
      <w:r w:rsidDel="00000000" w:rsidR="00000000" w:rsidRPr="00000000">
        <w:rPr>
          <w:rFonts w:ascii="Times New Roman" w:cs="Times New Roman" w:eastAsia="Times New Roman" w:hAnsi="Times New Roman"/>
          <w:sz w:val="24"/>
          <w:szCs w:val="24"/>
          <w:rtl w:val="0"/>
        </w:rPr>
        <w:t xml:space="preserve">Importantíssimo atualizar esses dados.</w:t>
      </w:r>
    </w:p>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80-1: Dados da PNAD.</w:t>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82. “Segundo os dados do IBGE de 2014, entre os negros, 48,3% das pessoas com 25 a 65 anos de idade estavam em estrato socioeconômico superior ao dos pais, 34,9% estavam na mesma posição e 16.9% em trajetória descendente. Em relação aos brancos a mobilidade intergeracional era um pouco melhor, com 51,8% em mobilidade ascendente, 31,2% em imobilidade e 17% em trajetória descendente”. </w:t>
      </w:r>
      <w:r w:rsidDel="00000000" w:rsidR="00000000" w:rsidRPr="00000000">
        <w:rPr>
          <w:rFonts w:ascii="Times New Roman" w:cs="Times New Roman" w:eastAsia="Times New Roman" w:hAnsi="Times New Roman"/>
          <w:sz w:val="24"/>
          <w:szCs w:val="24"/>
          <w:rtl w:val="0"/>
        </w:rPr>
        <w:t xml:space="preserve">Dado tão interessante quanto preocupante.</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84-9: Recortes racial e de gênero interseccionalizados para dados apresentados no </w:t>
      </w:r>
      <w:r w:rsidDel="00000000" w:rsidR="00000000" w:rsidRPr="00000000">
        <w:rPr>
          <w:rFonts w:ascii="Times New Roman" w:cs="Times New Roman" w:eastAsia="Times New Roman" w:hAnsi="Times New Roman"/>
          <w:i w:val="1"/>
          <w:iCs w:val="1"/>
          <w:sz w:val="24"/>
          <w:szCs w:val="24"/>
          <w:rtl w:val="0"/>
        </w:rPr>
        <w:t xml:space="preserve">Common core document</w:t>
      </w:r>
      <w:r w:rsidDel="00000000" w:rsidR="00000000" w:rsidRPr="00000000">
        <w:rPr>
          <w:rFonts w:ascii="Times New Roman" w:cs="Times New Roman" w:eastAsia="Times New Roman" w:hAnsi="Times New Roman"/>
          <w:sz w:val="24"/>
          <w:szCs w:val="24"/>
          <w:rtl w:val="0"/>
        </w:rPr>
        <w:t xml:space="preserve"> sobre anos de estudo, cobertura escolar e acesso ao Ensino Superior.</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93: Lei nº 12.711/2012 de cotas raciais.</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94: “[...] A sanção da Lei 12.711, contudo, mudou esta realidade, uniformizando o sistema e estabelecendo metas. A referida lei, ao tornar obrigatória a implantação da política, garantiu que as cotas se ampliassem para 31% da rede federal de ensino superior que até então não havia aderido a qualquer modalidade de reserva de vagas. O número de vagas reservadas para os beneficiários da política saltou de 140.303 para 247.950 no período 2012-2015”. </w:t>
      </w:r>
      <w:r w:rsidDel="00000000" w:rsidR="00000000" w:rsidRPr="00000000">
        <w:rPr>
          <w:rFonts w:ascii="Times New Roman" w:cs="Times New Roman" w:eastAsia="Times New Roman" w:hAnsi="Times New Roman"/>
          <w:sz w:val="24"/>
          <w:szCs w:val="24"/>
          <w:rtl w:val="0"/>
        </w:rPr>
        <w:t xml:space="preserve">Fundamental atualizar esse número.</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98: “Em 2015, a participação relativa de negros já tinha aumentado tanto nas instituições públicas quanto nas instituições privadas. O peso relativo dos negros nas universidades públicas passou para 45,1% e nas privadas para 43,3% em 2015. Trata-se de expressivo avanço a ser registrado diante de cenário tão desafiador”. </w:t>
      </w:r>
      <w:r w:rsidDel="00000000" w:rsidR="00000000" w:rsidRPr="00000000">
        <w:rPr>
          <w:rFonts w:ascii="Times New Roman" w:cs="Times New Roman" w:eastAsia="Times New Roman" w:hAnsi="Times New Roman"/>
          <w:sz w:val="24"/>
          <w:szCs w:val="24"/>
          <w:rtl w:val="0"/>
        </w:rPr>
        <w:t xml:space="preserve">Relatório destaca não só o avanço nos índices, como a dificuldade de inserção de negros em instituições privadas. Importante responder, no novo Relatório, a esses dois desafios.</w:t>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99. “A ampliação das vagas nas instituições públicas e a adoção da política de cotas foram importantes para os estudantes negros. Embora tenham participação menor no total de vagas ofertadas no ensino superior, estas instituições garantem acesso de qualidade, além de serem mais acessíveis aos negros de baixa renda, que já são maioria. Uma expansão ancorada no ensino superior privado tem limites para a população negra, sobretudo se lembrarmos que as desigualdades entre brancos e negros no Brasil são elevadas (73% dos 10% mais pobres no Brasil são negros, segundo dados da PNAD 2015)”. </w:t>
      </w:r>
      <w:r w:rsidDel="00000000" w:rsidR="00000000" w:rsidRPr="00000000">
        <w:rPr>
          <w:rFonts w:ascii="Times New Roman" w:cs="Times New Roman" w:eastAsia="Times New Roman" w:hAnsi="Times New Roman"/>
          <w:sz w:val="24"/>
          <w:szCs w:val="24"/>
          <w:rtl w:val="0"/>
        </w:rPr>
        <w:t xml:space="preserve">A própria expansão da universidade pública é tratada, acertadamente, como uma política de inserção racial na educação. Nesse sentido, seria interessante que o Subsídio indicasse estatísticas sobre o financiamento da educação pública, dimensionando o problema que o contingenciamento traz ao combate à desigualdade racial.</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101. Lei nº 12.990, também denominada de Lei de Cotas no Serviço Público. Emenda Constitucional nº 72/2013 que garantiu os direitos trabalhistas às trabalhadoras domésticas.</w:t>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Saúde da população negra</w:t>
      </w: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Talvez a seção mais crítica e honesta do Relatório. A primeira metade fala sobre dados do Ministério da Saúde, com foco na gestação de mulheres negras e na mortalidade materna. O Relatório é enfático ao observar que o SUS ainda não conta com iniciativas específicas para promover a saúde da população negra, apesar de alguns esforços. A segunda metade se debruça sobre dados de mortes violentas, com base no Anuário Brasileiro de Segurança Pública. Também aqui as informações são flagrantes sobre o crescimento de homicídios à população negra.</w:t>
      </w:r>
    </w:p>
    <w:p w:rsidR="00000000" w:rsidDel="00000000" w:rsidP="00000000" w:rsidRDefault="00000000" w:rsidRPr="00000000" w14:paraId="000001B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“109. A saúde de um grupo social é condicionada e afetada pelo contexto social, político e econômico em que essa se insere. Um meio ambiente marcado por exclusões e processos discriminatórios contribui de forma decisiva para a produção de reprodução de inúmeras vulnerabilidades. Neste aspecto, importa destacar que acesso a renda, moradia, trabalho, dentre outros fatores, exercem forte influência sobre o quadro epidemiológico da população negra”. </w:t>
      </w:r>
      <w:r w:rsidDel="00000000" w:rsidR="00000000" w:rsidRPr="00000000">
        <w:rPr>
          <w:rFonts w:ascii="Times New Roman" w:cs="Times New Roman" w:eastAsia="Times New Roman" w:hAnsi="Times New Roman"/>
          <w:sz w:val="24"/>
          <w:szCs w:val="24"/>
          <w:rtl w:val="0"/>
        </w:rPr>
        <w:t xml:space="preserve">Concepção social de saúde.</w:t>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110. “A pauta de saúde é especialmente importante para o movimento de mulheres negras, protagonista nestas reivindicações. Mulheres negras estão mais suscetíveis à morte materna por conta da tripla discriminação de gênero, raça e classe que sofrem. Por não possuírem rendimentos suficientes para acessar o sistema privado, as mulheres negras dependem essencialmente dos serviços públicos de saúde ou de baixo custo, que ora não possuem quadro médico suficiente, ora não estão dotados de tecnologia adequada para a prestação de um serviço de qualidade”. </w:t>
      </w:r>
      <w:r w:rsidDel="00000000" w:rsidR="00000000" w:rsidRPr="00000000">
        <w:rPr>
          <w:rFonts w:ascii="Times New Roman" w:cs="Times New Roman" w:eastAsia="Times New Roman" w:hAnsi="Times New Roman"/>
          <w:sz w:val="24"/>
          <w:szCs w:val="24"/>
          <w:rtl w:val="0"/>
        </w:rPr>
        <w:t xml:space="preserve">Tripla discriminação. Interseccionalidade.</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112: Taxas de mortalidade materna e relação com a rede pública de assistência pré-natal.</w:t>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114: Política Nacional de Saúde Integral da População Negra (PNSIPN). Buscar dados sobre a evolução.</w:t>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116. “Para combater as discriminações no âmbito do SUS, em 2014 foi lançada a Campanha Nacional “Racismo faz mal à saúde. Denuncie!” A campanha, destinada a profissionais e usuários da rede pública de saúde, foi uma resposta aos relatos de discriminação, confirmada por alguns indicadores que apontam para uma maior vulnerabilidade da população negra. De acordo com o próprio Ministério da Saúde, 60% das mortes maternas ocorridas em 2012 eram de mulheres negras e 34% de mulheres brancas, sendo que 90% desses óbitos eram evitáveis, segundo o próprio Ministério. A redução da taxa de mortalidade materna era o quinto objetivo do milênio estabelecido pela ONU e a ausência de combate às iniquidades raciais no sistema de saúde em nível satisfatório não permitiu que o país alcançasse a meta estabelecida pelo sistema internacional”. </w:t>
      </w:r>
      <w:r w:rsidDel="00000000" w:rsidR="00000000" w:rsidRPr="00000000">
        <w:rPr>
          <w:rFonts w:ascii="Times New Roman" w:cs="Times New Roman" w:eastAsia="Times New Roman" w:hAnsi="Times New Roman"/>
          <w:sz w:val="24"/>
          <w:szCs w:val="24"/>
          <w:rtl w:val="0"/>
        </w:rPr>
        <w:t xml:space="preserve">Reconhecimento direto da falha de alcançar a meta. Falta um pouco dessa objetividade – e até honestidade – no resto do Relatório.</w:t>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117-8: Dados de homicídios e recorte racial, gênero e idade, dado o escandaloso índice de homicídios contra homens jovens negros.</w:t>
      </w:r>
    </w:p>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119. “Como sucessivas pesquisas vêm apontando anualmente, a taxa de homicídios vem aumentando para indivíduos negros e diminuindo para indivíduos não negros. Para a população negra, entre 2006 e 2016, a taxa de vitimização cresceu 23,1% e entre os não negros houve um decréscimo de 6,8%. Em outros termos, em 2016, 71,5% das pessoas assassinadas no Brasil eram negras”. </w:t>
      </w:r>
      <w:r w:rsidDel="00000000" w:rsidR="00000000" w:rsidRPr="00000000">
        <w:rPr>
          <w:rFonts w:ascii="Times New Roman" w:cs="Times New Roman" w:eastAsia="Times New Roman" w:hAnsi="Times New Roman"/>
          <w:sz w:val="24"/>
          <w:szCs w:val="24"/>
          <w:rtl w:val="0"/>
        </w:rPr>
        <w:t xml:space="preserve">O Relatório inclusive demonstra uma taxa </w:t>
      </w:r>
      <w:r w:rsidDel="00000000" w:rsidR="00000000" w:rsidRPr="00000000">
        <w:rPr>
          <w:rFonts w:ascii="Times New Roman" w:cs="Times New Roman" w:eastAsia="Times New Roman" w:hAnsi="Times New Roman"/>
          <w:i w:val="1"/>
          <w:iCs w:val="1"/>
          <w:sz w:val="24"/>
          <w:szCs w:val="24"/>
          <w:rtl w:val="0"/>
        </w:rPr>
        <w:t xml:space="preserve">crescente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122. “No plano da segurança pública, uma das principais iniciativas adotadas nos últimos anos para conter o crescimento da violência foi a aprovação em 2003 do Estatuto do Desarmamento. Entre 1980 e 2016, aproximadamente 910 mil pessoas foram mortas por arma de fogo no Brasil, fator que, embora não explique sozinho a violência, contribui para aumentar a letalidade associada aos conflitos sociais diversos. A disseminação das armas de fogo fez a sua participação relativa atingir 71,1% do total de homicídios cometidos em 2003, índice que se manteve até 2016”.</w:t>
      </w:r>
      <w:r w:rsidDel="00000000" w:rsidR="00000000" w:rsidRPr="00000000">
        <w:rPr>
          <w:rFonts w:ascii="Times New Roman" w:cs="Times New Roman" w:eastAsia="Times New Roman" w:hAnsi="Times New Roman"/>
          <w:sz w:val="24"/>
          <w:szCs w:val="24"/>
          <w:rtl w:val="0"/>
        </w:rPr>
        <w:t xml:space="preserve"> Indispensável o arrolamento, no próximo Relatório, de projetos de lei que tentam aumentar o posse e o porte de arma.</w:t>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123: Plano Juventude Viva. Tentar atualizar informações.</w:t>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Grupos especialmente abrangidos pela Convenção</w:t>
      </w: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Povos e comunidades tradicionais</w:t>
      </w: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127: “Por meio do Decreto nº 6.040/2007, o Estado brasileiro lançou as bases de um novo processo de reconhecimento, editando a Política Nacional de Desenvolvimento Sustentável dos Povos e Comunidades Tradicionais (PNPCT)”.</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Comunidades religiosas de matriz africana</w:t>
      </w: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138. “No Censo demográfico de 2010, 64,6% da população declarou pertencimento à religião católica, 22,2% ligados a alguma religião evangélica e 0,3% declararam pertencimento a algum tipo de religiosidade de matriz afro-brasileira, perfazendo pouco mais de 588.000 pessoas no Brasil”. </w:t>
      </w:r>
      <w:r w:rsidDel="00000000" w:rsidR="00000000" w:rsidRPr="00000000">
        <w:rPr>
          <w:rFonts w:ascii="Times New Roman" w:cs="Times New Roman" w:eastAsia="Times New Roman" w:hAnsi="Times New Roman"/>
          <w:sz w:val="24"/>
          <w:szCs w:val="24"/>
          <w:rtl w:val="0"/>
        </w:rPr>
        <w:t xml:space="preserve">Importante atualizar isso ou com o novo Censo ou com a PNAD Contínua, o que for mais novo.</w:t>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“140. Pesquisa realizada pelo Ministério do Desenvolvimento Social, em 2010, com 4045 lideranças de comunidades tradicionais de terreiro mostra que 72% das lideranças tradicionais de matriz africana se autodeclaram negras e 55,6% são mulheres; 71,6% dessas lideranças recebem até dois salários mínimos, 46% recebem aposentadoria e 35,7% estão inscritas no Programa Bolsa Família”. </w:t>
      </w:r>
      <w:r w:rsidDel="00000000" w:rsidR="00000000" w:rsidRPr="00000000">
        <w:rPr>
          <w:rFonts w:ascii="Times New Roman" w:cs="Times New Roman" w:eastAsia="Times New Roman" w:hAnsi="Times New Roman"/>
          <w:sz w:val="24"/>
          <w:szCs w:val="24"/>
          <w:rtl w:val="0"/>
        </w:rPr>
        <w:t xml:space="preserve">Será que temos pesquisa nova parecida com isso?</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“142. Para responder ao desafio de visibilizar este grupo social, o Estado brasileiro criou o I Plano Nacional de Desenvolvimento Sustentável dos Povos e Comunidades Tradicionais de Matriz Africana (2013-2015). O Plano foi dividido nos eixos Garantia de direitos, Territorialidade e cultura e Inclusão social e desenvolvimento sustentável”. </w:t>
      </w:r>
      <w:r w:rsidDel="00000000" w:rsidR="00000000" w:rsidRPr="00000000">
        <w:rPr>
          <w:rFonts w:ascii="Times New Roman" w:cs="Times New Roman" w:eastAsia="Times New Roman" w:hAnsi="Times New Roman"/>
          <w:sz w:val="24"/>
          <w:szCs w:val="24"/>
          <w:rtl w:val="0"/>
        </w:rPr>
        <w:t xml:space="preserve">Aparentemente esse Plano foi substituído pela </w:t>
      </w:r>
      <w:hyperlink r:id="rId7">
        <w:r w:rsidDel="00000000" w:rsidR="00000000" w:rsidRPr="00000000">
          <w:rPr>
            <w:rFonts w:ascii="Times New Roman" w:cs="Times New Roman" w:eastAsia="Times New Roman" w:hAnsi="Times New Roman"/>
            <w:color w:val="1155cc"/>
            <w:sz w:val="24"/>
            <w:szCs w:val="24"/>
            <w:u w:val="single"/>
            <w:rtl w:val="0"/>
          </w:rPr>
          <w:t xml:space="preserve">Política Nacional para Povos e Comunidades Tradicionais de Terreiro e Matriz Africana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145. “Porém, desde os anos 2000, tem ocorrido crescimento de casos de intolerância religiosa. Entre 2011 e 2017, a Ouvidoria Nacional do MDH e a SEPPIR receberam 2.356 denúncias de intolerância religiosa. A maior parte das vítimas é formada por praticantes das religiões de matriz africana, sobretudo do candomblé e da umbanda – as duas principais religiões afro-brasileiras”. </w:t>
      </w:r>
    </w:p>
    <w:p w:rsidR="00000000" w:rsidDel="00000000" w:rsidP="00000000" w:rsidRDefault="00000000" w:rsidRPr="00000000" w14:paraId="000001D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Das comunidades quilombolas</w:t>
      </w: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Não são muitos os dados sobre comunidades quilombolas. O Relatório busca comprovar que programas de infraestrutura e assistência social, como o Luz para Todos e o Pronacampo, conseguiram avanços também para pessoas remanescentes de quilombos. Entretanto, o Relatório menciona a estrutura legal para política de demarcação, mas não cita índices nesse sentido. Existe aqui uma separação de dados que incomoda, também. Ao mesmo tempo que o Luz para Todos poderia ter sido citado anteriormente, na seção de segregação socioespacial, as políticas de demarcação deviam ser mais bem retratadas, e incorporadas ao quadro geral de medidas sobre a terra e a habitação em combate à desigualdade racial.</w:t>
      </w:r>
    </w:p>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156. “Em atendimento a esta demanda, a SNPPIR e o IBGE vêm realizando esforços para identificar as comunidades quilombolas no Censo Populacional a ser realizado em 2020. A ampliação da visibilidade estatística contribuirá para identificar as demandas, conhecer um pouco mais as características destes territórios e garantir um desenho de políticas adequados às suas especificidades”. </w:t>
      </w:r>
      <w:r w:rsidDel="00000000" w:rsidR="00000000" w:rsidRPr="00000000">
        <w:rPr>
          <w:rFonts w:ascii="Times New Roman" w:cs="Times New Roman" w:eastAsia="Times New Roman" w:hAnsi="Times New Roman"/>
          <w:sz w:val="24"/>
          <w:szCs w:val="24"/>
          <w:rtl w:val="0"/>
        </w:rPr>
        <w:t xml:space="preserve">Demanda foi atendida no Censo 2022?</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158. “A saúde da população quilombola mereceu especial atenção também nos últimos anos, encontrando referências tanto na Política Nacional de Saúde Integral da População Negra como na Política Nacional de Saúde integral dos Povos do Campo e da Floresta, instituída pela Portaria 2886/2011”. </w:t>
      </w:r>
      <w:r w:rsidDel="00000000" w:rsidR="00000000" w:rsidRPr="00000000">
        <w:rPr>
          <w:rFonts w:ascii="Times New Roman" w:cs="Times New Roman" w:eastAsia="Times New Roman" w:hAnsi="Times New Roman"/>
          <w:sz w:val="24"/>
          <w:szCs w:val="24"/>
          <w:rtl w:val="0"/>
        </w:rPr>
        <w:t xml:space="preserve">Atualizar o estado e as medidas desses planos.</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161. “O Programa Luz para Todos (LpT), lançado em 2004, atendeu até 2014 44.264 domicílios quilombolas, beneficiando 131.967 pessoas. Apenas em 2014, o Programa executou cerca de 15 mil novas ligações em domicílios quilombolas. Em março de 2018 o programa foi prorrogado até 2022 para concluir a universalização do acesso ainda pendente nas áreas rurais, especialmente em áreas tradicionalmente ocupadas por quilombolas”. </w:t>
      </w:r>
      <w:r w:rsidDel="00000000" w:rsidR="00000000" w:rsidRPr="00000000">
        <w:rPr>
          <w:rFonts w:ascii="Times New Roman" w:cs="Times New Roman" w:eastAsia="Times New Roman" w:hAnsi="Times New Roman"/>
          <w:sz w:val="24"/>
          <w:szCs w:val="24"/>
          <w:rtl w:val="0"/>
        </w:rPr>
        <w:t xml:space="preserve">O Relatório sofre de alguma falta de padronização: não existe o dado de quantas famílias chefiadas por pessoas negras foram beneficiadas com o programa? Era uma informação relevante, por exemplo, quando se respondeu sobre moradia e segregação socioespacial, mas o dado só vem aqui.</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164. “Também integra o rol de ações em educação escolar quilombola o “Escola da Terra”, ação que integra o Programa Nacional de Educação do Campo (Pronacampo), que objetiva promover a formação continuada de professores que atendam às necessidades específicas de funcionamentos das escolas do campo e daquelas localizadas em comunidades quilombolas, assim como oferecer recursos didáticos e pedagógicos que atendam às especificidades formativas das populações do campo e quilombolas”. </w:t>
      </w:r>
      <w:hyperlink r:id="rId8">
        <w:r w:rsidDel="00000000" w:rsidR="00000000" w:rsidRPr="00000000">
          <w:rPr>
            <w:rFonts w:ascii="Times New Roman" w:cs="Times New Roman" w:eastAsia="Times New Roman" w:hAnsi="Times New Roman"/>
            <w:color w:val="1155cc"/>
            <w:sz w:val="24"/>
            <w:szCs w:val="24"/>
            <w:u w:val="single"/>
            <w:rtl w:val="0"/>
          </w:rPr>
          <w:t xml:space="preserve">O Novo Pronacampo foi relançado e ampliado em 2025</w:t>
        </w:r>
      </w:hyperlink>
      <w:r w:rsidDel="00000000" w:rsidR="00000000" w:rsidRPr="00000000">
        <w:rPr>
          <w:rFonts w:ascii="Times New Roman" w:cs="Times New Roman" w:eastAsia="Times New Roman" w:hAnsi="Times New Roman"/>
          <w:sz w:val="24"/>
          <w:szCs w:val="24"/>
          <w:rtl w:val="0"/>
        </w:rPr>
        <w:t xml:space="preserve">, atualizar isso.</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165. “A despeito dos efetivos avanços institucionais, os dados sobre escolas quilombolas apontam ainda para inúmeros desafios ao Estado brasileiro. Dados do Censo Escolar de 2012 mostram que em 16% das escolas quilombolas existem bibliotecas, 12,6% possuem acesso à internet, 22,6% têm laboratório de informática e 8,5% possuem quadra destinada a práticas esportivas. Embora os dados sejam próximos da realidade das demais escolas do campo, estão bem distantes da realidade dos demais estabelecimentos da educação básica”. </w:t>
      </w:r>
      <w:r w:rsidDel="00000000" w:rsidR="00000000" w:rsidRPr="00000000">
        <w:rPr>
          <w:rFonts w:ascii="Times New Roman" w:cs="Times New Roman" w:eastAsia="Times New Roman" w:hAnsi="Times New Roman"/>
          <w:sz w:val="24"/>
          <w:szCs w:val="24"/>
          <w:rtl w:val="0"/>
        </w:rPr>
        <w:t xml:space="preserve">Não seria interessante, se esses dados forem disponíveis, com base em um novo Censo Escolar tratar desses índices para escolas públicas e privadas comparativamente?</w:t>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Povos ciganos</w:t>
      </w:r>
    </w:p>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A seção começa reconhecendo a falha em dispor de dados demográficos detalhados sobre os povos ciganos. Entretanto, com informações do IBGE e do CadÚnico, monta uma caracterização até surpreendente dessas comunidades. A sensação geral é de que o Estado brasileiro apenas começou a lidar com o acompanhamento dos povos ciganos e com a inclusão desse grupo em políticas públicas. É preciso, no Subsídio, dimensionar o nível de atividade do Estado no ciclo 2018-2025 para continuar esse esforço.</w:t>
      </w: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167. “A subnotificação de informações sobre povos ciganos continua criando dificuldades para análises mais sofisticadas. Os dados disponíveis são insuficientes. Resultam das pesquisas quantitativas do Instituto Brasileiro de Geografia e Estatística relativas aos anos de 2009 a 2014. Neste relatório, também usamos dados recolhidos, em 2015, do Cadastro Único para Programas Sociais do Governo Federal, o CadÚnico”. </w:t>
      </w:r>
      <w:r w:rsidDel="00000000" w:rsidR="00000000" w:rsidRPr="00000000">
        <w:rPr>
          <w:rFonts w:ascii="Times New Roman" w:cs="Times New Roman" w:eastAsia="Times New Roman" w:hAnsi="Times New Roman"/>
          <w:sz w:val="24"/>
          <w:szCs w:val="24"/>
          <w:rtl w:val="0"/>
        </w:rPr>
        <w:t xml:space="preserve">O que foi feito para superar isso?</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“176. Houve mudanças no comportamento dos povos ciganos como um todo no período recente. Os arranjos familiares tornaram-se mais rígidos e controlados. Hoje, diferentemente das décadas de 1980 e 90, as famílias tendem a ser menos extensas, com média de 2 a 4 filhos por família. A quantidade de tendas por acampamento também apresentou tendência de queda, passando para a média de 4 a 8 tendas por acampamento, tornando-se mais compactos”. </w:t>
      </w:r>
      <w:r w:rsidDel="00000000" w:rsidR="00000000" w:rsidRPr="00000000">
        <w:rPr>
          <w:rFonts w:ascii="Times New Roman" w:cs="Times New Roman" w:eastAsia="Times New Roman" w:hAnsi="Times New Roman"/>
          <w:sz w:val="24"/>
          <w:szCs w:val="24"/>
          <w:rtl w:val="0"/>
        </w:rPr>
        <w:t xml:space="preserve">Ver como esse padrão está evoluindo.</w:t>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181. “Os acampamentos existentes apresentam condições pouco adequadas de infraestrutura básica, como água potável, saneamento, energia elétrica e transporte público, além de segurança. Há relatos de violência física e psicológica provocada por processo discriminatório em âmbito local, como tentativa de induzir a sua expulsão”. </w:t>
      </w:r>
      <w:r w:rsidDel="00000000" w:rsidR="00000000" w:rsidRPr="00000000">
        <w:rPr>
          <w:rFonts w:ascii="Times New Roman" w:cs="Times New Roman" w:eastAsia="Times New Roman" w:hAnsi="Times New Roman"/>
          <w:sz w:val="24"/>
          <w:szCs w:val="24"/>
          <w:rtl w:val="0"/>
        </w:rPr>
        <w:t xml:space="preserve">Aqui entra a falta de dados a nível estadual e municipal para compor essa informação. </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189: Oferece uma pequena revisão da legislação brasileira entre 2009 e 2016 incluindo os povos ciganos em diferentes leis, programas e cadastros. </w:t>
      </w:r>
      <w:r w:rsidDel="00000000" w:rsidR="00000000" w:rsidRPr="00000000">
        <w:rPr>
          <w:rFonts w:ascii="Times New Roman" w:cs="Times New Roman" w:eastAsia="Times New Roman" w:hAnsi="Times New Roman"/>
          <w:sz w:val="24"/>
          <w:szCs w:val="24"/>
          <w:rtl w:val="0"/>
        </w:rPr>
        <w:t xml:space="preserve">Ver o que foi ampliado nesse sentido.</w:t>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191. “A regularização fundiária dos acampamentos condiciona os investimentos em infraestrutura, bem como a possibilidade de fruição de direitos básicos associados ao sedentarismo. Atualmente, há 20 demandas de regularização em andamento na esfera judicial. Em regra, as respostas do Estado às demandas dos povos ciganos pouco conseguiram avançar para além da sua incorporação formal à condição de sujeito de direitos”. </w:t>
      </w:r>
      <w:r w:rsidDel="00000000" w:rsidR="00000000" w:rsidRPr="00000000">
        <w:rPr>
          <w:rFonts w:ascii="Times New Roman" w:cs="Times New Roman" w:eastAsia="Times New Roman" w:hAnsi="Times New Roman"/>
          <w:sz w:val="24"/>
          <w:szCs w:val="24"/>
          <w:rtl w:val="0"/>
        </w:rPr>
        <w:t xml:space="preserve">Responder a isso.</w:t>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Imigração e refugiados no Brasil</w:t>
      </w: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183. “[...] Em 2016, 94 mil estrangeiros entraram no país, número 23% menor do que o registrado em 2014. Desde 2013 os haitianos eram os responsáveis por um grande número de entradas de estrangeiros no Brasil, seguido dos bolivianos”.</w:t>
      </w:r>
    </w:p>
    <w:p w:rsidR="00000000" w:rsidDel="00000000" w:rsidP="00000000" w:rsidRDefault="00000000" w:rsidRPr="00000000" w14:paraId="000001F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184. “Porém, a partir de 2016 a crise na Venezuela se agravou, causando um aumento no fluxo migratório de venezuelanos para o Brasil, especialmente pelo estado de Roraima. Em resposta a esta demanda, o Governo Federal instituiu o </w:t>
      </w:r>
      <w:r w:rsidDel="00000000" w:rsidR="00000000" w:rsidRPr="00000000">
        <w:rPr>
          <w:rFonts w:ascii="Times New Roman" w:cs="Times New Roman" w:eastAsia="Times New Roman" w:hAnsi="Times New Roman"/>
          <w:b w:val="1"/>
          <w:bCs w:val="1"/>
          <w:i w:val="1"/>
          <w:iCs w:val="1"/>
          <w:sz w:val="24"/>
          <w:szCs w:val="24"/>
          <w:rtl w:val="0"/>
        </w:rPr>
        <w:t xml:space="preserve">Comitê Federal de Assistência Emergencial para Acolhimento a pessoas em situação de vulnerabilidade decorrente de fluxo migratório</w:t>
      </w:r>
      <w:r w:rsidDel="00000000" w:rsidR="00000000" w:rsidRPr="00000000">
        <w:rPr>
          <w:rFonts w:ascii="Times New Roman" w:cs="Times New Roman" w:eastAsia="Times New Roman" w:hAnsi="Times New Roman"/>
          <w:b w:val="1"/>
          <w:bCs w:val="1"/>
          <w:sz w:val="24"/>
          <w:szCs w:val="24"/>
          <w:rtl w:val="0"/>
        </w:rPr>
        <w:t xml:space="preserve">. O Comitê atua no ordenamento da fronteira, por meio da estruturação do controle, identificação e triagem dos imigrantes”. </w:t>
      </w:r>
      <w:r w:rsidDel="00000000" w:rsidR="00000000" w:rsidRPr="00000000">
        <w:rPr>
          <w:rFonts w:ascii="Times New Roman" w:cs="Times New Roman" w:eastAsia="Times New Roman" w:hAnsi="Times New Roman"/>
          <w:sz w:val="24"/>
          <w:szCs w:val="24"/>
          <w:rtl w:val="0"/>
        </w:rPr>
        <w:t xml:space="preserve">Outra resposta, dentro do nosso ciclo, foi a </w:t>
      </w:r>
      <w:hyperlink r:id="rId9">
        <w:r w:rsidDel="00000000" w:rsidR="00000000" w:rsidRPr="00000000">
          <w:rPr>
            <w:rFonts w:ascii="Times New Roman" w:cs="Times New Roman" w:eastAsia="Times New Roman" w:hAnsi="Times New Roman"/>
            <w:color w:val="1155cc"/>
            <w:sz w:val="24"/>
            <w:szCs w:val="24"/>
            <w:u w:val="single"/>
            <w:rtl w:val="0"/>
          </w:rPr>
          <w:t xml:space="preserve">Operação Acolhida</w:t>
        </w:r>
      </w:hyperlink>
      <w:r w:rsidDel="00000000" w:rsidR="00000000" w:rsidRPr="00000000">
        <w:rPr>
          <w:rFonts w:ascii="Times New Roman" w:cs="Times New Roman" w:eastAsia="Times New Roman" w:hAnsi="Times New Roman"/>
          <w:sz w:val="24"/>
          <w:szCs w:val="24"/>
          <w:rtl w:val="0"/>
        </w:rPr>
        <w:t xml:space="preserve">. Importante tratar dela.</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187-8: Verificar se o Brasil assinou outros tratados ou convenções sobre imigração e refugiados.</w:t>
      </w:r>
    </w:p>
    <w:p w:rsidR="00000000" w:rsidDel="00000000" w:rsidP="00000000" w:rsidRDefault="00000000" w:rsidRPr="00000000" w14:paraId="000001F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190. “Dados fornecidos pelo CONARE permitiram que se construísse um perfil sociodemográfico dos refugiados, contribuindo para aperfeiçoar políticas públicas destinadas a este público. Relatório divulgado pelo Comitê aponta que em 2017 o Brasil reconheceu 587 refugiados, 53% deles oriundos da Síria; e foram apresentadas 33.866 solicitações de reconhecimento, 53% destas de venezuelanos. Além disso, existiam 86.007 pedidos de reconhecimento em trâmite”. </w:t>
      </w:r>
    </w:p>
    <w:p w:rsidR="00000000" w:rsidDel="00000000" w:rsidP="00000000" w:rsidRDefault="00000000" w:rsidRPr="00000000" w14:paraId="000001F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6 - Acesso à justiça</w:t>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Seção pouco estatística, com considerações gerais sobre o estado dos casos de racismo, estereótipos reproduzidos em abordagens e processos, além de números sobre violência policial. Com certeza poderia ser ampliado em termos de busca dos casos nos níveis estadual e municipal.</w:t>
      </w:r>
    </w:p>
    <w:p w:rsidR="00000000" w:rsidDel="00000000" w:rsidP="00000000" w:rsidRDefault="00000000" w:rsidRPr="00000000" w14:paraId="000001F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202. “Desde 2015, o Disque 100 passou a contar com dois novos módulos de denúncia, um referente à violação de direitos da juventude negra, mulher ou população negra em geral e outro para receber denúncias de violação de direitos contra comunidades quilombolas, ciganos e de religiões de matriz africana. Entre 2015 e 2017, o módulo de igualdade racial recebeu 1203 denúncias, cifra que não representa o universo de casos de racismo efetivamente praticados no Brasil”. </w:t>
      </w:r>
      <w:r w:rsidDel="00000000" w:rsidR="00000000" w:rsidRPr="00000000">
        <w:rPr>
          <w:rFonts w:ascii="Times New Roman" w:cs="Times New Roman" w:eastAsia="Times New Roman" w:hAnsi="Times New Roman"/>
          <w:sz w:val="24"/>
          <w:szCs w:val="24"/>
          <w:rtl w:val="0"/>
        </w:rPr>
        <w:t xml:space="preserve">Manteve-se? Foi ampliado? Quais os números atualizados?</w:t>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205. “Alguns órgãos e conselhos estaduais e municipais para a igualdade racial atuam de forma precária, sujeitos a elevada instabilidade institucional. na tentativa de reproduzir o </w:t>
      </w:r>
      <w:r w:rsidDel="00000000" w:rsidR="00000000" w:rsidRPr="00000000">
        <w:rPr>
          <w:rFonts w:ascii="Times New Roman" w:cs="Times New Roman" w:eastAsia="Times New Roman" w:hAnsi="Times New Roman"/>
          <w:b w:val="1"/>
          <w:bCs w:val="1"/>
          <w:i w:val="1"/>
          <w:iCs w:val="1"/>
          <w:sz w:val="24"/>
          <w:szCs w:val="24"/>
          <w:rtl w:val="0"/>
        </w:rPr>
        <w:t xml:space="preserve">modus operandi</w:t>
      </w:r>
      <w:r w:rsidDel="00000000" w:rsidR="00000000" w:rsidRPr="00000000">
        <w:rPr>
          <w:rFonts w:ascii="Times New Roman" w:cs="Times New Roman" w:eastAsia="Times New Roman" w:hAnsi="Times New Roman"/>
          <w:b w:val="1"/>
          <w:bCs w:val="1"/>
          <w:sz w:val="24"/>
          <w:szCs w:val="24"/>
          <w:rtl w:val="0"/>
        </w:rPr>
        <w:t xml:space="preserve"> da SEPPIR, São estruturas relativamente novas e muitas vezes providas com poucos recursos financeiros pelos governos”. </w:t>
      </w:r>
      <w:r w:rsidDel="00000000" w:rsidR="00000000" w:rsidRPr="00000000">
        <w:rPr>
          <w:rFonts w:ascii="Times New Roman" w:cs="Times New Roman" w:eastAsia="Times New Roman" w:hAnsi="Times New Roman"/>
          <w:sz w:val="24"/>
          <w:szCs w:val="24"/>
          <w:rtl w:val="0"/>
        </w:rPr>
        <w:t xml:space="preserve">Apesar desse comentário, pouca informação sobre esses órgãos e conselhos. Pelo menos o número dos que existem, e algum padrão de atuação dos estaduais.</w:t>
      </w:r>
    </w:p>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212. “Um caminho possível para superar essa questão é ampliar a visibilização às respostas judiciais às denúncias de racismo para construir um diagnóstico capaz de fundamentar ações no interior do sistema de justiça, pois parte das respostas jurídicas é ainda resultado da reprodução institucional do mito da democracia racial, construção sociopolítica que nega a existência de racismo no Brasil”. </w:t>
      </w:r>
      <w:r w:rsidDel="00000000" w:rsidR="00000000" w:rsidRPr="00000000">
        <w:rPr>
          <w:rFonts w:ascii="Times New Roman" w:cs="Times New Roman" w:eastAsia="Times New Roman" w:hAnsi="Times New Roman"/>
          <w:sz w:val="24"/>
          <w:szCs w:val="24"/>
          <w:rtl w:val="0"/>
        </w:rPr>
        <w:t xml:space="preserve">Aqui seria um bom caminho para citar a observância da Recomendação Geral sobre </w:t>
      </w:r>
      <w:r w:rsidDel="00000000" w:rsidR="00000000" w:rsidRPr="00000000">
        <w:rPr>
          <w:rFonts w:ascii="Times New Roman" w:cs="Times New Roman" w:eastAsia="Times New Roman" w:hAnsi="Times New Roman"/>
          <w:i w:val="1"/>
          <w:iCs w:val="1"/>
          <w:sz w:val="24"/>
          <w:szCs w:val="24"/>
          <w:rtl w:val="0"/>
        </w:rPr>
        <w:t xml:space="preserve">racial profiling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216. “Casos de violência policial têm sido recorrentes nos últimos anos. De acordo com os dados do Anuário de Segurança Pública de 2018, 5.144 pessoas foram mortas em decorrência de intervenção policial em 2017, número 20% superior em relação a 2016. Este dado é apenas uma medida da violência institucional produzida e reproduzida através da polícia, que tem na juventude negra um alvo preferencial”. </w:t>
      </w:r>
      <w:r w:rsidDel="00000000" w:rsidR="00000000" w:rsidRPr="00000000">
        <w:rPr>
          <w:rFonts w:ascii="Times New Roman" w:cs="Times New Roman" w:eastAsia="Times New Roman" w:hAnsi="Times New Roman"/>
          <w:sz w:val="24"/>
          <w:szCs w:val="24"/>
          <w:rtl w:val="0"/>
        </w:rPr>
        <w:t xml:space="preserve">Dado importantíssimo.</w:t>
      </w:r>
    </w:p>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Artigo 7</w:t>
      </w:r>
    </w:p>
    <w:p w:rsidR="00000000" w:rsidDel="00000000" w:rsidP="00000000" w:rsidRDefault="00000000" w:rsidRPr="00000000" w14:paraId="00000206">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Uma observação é a falta de padrão geral da estrutura do documento. Enquanto o artigo 1º trazia título e uma rememoração das demandas criadas pela CERD para resposta no Relatório, o artigo 7 sequer traz um título. Os critérios para respostas foram abandonados logo cedo, já no artigo 4.</w:t>
      </w:r>
    </w:p>
    <w:p w:rsidR="00000000" w:rsidDel="00000000" w:rsidP="00000000" w:rsidRDefault="00000000" w:rsidRPr="00000000" w14:paraId="00000207">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Educação</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217: Lei nº 10.639/2003.</w:t>
      </w:r>
    </w:p>
    <w:p w:rsidR="00000000" w:rsidDel="00000000" w:rsidP="00000000" w:rsidRDefault="00000000" w:rsidRPr="00000000" w14:paraId="000002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220. “Como desdobramento da Lei nº 10.639/2003 desenvolveram-se algumas iniciativas, merecendo destaque a criação do Programa Diversidade na Universidade. Embora inicialmente este programa tenha se destinado a desenvolver ações para apoiar cursos pré-vestibulares para negros, a partir de 2005 ele passou a ser instrumentalizado para fazer cumprir as disposições estabelecidas pela Lei nº 10.639/2003. Este redirecionamento deu resultado à publicação de 29 títulos da coleção Educação para Todos, seis deles com conteúdo referentes à lei supracitada. Também foram publicados ou apoiados pelo programa 23 títulos referentes à história e à cultura afro-brasileira e africana, com tiragem total superior a 1 milhão de exemplares. Parcerias com canais de televisão contribuíram também para produzir material audiovisual posteriormente distribuído pelo Ministério da Educação e pela Seppir, além de kits pedagógicos destinados a formação de professores. Avaliações posteriores apontaram, porém, para dificuldades na interlocução com as secretarias estaduais, que têm preponderância na implementação da Lei nº 10.639 juntamente com as secretarias municipais, limitando os efeitos da iniciativa”. </w:t>
      </w:r>
      <w:r w:rsidDel="00000000" w:rsidR="00000000" w:rsidRPr="00000000">
        <w:rPr>
          <w:rFonts w:ascii="Times New Roman" w:cs="Times New Roman" w:eastAsia="Times New Roman" w:hAnsi="Times New Roman"/>
          <w:sz w:val="24"/>
          <w:szCs w:val="24"/>
          <w:rtl w:val="0"/>
        </w:rPr>
        <w:t xml:space="preserve">Considerando que ela é uma lei “nova”, que acabou de completar 20 anos, certamente muitas dessas iniciativas que partem dela continuam acontecendo e devem ser mapeadas.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226. “Em 2012 foram publicadas as </w:t>
      </w:r>
      <w:r w:rsidDel="00000000" w:rsidR="00000000" w:rsidRPr="00000000">
        <w:rPr>
          <w:rFonts w:ascii="Times New Roman" w:cs="Times New Roman" w:eastAsia="Times New Roman" w:hAnsi="Times New Roman"/>
          <w:b w:val="1"/>
          <w:bCs w:val="1"/>
          <w:i w:val="1"/>
          <w:iCs w:val="1"/>
          <w:sz w:val="24"/>
          <w:szCs w:val="24"/>
          <w:rtl w:val="0"/>
        </w:rPr>
        <w:t xml:space="preserve">Diretrizes curriculares nacionais para a educação escolar quilombola na educação básica</w:t>
      </w:r>
      <w:r w:rsidDel="00000000" w:rsidR="00000000" w:rsidRPr="00000000">
        <w:rPr>
          <w:rFonts w:ascii="Times New Roman" w:cs="Times New Roman" w:eastAsia="Times New Roman" w:hAnsi="Times New Roman"/>
          <w:b w:val="1"/>
          <w:bCs w:val="1"/>
          <w:sz w:val="24"/>
          <w:szCs w:val="24"/>
          <w:rtl w:val="0"/>
        </w:rPr>
        <w:t xml:space="preserve">. Este documento busca estender a oferta da educação escolar às comunidades quilombolas não de forma idêntica à educação existente nas cidades, mas valorizando a realidade endógena destas comunidades, com suas tradições, valores e crenças”. </w:t>
      </w:r>
      <w:r w:rsidDel="00000000" w:rsidR="00000000" w:rsidRPr="00000000">
        <w:rPr>
          <w:rFonts w:ascii="Times New Roman" w:cs="Times New Roman" w:eastAsia="Times New Roman" w:hAnsi="Times New Roman"/>
          <w:sz w:val="24"/>
          <w:szCs w:val="24"/>
          <w:rtl w:val="0"/>
        </w:rPr>
        <w:t xml:space="preserve">Em uma pesquisa rápida, não encontrei atualização dessas diretrizes. 14 anos depois? Por que não houve revisão? Essas diretrizes foram incorporadas em um documento de escopo mais amplo?</w:t>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Cultura</w:t>
      </w:r>
      <w:r w:rsidDel="00000000" w:rsidR="00000000" w:rsidRPr="00000000">
        <w:rPr>
          <w:rtl w:val="0"/>
        </w:rPr>
      </w:r>
    </w:p>
    <w:p w:rsidR="00000000" w:rsidDel="00000000" w:rsidP="00000000" w:rsidRDefault="00000000" w:rsidRPr="00000000" w14:paraId="000002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229-30: Parte da cultura é restrita a dois parágrafos vagos sobre as medidas, com foco exclusivo na Fundação Cultural Palmares. Isso é bastante inaceitável. Secretarias estaduais de Cultura certamente produziram muito no período – e seguem produzindo no nosso ciclo – sobre promoção e preservação de valores culturais da herança negra no país. Era possível inserir aqui editais de fomento a espetáculos, shows, exposições etc. </w:t>
      </w:r>
    </w:p>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Informação</w:t>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gov.br/mds/pt-br/acoes-e-programas/operacao-acolhida" TargetMode="External"/><Relationship Id="rId5" Type="http://schemas.openxmlformats.org/officeDocument/2006/relationships/styles" Target="styles.xml"/><Relationship Id="rId6" Type="http://schemas.openxmlformats.org/officeDocument/2006/relationships/hyperlink" Target="https://www.gov.br/participamaisbrasil/v-conferencia-nacional-de-promocao-da-igualdade-racial-v-conapir" TargetMode="External"/><Relationship Id="rId7" Type="http://schemas.openxmlformats.org/officeDocument/2006/relationships/hyperlink" Target="https://www.gov.br/igualdaderacial/pt-br/assuntos/politica-nacional-para-povos-e-comunidades-tradicionais-de-terreiro-e-matriz-africana" TargetMode="External"/><Relationship Id="rId8" Type="http://schemas.openxmlformats.org/officeDocument/2006/relationships/hyperlink" Target="https://www.gov.br/mec/pt-br/novo-pronacam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