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left"/>
      </w:pPr>
      <w:r>
        <w:rPr>
          <w:rFonts w:ascii="Calibri" w:cs="Calibri" w:eastAsia="Calibri" w:hAnsi="Calibri"/>
          <w:b/>
          <w:bCs/>
          <w:color w:val="C9A227"/>
          <w:sz w:val="22"/>
          <w:szCs w:val="22"/>
        </w:rPr>
        <w:t xml:space="preserve">INCLUSIVE FINANCE COLLECTIVE</w:t>
      </w:r>
    </w:p>
    <w:p>
      <w:pPr>
        <w:spacing w:after="240"/>
      </w:pPr>
      <w:r>
        <w:rPr>
          <w:rFonts w:ascii="Calibri" w:cs="Calibri" w:eastAsia="Calibri" w:hAnsi="Calibri"/>
          <w:color w:val="555555"/>
          <w:sz w:val="24"/>
          <w:szCs w:val="24"/>
        </w:rPr>
        <w:t xml:space="preserve">Tender-briefing</w:t>
      </w:r>
    </w:p>
    <w:p>
      <w:pPr>
        <w:spacing w:after="120"/>
      </w:pPr>
      <w:r>
        <w:rPr>
          <w:rFonts w:ascii="Calibri" w:cs="Calibri" w:eastAsia="Calibri" w:hAnsi="Calibri"/>
          <w:b/>
          <w:bCs/>
          <w:color w:val="1F3A5F"/>
          <w:sz w:val="56"/>
          <w:szCs w:val="56"/>
        </w:rPr>
        <w:t xml:space="preserve">EIB AA-011951-004</w:t>
      </w:r>
    </w:p>
    <w:p>
      <w:pPr>
        <w:spacing w:after="600"/>
      </w:pPr>
      <w:r>
        <w:rPr>
          <w:rFonts w:ascii="Calibri" w:cs="Calibri" w:eastAsia="Calibri" w:hAnsi="Calibri"/>
          <w:color w:val="1F3A5F"/>
          <w:sz w:val="28"/>
          <w:szCs w:val="28"/>
        </w:rPr>
        <w:t xml:space="preserve">Gender-Smart Financing — Advisory and Capacity Building Programme for Commercial Banks</w:t>
      </w:r>
    </w:p>
    <w:p>
      <w:pPr>
        <w:spacing w:after="80"/>
      </w:pPr>
      <w:r>
        <w:rPr>
          <w:rFonts w:ascii="Calibri" w:cs="Calibri" w:eastAsia="Calibri" w:hAnsi="Calibri"/>
          <w:i/>
          <w:iCs/>
          <w:color w:val="555555"/>
          <w:sz w:val="22"/>
          <w:szCs w:val="22"/>
        </w:rPr>
        <w:t xml:space="preserve">Werkdocument voor het IFC-trio</w:t>
      </w:r>
    </w:p>
    <w:p>
      <w:pPr>
        <w:spacing w:after="600"/>
      </w:pPr>
      <w:r>
        <w:rPr>
          <w:rFonts w:ascii="Calibri" w:cs="Calibri" w:eastAsia="Calibri" w:hAnsi="Calibri"/>
          <w:color w:val="555555"/>
          <w:sz w:val="22"/>
          <w:szCs w:val="22"/>
        </w:rPr>
        <w:t xml:space="preserve">Versie 1.1  ·  5 mei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4040" w:sz="4"/>
              <w:left w:val="single" w:color="C04040" w:sz="24"/>
              <w:bottom w:val="single" w:color="C04040" w:sz="4"/>
              <w:right w:val="single" w:color="C04040" w:sz="4"/>
            </w:tcBorders>
            <w:shd w:fill="F2F2F2" w:val="clear"/>
            <w:tcMar>
              <w:top w:type="dxa" w:w="160"/>
              <w:left w:type="dxa" w:w="220"/>
              <w:bottom w:type="dxa" w:w="160"/>
              <w:right w:type="dxa" w:w="220"/>
            </w:tcMar>
          </w:tcPr>
          <w:p>
            <w:pPr>
              <w:spacing w:after="120" w:line="300"/>
            </w:pPr>
            <w:r>
              <w:rPr>
                <w:rFonts w:ascii="Calibri" w:cs="Calibri" w:eastAsia="Calibri" w:hAnsi="Calibri"/>
                <w:sz w:val="22"/>
                <w:szCs w:val="22"/>
              </w:rPr>
              <w:t xml:space="preserve">Naamattentie: in de EIB Terms of Reference staat "IFC's Global SME Finance Forum" — dat is de International Finance Corporation (World Bank Group), niet wij. In dit document refereert IFC aan Inclusive Finance Collective. Schrijf de volledige naam altijd uit bij externe communicatie.</w:t>
            </w:r>
          </w:p>
        </w:tc>
      </w:tr>
    </w:tbl>
    <w:p>
      <w:r>
        <w:br w:type="page"/>
      </w:r>
    </w:p>
    <w:p>
      <w:pPr>
        <w:pStyle w:val="Heading1"/>
        <w:spacing w:after="200" w:before="360"/>
      </w:pPr>
      <w:r>
        <w:rPr>
          <w:rFonts w:ascii="Calibri" w:cs="Calibri" w:eastAsia="Calibri" w:hAnsi="Calibri"/>
          <w:b/>
          <w:bCs/>
          <w:color w:val="1F3A5F"/>
          <w:sz w:val="32"/>
          <w:szCs w:val="32"/>
        </w:rPr>
        <w:t xml:space="preserve">1. Waar gaat dit over</w:t>
      </w:r>
    </w:p>
    <w:p>
      <w:pPr>
        <w:spacing w:after="120" w:line="300"/>
      </w:pPr>
      <w:r>
        <w:rPr>
          <w:rFonts w:ascii="Calibri" w:cs="Calibri" w:eastAsia="Calibri" w:hAnsi="Calibri"/>
          <w:sz w:val="22"/>
          <w:szCs w:val="22"/>
        </w:rPr>
        <w:t xml:space="preserve">De European Investment Bank heeft op 13 april 2026 een tender uitgezet voor het ontwikkelen en uitvoeren van een tweejarig advisory- en capacity-building-programma voor commerciële banken in de Europese Unie, gericht op het verbeteren van toegang tot financiering voor vrouwelijke ondernemers en women-owned/women-led bedrijven.</w:t>
      </w:r>
    </w:p>
    <w:p>
      <w:pPr>
        <w:spacing w:after="120" w:line="300"/>
      </w:pPr>
      <w:r>
        <w:rPr>
          <w:rFonts w:ascii="Calibri" w:cs="Calibri" w:eastAsia="Calibri" w:hAnsi="Calibri"/>
          <w:sz w:val="22"/>
          <w:szCs w:val="22"/>
        </w:rPr>
        <w:t xml:space="preserve">Dit is feitelijk de opvolger en opschaling van het Gender Finance Lab dat de EIB sinds 2025 met 42 EU-banken draait. De winnende partij neemt het over, breidt het uit naar maximaal 60 banken, en voegt bilaterale advisory, vijf in-person events, een knowledge platform en een community of practice toe.</w:t>
      </w:r>
    </w:p>
    <w:p>
      <w:pPr>
        <w:pStyle w:val="Heading2"/>
        <w:spacing w:after="160" w:before="280"/>
      </w:pPr>
      <w:r>
        <w:rPr>
          <w:rFonts w:ascii="Calibri" w:cs="Calibri" w:eastAsia="Calibri" w:hAnsi="Calibri"/>
          <w:b/>
          <w:bCs/>
          <w:color w:val="1F3A5F"/>
          <w:sz w:val="26"/>
          <w:szCs w:val="26"/>
        </w:rPr>
        <w:t xml:space="preserve">De cijfers in één oogopslag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60" w:line="280"/>
            </w:pPr>
            <w:r>
              <w:rPr>
                <w:rFonts w:ascii="Calibri" w:cs="Calibri" w:eastAsia="Calibri" w:hAnsi="Calibri"/>
                <w:b/>
                <w:bCs/>
                <w:color w:val="FFFFFF"/>
                <w:sz w:val="20"/>
                <w:szCs w:val="20"/>
              </w:rPr>
              <w:t xml:space="preserve">Onderwerp</w:t>
            </w:r>
          </w:p>
        </w:tc>
        <w:tc>
          <w:tcPr>
            <w:tcW w:type="dxa" w:w="624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60" w:line="280"/>
            </w:pPr>
            <w:r>
              <w:rPr>
                <w:rFonts w:ascii="Calibri" w:cs="Calibri" w:eastAsia="Calibri" w:hAnsi="Calibri"/>
                <w:b/>
                <w:bCs/>
                <w:color w:val="FFFFFF"/>
                <w:sz w:val="20"/>
                <w:szCs w:val="20"/>
              </w:rPr>
              <w:t xml:space="preserve">Detail</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Opdrachtgever</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European Investment Bank (EIB) — Advisory Financial Institutions Division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Financiering</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InvestEU Advisory Hub</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Referentie</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AA-011951-004 / OJEU 2026/S 71-247917</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Maximum budget initiële 2 jaar</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€1.000.000 (waarvan €750K fees, €250K reimbursable expenses)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Maximum totaal contract</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€2.000.000 incl. 2 verlengingen van elk 1 jaar</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Looptijd</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24 maanden, verlengbaar 2× 1 jaar</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Contracttype</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Time &amp; material — vaste dagrates per profiel</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Award-criterium</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Best price-quality ratio, weging 80/20 (techniek/prijs)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Inschrijvingsdeadline</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18 mei 2026, 18:59 CET</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Expression of Interest</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13 mei 2026, 23:59 CET — verplicht voor toegang SharePoint</w:t>
            </w:r>
          </w:p>
        </w:tc>
      </w:tr>
    </w:tbl>
    <w:p>
      <w:r>
        <w:br w:type="page"/>
      </w:r>
    </w:p>
    <w:p>
      <w:pPr>
        <w:pStyle w:val="Heading1"/>
        <w:spacing w:after="200" w:before="360"/>
      </w:pPr>
      <w:r>
        <w:rPr>
          <w:rFonts w:ascii="Calibri" w:cs="Calibri" w:eastAsia="Calibri" w:hAnsi="Calibri"/>
          <w:b/>
          <w:bCs/>
          <w:color w:val="1F3A5F"/>
          <w:sz w:val="32"/>
          <w:szCs w:val="32"/>
        </w:rPr>
        <w:t xml:space="preserve">2. De opdracht in essentie</w:t>
      </w:r>
    </w:p>
    <w:p>
      <w:pPr>
        <w:spacing w:after="120" w:line="300"/>
      </w:pPr>
      <w:r>
        <w:rPr>
          <w:rFonts w:ascii="Calibri" w:cs="Calibri" w:eastAsia="Calibri" w:hAnsi="Calibri"/>
          <w:sz w:val="22"/>
          <w:szCs w:val="22"/>
        </w:rPr>
        <w:t xml:space="preserve">De winnende partij is verantwoordelijk voor vier scope-componenten over 24 maanden. Bij start van het contract zijn 42 EU-banken al onboarded; de opdracht is dat aantal te behouden en uit te bouwen naar maximaal 60.</w:t>
      </w:r>
    </w:p>
    <w:p>
      <w:pPr>
        <w:pStyle w:val="Heading2"/>
        <w:spacing w:after="160" w:before="280"/>
      </w:pPr>
      <w:r>
        <w:rPr>
          <w:rFonts w:ascii="Calibri" w:cs="Calibri" w:eastAsia="Calibri" w:hAnsi="Calibri"/>
          <w:b/>
          <w:bCs/>
          <w:color w:val="1F3A5F"/>
          <w:sz w:val="26"/>
          <w:szCs w:val="26"/>
        </w:rPr>
        <w:t xml:space="preserve">Component 1 — Capacity building &amp; curriculum</w:t>
      </w:r>
    </w:p>
    <w:p>
      <w:pPr>
        <w:pStyle w:val="ListParagraph"/>
        <w:numPr>
          <w:ilvl w:val="0"/>
          <w:numId w:val="2"/>
        </w:numPr>
        <w:spacing w:after="80" w:line="300"/>
      </w:pPr>
      <w:r>
        <w:rPr>
          <w:rFonts w:ascii="Calibri" w:cs="Calibri" w:eastAsia="Calibri" w:hAnsi="Calibri"/>
          <w:sz w:val="22"/>
          <w:szCs w:val="22"/>
        </w:rPr>
        <w:t xml:space="preserve">Ontwerpen en leveren van een gestructureerd curriculum voor banken: gender-disaggregated data, 2X Global qualificatie, gender-smart marketing, productontwikkeling, eligibility-criteria onder EIB Financing for Gender Equality.</w:t>
      </w:r>
    </w:p>
    <w:p>
      <w:pPr>
        <w:pStyle w:val="ListParagraph"/>
        <w:numPr>
          <w:ilvl w:val="0"/>
          <w:numId w:val="2"/>
        </w:numPr>
        <w:spacing w:after="80" w:line="300"/>
      </w:pPr>
      <w:r>
        <w:rPr>
          <w:rFonts w:ascii="Calibri" w:cs="Calibri" w:eastAsia="Calibri" w:hAnsi="Calibri"/>
          <w:sz w:val="22"/>
          <w:szCs w:val="22"/>
        </w:rPr>
        <w:t xml:space="preserve">Virtuele master classes, webinars, training workshops, knowledge sharing events.</w:t>
      </w:r>
    </w:p>
    <w:p>
      <w:pPr>
        <w:pStyle w:val="ListParagraph"/>
        <w:numPr>
          <w:ilvl w:val="0"/>
          <w:numId w:val="2"/>
        </w:numPr>
        <w:spacing w:after="80" w:line="300"/>
      </w:pPr>
      <w:r>
        <w:rPr>
          <w:rFonts w:ascii="Calibri" w:cs="Calibri" w:eastAsia="Calibri" w:hAnsi="Calibri"/>
          <w:sz w:val="22"/>
          <w:szCs w:val="22"/>
        </w:rPr>
        <w:t xml:space="preserve">Opzetten en beheren van een online knowledge hub / e-learning platform.</w:t>
      </w:r>
    </w:p>
    <w:p>
      <w:pPr>
        <w:pStyle w:val="ListParagraph"/>
        <w:numPr>
          <w:ilvl w:val="0"/>
          <w:numId w:val="2"/>
        </w:numPr>
        <w:spacing w:after="80" w:line="300"/>
      </w:pPr>
      <w:r>
        <w:rPr>
          <w:rFonts w:ascii="Calibri" w:cs="Calibri" w:eastAsia="Calibri" w:hAnsi="Calibri"/>
          <w:sz w:val="22"/>
          <w:szCs w:val="22"/>
        </w:rPr>
        <w:t xml:space="preserve">Producten van studies, factsheets, case studies.</w:t>
      </w:r>
    </w:p>
    <w:p>
      <w:pPr>
        <w:pStyle w:val="ListParagraph"/>
        <w:numPr>
          <w:ilvl w:val="0"/>
          <w:numId w:val="2"/>
        </w:numPr>
        <w:spacing w:after="80" w:line="300"/>
      </w:pPr>
      <w:r>
        <w:rPr>
          <w:rFonts w:ascii="Calibri" w:cs="Calibri" w:eastAsia="Calibri" w:hAnsi="Calibri"/>
          <w:sz w:val="22"/>
          <w:szCs w:val="22"/>
        </w:rPr>
        <w:t xml:space="preserve">Organisatie en uitvoering van vijf (5) in-person events in Luxemburg of andere EU-locaties — inclusief venue, AV, catering, tolken, hostesses, photographer, speaker reimbursements.</w:t>
      </w:r>
    </w:p>
    <w:p>
      <w:pPr>
        <w:pStyle w:val="Heading2"/>
        <w:spacing w:after="160" w:before="280"/>
      </w:pPr>
      <w:r>
        <w:rPr>
          <w:rFonts w:ascii="Calibri" w:cs="Calibri" w:eastAsia="Calibri" w:hAnsi="Calibri"/>
          <w:b/>
          <w:bCs/>
          <w:color w:val="1F3A5F"/>
          <w:sz w:val="26"/>
          <w:szCs w:val="26"/>
        </w:rPr>
        <w:t xml:space="preserve">Component 2 — Outreach, communicatie en community-building</w:t>
      </w:r>
    </w:p>
    <w:p>
      <w:pPr>
        <w:pStyle w:val="ListParagraph"/>
        <w:numPr>
          <w:ilvl w:val="0"/>
          <w:numId w:val="2"/>
        </w:numPr>
        <w:spacing w:after="80" w:line="300"/>
      </w:pPr>
      <w:r>
        <w:rPr>
          <w:rFonts w:ascii="Calibri" w:cs="Calibri" w:eastAsia="Calibri" w:hAnsi="Calibri"/>
          <w:sz w:val="22"/>
          <w:szCs w:val="22"/>
        </w:rPr>
        <w:t xml:space="preserve">Onderhoud en uitbreiding van de community of practice voor commerciële banken (start 42 banken).</w:t>
      </w:r>
    </w:p>
    <w:p>
      <w:pPr>
        <w:pStyle w:val="ListParagraph"/>
        <w:numPr>
          <w:ilvl w:val="0"/>
          <w:numId w:val="2"/>
        </w:numPr>
        <w:spacing w:after="80" w:line="300"/>
      </w:pPr>
      <w:r>
        <w:rPr>
          <w:rFonts w:ascii="Calibri" w:cs="Calibri" w:eastAsia="Calibri" w:hAnsi="Calibri"/>
          <w:sz w:val="22"/>
          <w:szCs w:val="22"/>
        </w:rPr>
        <w:t xml:space="preserve">Behoeftenanalyses, alumni-engagement, peer learning.</w:t>
      </w:r>
    </w:p>
    <w:p>
      <w:pPr>
        <w:pStyle w:val="ListParagraph"/>
        <w:numPr>
          <w:ilvl w:val="0"/>
          <w:numId w:val="2"/>
        </w:numPr>
        <w:spacing w:after="80" w:line="300"/>
      </w:pPr>
      <w:r>
        <w:rPr>
          <w:rFonts w:ascii="Calibri" w:cs="Calibri" w:eastAsia="Calibri" w:hAnsi="Calibri"/>
          <w:sz w:val="22"/>
          <w:szCs w:val="22"/>
        </w:rPr>
        <w:t xml:space="preserve">Beheer van community via platforms zoals LinkedIn.</w:t>
      </w:r>
    </w:p>
    <w:p>
      <w:pPr>
        <w:pStyle w:val="ListParagraph"/>
        <w:numPr>
          <w:ilvl w:val="0"/>
          <w:numId w:val="2"/>
        </w:numPr>
        <w:spacing w:after="80" w:line="300"/>
      </w:pPr>
      <w:r>
        <w:rPr>
          <w:rFonts w:ascii="Calibri" w:cs="Calibri" w:eastAsia="Calibri" w:hAnsi="Calibri"/>
          <w:sz w:val="22"/>
          <w:szCs w:val="22"/>
        </w:rPr>
        <w:t xml:space="preserve">Communicatie- en outreachplan: internet presence, audiovisuele productie, flyers, social media, storytelling.</w:t>
      </w:r>
    </w:p>
    <w:p>
      <w:pPr>
        <w:pStyle w:val="ListParagraph"/>
        <w:numPr>
          <w:ilvl w:val="0"/>
          <w:numId w:val="2"/>
        </w:numPr>
        <w:spacing w:after="80" w:line="300"/>
      </w:pPr>
      <w:r>
        <w:rPr>
          <w:rFonts w:ascii="Calibri" w:cs="Calibri" w:eastAsia="Calibri" w:hAnsi="Calibri"/>
          <w:sz w:val="22"/>
          <w:szCs w:val="22"/>
        </w:rPr>
        <w:t xml:space="preserve">Strategische samenwerking met 2X Global, Financial Alliance for Women, We-Fi, IFC's Global SME Finance Forum, Bloomberg EU Women in Finance, World Savings and Retail Banking Institute.</w:t>
      </w:r>
    </w:p>
    <w:p>
      <w:pPr>
        <w:pStyle w:val="Heading2"/>
        <w:spacing w:after="160" w:before="280"/>
      </w:pPr>
      <w:r>
        <w:rPr>
          <w:rFonts w:ascii="Calibri" w:cs="Calibri" w:eastAsia="Calibri" w:hAnsi="Calibri"/>
          <w:b/>
          <w:bCs/>
          <w:color w:val="1F3A5F"/>
          <w:sz w:val="26"/>
          <w:szCs w:val="26"/>
        </w:rPr>
        <w:t xml:space="preserve">Component 3 — Bilaterale advisory voor banken</w:t>
      </w:r>
    </w:p>
    <w:p>
      <w:pPr>
        <w:pStyle w:val="ListParagraph"/>
        <w:numPr>
          <w:ilvl w:val="0"/>
          <w:numId w:val="2"/>
        </w:numPr>
        <w:spacing w:after="80" w:line="300"/>
      </w:pPr>
      <w:r>
        <w:rPr>
          <w:rFonts w:ascii="Calibri" w:cs="Calibri" w:eastAsia="Calibri" w:hAnsi="Calibri"/>
          <w:sz w:val="22"/>
          <w:szCs w:val="22"/>
        </w:rPr>
        <w:t xml:space="preserve">Ongeveer acht (8) op-maat advisory-opdrachten bij geselecteerde EU-banken over de looptijd.</w:t>
      </w:r>
    </w:p>
    <w:p>
      <w:pPr>
        <w:pStyle w:val="ListParagraph"/>
        <w:numPr>
          <w:ilvl w:val="0"/>
          <w:numId w:val="2"/>
        </w:numPr>
        <w:spacing w:after="80" w:line="300"/>
      </w:pPr>
      <w:r>
        <w:rPr>
          <w:rFonts w:ascii="Calibri" w:cs="Calibri" w:eastAsia="Calibri" w:hAnsi="Calibri"/>
          <w:sz w:val="22"/>
          <w:szCs w:val="22"/>
        </w:rPr>
        <w:t xml:space="preserve">Onderwerpen: portfolio-analyse op gender, eligibility en reporting onder EIB Financing for Gender Equality, operationele procedures, sectorale pilots (zorg, gezondheid, agri, climate finance).</w:t>
      </w:r>
    </w:p>
    <w:p>
      <w:pPr>
        <w:pStyle w:val="ListParagraph"/>
        <w:numPr>
          <w:ilvl w:val="0"/>
          <w:numId w:val="2"/>
        </w:numPr>
        <w:spacing w:after="80" w:line="300"/>
      </w:pPr>
      <w:r>
        <w:rPr>
          <w:rFonts w:ascii="Calibri" w:cs="Calibri" w:eastAsia="Calibri" w:hAnsi="Calibri"/>
          <w:sz w:val="22"/>
          <w:szCs w:val="22"/>
        </w:rPr>
        <w:t xml:space="preserve">Online of via in-person missies in EU-lidstaten, afhankelijk van de behoefte.</w:t>
      </w:r>
    </w:p>
    <w:p>
      <w:pPr>
        <w:pStyle w:val="ListParagraph"/>
        <w:numPr>
          <w:ilvl w:val="0"/>
          <w:numId w:val="2"/>
        </w:numPr>
        <w:spacing w:after="80" w:line="300"/>
      </w:pPr>
      <w:r>
        <w:rPr>
          <w:rFonts w:ascii="Calibri" w:cs="Calibri" w:eastAsia="Calibri" w:hAnsi="Calibri"/>
          <w:sz w:val="22"/>
          <w:szCs w:val="22"/>
        </w:rPr>
        <w:t xml:space="preserve">Banken worden door de EIB geselecteerd, met input van de Service Provider.</w:t>
      </w:r>
    </w:p>
    <w:p>
      <w:pPr>
        <w:pStyle w:val="Heading2"/>
        <w:spacing w:after="160" w:before="280"/>
      </w:pPr>
      <w:r>
        <w:rPr>
          <w:rFonts w:ascii="Calibri" w:cs="Calibri" w:eastAsia="Calibri" w:hAnsi="Calibri"/>
          <w:b/>
          <w:bCs/>
          <w:color w:val="1F3A5F"/>
          <w:sz w:val="26"/>
          <w:szCs w:val="26"/>
        </w:rPr>
        <w:t xml:space="preserve">Component 4 — Monitoring en rapportage</w:t>
      </w:r>
    </w:p>
    <w:p>
      <w:pPr>
        <w:pStyle w:val="ListParagraph"/>
        <w:numPr>
          <w:ilvl w:val="0"/>
          <w:numId w:val="2"/>
        </w:numPr>
        <w:spacing w:after="80" w:line="300"/>
      </w:pPr>
      <w:r>
        <w:rPr>
          <w:rFonts w:ascii="Calibri" w:cs="Calibri" w:eastAsia="Calibri" w:hAnsi="Calibri"/>
          <w:sz w:val="22"/>
          <w:szCs w:val="22"/>
        </w:rPr>
        <w:t xml:space="preserve">Feedback-mechanismen bij deelnemers, KPI's en succesmetingen.</w:t>
      </w:r>
    </w:p>
    <w:p>
      <w:pPr>
        <w:pStyle w:val="ListParagraph"/>
        <w:numPr>
          <w:ilvl w:val="0"/>
          <w:numId w:val="2"/>
        </w:numPr>
        <w:spacing w:after="80" w:line="300"/>
      </w:pPr>
      <w:r>
        <w:rPr>
          <w:rFonts w:ascii="Calibri" w:cs="Calibri" w:eastAsia="Calibri" w:hAnsi="Calibri"/>
          <w:sz w:val="22"/>
          <w:szCs w:val="22"/>
        </w:rPr>
        <w:t xml:space="preserve">Jaarlijkse review en aanpassing van het programma.</w:t>
      </w:r>
    </w:p>
    <w:p>
      <w:pPr>
        <w:pStyle w:val="ListParagraph"/>
        <w:numPr>
          <w:ilvl w:val="0"/>
          <w:numId w:val="2"/>
        </w:numPr>
        <w:spacing w:after="80" w:line="300"/>
      </w:pPr>
      <w:r>
        <w:rPr>
          <w:rFonts w:ascii="Calibri" w:cs="Calibri" w:eastAsia="Calibri" w:hAnsi="Calibri"/>
          <w:sz w:val="22"/>
          <w:szCs w:val="22"/>
        </w:rPr>
        <w:t xml:space="preserve">Twee Annual Programme Monitoring &amp; Evaluation Reports (na 12 en 22 maanden).</w:t>
      </w:r>
    </w:p>
    <w:p>
      <w:r>
        <w:br w:type="page"/>
      </w:r>
    </w:p>
    <w:p>
      <w:pPr>
        <w:pStyle w:val="Heading1"/>
        <w:spacing w:after="200" w:before="360"/>
      </w:pPr>
      <w:r>
        <w:rPr>
          <w:rFonts w:ascii="Calibri" w:cs="Calibri" w:eastAsia="Calibri" w:hAnsi="Calibri"/>
          <w:b/>
          <w:bCs/>
          <w:color w:val="1F3A5F"/>
          <w:sz w:val="32"/>
          <w:szCs w:val="32"/>
        </w:rPr>
        <w:t xml:space="preserve">3. De Key Expert — het scharnierpunt</w:t>
      </w:r>
    </w:p>
    <w:p>
      <w:pPr>
        <w:spacing w:after="120" w:line="300"/>
      </w:pPr>
      <w:r>
        <w:rPr>
          <w:rFonts w:ascii="Calibri" w:cs="Calibri" w:eastAsia="Calibri" w:hAnsi="Calibri"/>
          <w:sz w:val="22"/>
          <w:szCs w:val="22"/>
        </w:rPr>
        <w:t xml:space="preserve">Er is één Key Expert positie: de Team Leader. Deze persoon krijgt 200 dagen toegewezen over 24 maanden (~40% FTE), wordt persoonlijk geëvalueerd op CV (15 punten) én via interview (15 punten), en bindt de inschrijver via een Statement of Exclusivity and Availability.</w:t>
      </w:r>
    </w:p>
    <w:p>
      <w:pPr>
        <w:pStyle w:val="Heading2"/>
        <w:spacing w:after="160" w:before="280"/>
      </w:pPr>
      <w:r>
        <w:rPr>
          <w:rFonts w:ascii="Calibri" w:cs="Calibri" w:eastAsia="Calibri" w:hAnsi="Calibri"/>
          <w:b/>
          <w:bCs/>
          <w:color w:val="1F3A5F"/>
          <w:sz w:val="26"/>
          <w:szCs w:val="26"/>
        </w:rPr>
        <w:t xml:space="preserve">Verplichte minimumeisen</w:t>
      </w:r>
    </w:p>
    <w:p>
      <w:pPr>
        <w:spacing w:after="120" w:line="300"/>
      </w:pPr>
      <w:r>
        <w:rPr>
          <w:rFonts w:ascii="Calibri" w:cs="Calibri" w:eastAsia="Calibri" w:hAnsi="Calibri"/>
          <w:i/>
          <w:iCs/>
          <w:color w:val="555555"/>
          <w:sz w:val="22"/>
          <w:szCs w:val="22"/>
        </w:rPr>
        <w:t xml:space="preserve">Bij niet voldoen → directe afwijzing van de tender (geen herstel mogelijk).</w:t>
      </w:r>
    </w:p>
    <w:p>
      <w:pPr>
        <w:pStyle w:val="ListParagraph"/>
        <w:numPr>
          <w:ilvl w:val="0"/>
          <w:numId w:val="2"/>
        </w:numPr>
        <w:spacing w:after="80" w:line="300"/>
      </w:pPr>
      <w:r>
        <w:rPr>
          <w:rFonts w:ascii="Calibri" w:cs="Calibri" w:eastAsia="Calibri" w:hAnsi="Calibri"/>
          <w:sz w:val="22"/>
          <w:szCs w:val="22"/>
        </w:rPr>
        <w:t xml:space="preserve">Minimaal Bachelor in Economie, Recht, Banking, Bedrijfskunde of gerelateerde discipline.</w:t>
      </w:r>
    </w:p>
    <w:p>
      <w:pPr>
        <w:pStyle w:val="ListParagraph"/>
        <w:numPr>
          <w:ilvl w:val="0"/>
          <w:numId w:val="2"/>
        </w:numPr>
        <w:spacing w:after="80" w:line="300"/>
      </w:pPr>
      <w:r>
        <w:rPr>
          <w:rFonts w:ascii="Calibri" w:cs="Calibri" w:eastAsia="Calibri" w:hAnsi="Calibri"/>
          <w:sz w:val="22"/>
          <w:szCs w:val="22"/>
        </w:rPr>
        <w:t xml:space="preserve">Minimaal 10 jaar professionele ervaring in of met de financiële sector en/of consultancy/advisory.</w:t>
      </w:r>
    </w:p>
    <w:p>
      <w:pPr>
        <w:pStyle w:val="ListParagraph"/>
        <w:numPr>
          <w:ilvl w:val="0"/>
          <w:numId w:val="2"/>
        </w:numPr>
        <w:spacing w:after="80" w:line="300"/>
      </w:pPr>
      <w:r>
        <w:rPr>
          <w:rFonts w:ascii="Calibri" w:cs="Calibri" w:eastAsia="Calibri" w:hAnsi="Calibri"/>
          <w:sz w:val="22"/>
          <w:szCs w:val="22"/>
        </w:rPr>
        <w:t xml:space="preserve">Minimaal 3 jaar advisory aan financiële instellingen.</w:t>
      </w:r>
    </w:p>
    <w:p>
      <w:pPr>
        <w:pStyle w:val="ListParagraph"/>
        <w:numPr>
          <w:ilvl w:val="0"/>
          <w:numId w:val="2"/>
        </w:numPr>
        <w:spacing w:after="80" w:line="300"/>
      </w:pPr>
      <w:r>
        <w:rPr>
          <w:rFonts w:ascii="Calibri" w:cs="Calibri" w:eastAsia="Calibri" w:hAnsi="Calibri"/>
          <w:sz w:val="22"/>
          <w:szCs w:val="22"/>
        </w:rPr>
        <w:t xml:space="preserve">Team Leader of Project Manager in minimaal 2 opdrachten met multi-stakeholder coordinatie.</w:t>
      </w:r>
    </w:p>
    <w:p>
      <w:pPr>
        <w:pStyle w:val="ListParagraph"/>
        <w:numPr>
          <w:ilvl w:val="0"/>
          <w:numId w:val="2"/>
        </w:numPr>
        <w:spacing w:after="80" w:line="300"/>
      </w:pPr>
      <w:r>
        <w:rPr>
          <w:rFonts w:ascii="Calibri" w:cs="Calibri" w:eastAsia="Calibri" w:hAnsi="Calibri"/>
          <w:sz w:val="22"/>
          <w:szCs w:val="22"/>
        </w:rPr>
        <w:t xml:space="preserve">Aantoonbare ervaring met gender-focused advisory voor financiële instellingen — minimaal één opdracht met gender-analyse van portfolio's, strategieën, business models, of capacity-building gericht op vrouwelijke ondernemers.</w:t>
      </w:r>
    </w:p>
    <w:p>
      <w:pPr>
        <w:pStyle w:val="ListParagraph"/>
        <w:numPr>
          <w:ilvl w:val="0"/>
          <w:numId w:val="2"/>
        </w:numPr>
        <w:spacing w:after="80" w:line="300"/>
      </w:pPr>
      <w:r>
        <w:rPr>
          <w:rFonts w:ascii="Calibri" w:cs="Calibri" w:eastAsia="Calibri" w:hAnsi="Calibri"/>
          <w:sz w:val="22"/>
          <w:szCs w:val="22"/>
        </w:rPr>
        <w:t xml:space="preserve">Engels op CEFR C1 niveau (schriftelijk en mondeling).</w:t>
      </w:r>
    </w:p>
    <w:p>
      <w:pPr>
        <w:pStyle w:val="Heading2"/>
        <w:spacing w:after="160" w:before="280"/>
      </w:pPr>
      <w:r>
        <w:rPr>
          <w:rFonts w:ascii="Calibri" w:cs="Calibri" w:eastAsia="Calibri" w:hAnsi="Calibri"/>
          <w:b/>
          <w:bCs/>
          <w:color w:val="1F3A5F"/>
          <w:sz w:val="26"/>
          <w:szCs w:val="26"/>
        </w:rPr>
        <w:t xml:space="preserve">Pluspunten (asset criteria)</w:t>
      </w:r>
    </w:p>
    <w:p>
      <w:pPr>
        <w:pStyle w:val="ListParagraph"/>
        <w:numPr>
          <w:ilvl w:val="0"/>
          <w:numId w:val="2"/>
        </w:numPr>
        <w:spacing w:after="80" w:line="300"/>
      </w:pPr>
      <w:r>
        <w:rPr>
          <w:rFonts w:ascii="Calibri" w:cs="Calibri" w:eastAsia="Calibri" w:hAnsi="Calibri"/>
          <w:sz w:val="22"/>
          <w:szCs w:val="22"/>
        </w:rPr>
        <w:t xml:space="preserve">Eerdere ervaring werkend bij of adviserend aan een EU commerciële bank — idealiter SME banking, women's market programmes, of product-/segmentontwikkeling.</w:t>
      </w:r>
    </w:p>
    <w:p>
      <w:pPr>
        <w:pStyle w:val="ListParagraph"/>
        <w:numPr>
          <w:ilvl w:val="0"/>
          <w:numId w:val="2"/>
        </w:numPr>
        <w:spacing w:after="80" w:line="300"/>
      </w:pPr>
      <w:r>
        <w:rPr>
          <w:rFonts w:ascii="Calibri" w:cs="Calibri" w:eastAsia="Calibri" w:hAnsi="Calibri"/>
          <w:sz w:val="22"/>
          <w:szCs w:val="22"/>
        </w:rPr>
        <w:t xml:space="preserve">Kennis van andere EU-talen.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4"/>
              <w:left w:val="single" w:color="C9A227" w:sz="24"/>
              <w:bottom w:val="single" w:color="C9A227" w:sz="4"/>
              <w:right w:val="single" w:color="C9A227" w:sz="4"/>
            </w:tcBorders>
            <w:shd w:fill="F2F2F2" w:val="clear"/>
            <w:tcMar>
              <w:top w:type="dxa" w:w="160"/>
              <w:left w:type="dxa" w:w="220"/>
              <w:bottom w:type="dxa" w:w="160"/>
              <w:right w:type="dxa" w:w="220"/>
            </w:tcMar>
          </w:tcPr>
          <w:p>
            <w:pPr>
              <w:spacing w:after="120" w:line="300"/>
            </w:pPr>
            <w:r>
              <w:rPr>
                <w:rFonts w:ascii="Calibri" w:cs="Calibri" w:eastAsia="Calibri" w:hAnsi="Calibri"/>
                <w:sz w:val="22"/>
                <w:szCs w:val="22"/>
              </w:rPr>
              <w:t xml:space="preserve">Voor IFC: Chantal Korteweg's ABN AMRO-track record — inclusief financieren als basis voor de leergang inclusief financieren — vult zowel de minimumeis (gender-focused FI advisory) als het belangrijkste asset-criterium (EU commercial bank, SME, women's market) letterlijk in. Dit is de sterkst denkbare positie op de Europese markt voor deze specifieke rol.</w:t>
            </w:r>
          </w:p>
        </w:tc>
      </w:tr>
    </w:tbl>
    <w:p>
      <w:pPr>
        <w:pStyle w:val="Heading2"/>
        <w:spacing w:after="160" w:before="280"/>
      </w:pPr>
      <w:r>
        <w:rPr>
          <w:rFonts w:ascii="Calibri" w:cs="Calibri" w:eastAsia="Calibri" w:hAnsi="Calibri"/>
          <w:b/>
          <w:bCs/>
          <w:color w:val="1F3A5F"/>
          <w:sz w:val="26"/>
          <w:szCs w:val="26"/>
        </w:rPr>
        <w:t xml:space="preserve">Scoring Key Expert (totaal 30 punten)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rPr>
          <w:tblHeader/>
        </w:trPr>
        <w:tc>
          <w:tcPr>
            <w:tcW w:type="dxa" w:w="648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60" w:line="280"/>
            </w:pPr>
            <w:r>
              <w:rPr>
                <w:rFonts w:ascii="Calibri" w:cs="Calibri" w:eastAsia="Calibri" w:hAnsi="Calibri"/>
                <w:b/>
                <w:bCs/>
                <w:color w:val="FFFFFF"/>
                <w:sz w:val="20"/>
                <w:szCs w:val="20"/>
              </w:rPr>
              <w:t xml:space="preserve">Onderdeel</w:t>
            </w:r>
          </w:p>
        </w:tc>
        <w:tc>
          <w:tcPr>
            <w:tcW w:type="dxa" w:w="288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60" w:line="280"/>
            </w:pPr>
            <w:r>
              <w:rPr>
                <w:rFonts w:ascii="Calibri" w:cs="Calibri" w:eastAsia="Calibri" w:hAnsi="Calibri"/>
                <w:b/>
                <w:bCs/>
                <w:color w:val="FFFFFF"/>
                <w:sz w:val="20"/>
                <w:szCs w:val="20"/>
              </w:rPr>
              <w:t xml:space="preserve">Punten</w:t>
            </w:r>
          </w:p>
        </w:tc>
      </w:tr>
      <w:tr>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Kwalificaties (Bachelor)</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1</w:t>
            </w:r>
          </w:p>
        </w:tc>
      </w:tr>
      <w:tr>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Algemene ervaring (10+ jaar)</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3</w:t>
            </w:r>
          </w:p>
        </w:tc>
      </w:tr>
      <w:tr>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Specifieke ervaring — totaal</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10</w:t>
            </w:r>
          </w:p>
        </w:tc>
      </w:tr>
      <w:tr>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    · 3+ jaar advisory aan FI's</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3</w:t>
            </w:r>
          </w:p>
        </w:tc>
      </w:tr>
      <w:tr>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    · 2+ Team Leader/PM rollen</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2</w:t>
            </w:r>
          </w:p>
        </w:tc>
      </w:tr>
      <w:tr>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    · Gender-focused advisory voor FI's</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3</w:t>
            </w:r>
          </w:p>
        </w:tc>
      </w:tr>
      <w:tr>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    · Asset: EU commercial bank ervaring</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2</w:t>
            </w:r>
          </w:p>
        </w:tc>
      </w:tr>
      <w:tr>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Taalvaardigheid</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1</w:t>
            </w:r>
          </w:p>
        </w:tc>
      </w:tr>
      <w:tr>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Subtotaal CV</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15</w:t>
            </w:r>
          </w:p>
        </w:tc>
      </w:tr>
      <w:tr>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Interview (begrip + casuïstiek + motivatie)</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15</w:t>
            </w:r>
          </w:p>
        </w:tc>
      </w:tr>
      <w:tr>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Totaal</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30</w:t>
            </w:r>
          </w:p>
        </w:tc>
      </w:tr>
    </w:tbl>
    <w:p>
      <w:pPr>
        <w:spacing w:after="120" w:line="300"/>
      </w:pPr>
      <w:r>
        <w:rPr>
          <w:rFonts w:ascii="Calibri" w:cs="Calibri" w:eastAsia="Calibri" w:hAnsi="Calibri"/>
          <w:i/>
          <w:iCs/>
          <w:color w:val="555555"/>
          <w:sz w:val="22"/>
          <w:szCs w:val="22"/>
        </w:rPr>
        <w:t xml:space="preserve">Als de CV-score onder 80% van de maximale score per criterium uitkomt op een asset-onderdeel, dalen de punten — het 80%-niveau is de norm bij voldoen aan de eis, daarboven schaalt het door tot 100% bij significant overtreffen.</w:t>
      </w:r>
    </w:p>
    <w:p>
      <w:r>
        <w:br w:type="page"/>
      </w:r>
    </w:p>
    <w:p>
      <w:pPr>
        <w:pStyle w:val="Heading1"/>
        <w:spacing w:after="200" w:before="360"/>
      </w:pPr>
      <w:r>
        <w:rPr>
          <w:rFonts w:ascii="Calibri" w:cs="Calibri" w:eastAsia="Calibri" w:hAnsi="Calibri"/>
          <w:b/>
          <w:bCs/>
          <w:color w:val="1F3A5F"/>
          <w:sz w:val="32"/>
          <w:szCs w:val="32"/>
        </w:rPr>
        <w:t xml:space="preserve">4. Eisen aan de inschrijvende partij — de knock-outs</w:t>
      </w:r>
    </w:p>
    <w:p>
      <w:pPr>
        <w:spacing w:after="120" w:line="300"/>
      </w:pPr>
      <w:r>
        <w:rPr>
          <w:rFonts w:ascii="Calibri" w:cs="Calibri" w:eastAsia="Calibri" w:hAnsi="Calibri"/>
          <w:sz w:val="22"/>
          <w:szCs w:val="22"/>
        </w:rPr>
        <w:t xml:space="preserve">Deze worden vóór de technische evaluatie gecheckt. Niet voldoen = directe afwijzing zonder rebuttal-mogelijkheid. Bij consortium-inschrijving wordt op consortium-niveau getoetst.</w:t>
      </w:r>
    </w:p>
    <w:p>
      <w:pPr>
        <w:pStyle w:val="Heading2"/>
        <w:spacing w:after="160" w:before="280"/>
      </w:pPr>
      <w:r>
        <w:rPr>
          <w:rFonts w:ascii="Calibri" w:cs="Calibri" w:eastAsia="Calibri" w:hAnsi="Calibri"/>
          <w:b/>
          <w:bCs/>
          <w:color w:val="1F3A5F"/>
          <w:sz w:val="26"/>
          <w:szCs w:val="26"/>
        </w:rPr>
        <w:t xml:space="preserve">Economisch en financieel</w:t>
      </w:r>
    </w:p>
    <w:p>
      <w:pPr>
        <w:pStyle w:val="ListParagraph"/>
        <w:numPr>
          <w:ilvl w:val="0"/>
          <w:numId w:val="2"/>
        </w:numPr>
        <w:spacing w:after="80" w:line="300"/>
      </w:pPr>
      <w:r>
        <w:rPr>
          <w:rFonts w:ascii="Calibri" w:cs="Calibri" w:eastAsia="Calibri" w:hAnsi="Calibri"/>
          <w:sz w:val="22"/>
          <w:szCs w:val="22"/>
        </w:rPr>
        <w:t xml:space="preserve">Jaaromzet ≥ €480.000 in elk van de drie laatste afgesloten boekjaren (2022, 2023, 2024).</w:t>
      </w:r>
    </w:p>
    <w:p>
      <w:pPr>
        <w:pStyle w:val="Heading2"/>
        <w:spacing w:after="160" w:before="280"/>
      </w:pPr>
      <w:r>
        <w:rPr>
          <w:rFonts w:ascii="Calibri" w:cs="Calibri" w:eastAsia="Calibri" w:hAnsi="Calibri"/>
          <w:b/>
          <w:bCs/>
          <w:color w:val="1F3A5F"/>
          <w:sz w:val="26"/>
          <w:szCs w:val="26"/>
        </w:rPr>
        <w:t xml:space="preserve">Professioneel</w:t>
      </w:r>
    </w:p>
    <w:p>
      <w:pPr>
        <w:pStyle w:val="ListParagraph"/>
        <w:numPr>
          <w:ilvl w:val="0"/>
          <w:numId w:val="2"/>
        </w:numPr>
        <w:spacing w:after="80" w:line="300"/>
      </w:pPr>
      <w:r>
        <w:rPr>
          <w:rFonts w:ascii="Calibri" w:cs="Calibri" w:eastAsia="Calibri" w:hAnsi="Calibri"/>
          <w:sz w:val="22"/>
          <w:szCs w:val="22"/>
        </w:rPr>
        <w:t xml:space="preserve">Minimaal 5 permanente medewerkers in gerelateerde velden in elk van de jaren 2023, 2024, 2025.</w:t>
      </w:r>
    </w:p>
    <w:p>
      <w:pPr>
        <w:pStyle w:val="Heading2"/>
        <w:spacing w:after="160" w:before="280"/>
      </w:pPr>
      <w:r>
        <w:rPr>
          <w:rFonts w:ascii="Calibri" w:cs="Calibri" w:eastAsia="Calibri" w:hAnsi="Calibri"/>
          <w:b/>
          <w:bCs/>
          <w:color w:val="1F3A5F"/>
          <w:sz w:val="26"/>
          <w:szCs w:val="26"/>
        </w:rPr>
        <w:t xml:space="preserve">Technisch — referentie-projecten (laatste 3 jaar)</w:t>
      </w:r>
    </w:p>
    <w:p>
      <w:pPr>
        <w:pStyle w:val="ListParagraph"/>
        <w:numPr>
          <w:ilvl w:val="0"/>
          <w:numId w:val="2"/>
        </w:numPr>
        <w:spacing w:after="80" w:line="300"/>
      </w:pPr>
      <w:r>
        <w:rPr>
          <w:rFonts w:ascii="Calibri" w:cs="Calibri" w:eastAsia="Calibri" w:hAnsi="Calibri"/>
          <w:b/>
          <w:bCs/>
          <w:sz w:val="22"/>
          <w:szCs w:val="22"/>
        </w:rPr>
        <w:t xml:space="preserve">2 projecten ≥ €50.000 </w:t>
      </w:r>
      <w:r>
        <w:rPr>
          <w:rFonts w:ascii="Calibri" w:cs="Calibri" w:eastAsia="Calibri" w:hAnsi="Calibri"/>
          <w:sz w:val="22"/>
          <w:szCs w:val="22"/>
        </w:rPr>
        <w:t xml:space="preserve">in advisory of capacity building voor financiële instellingen op het gebied van gender-responsive finance, gericht op betere toegang tot financiering voor vrouwelijke ondernemers.</w:t>
      </w:r>
    </w:p>
    <w:p>
      <w:pPr>
        <w:pStyle w:val="ListParagraph"/>
        <w:numPr>
          <w:ilvl w:val="0"/>
          <w:numId w:val="2"/>
        </w:numPr>
        <w:spacing w:after="80" w:line="300"/>
      </w:pPr>
      <w:r>
        <w:rPr>
          <w:rFonts w:ascii="Calibri" w:cs="Calibri" w:eastAsia="Calibri" w:hAnsi="Calibri"/>
          <w:b/>
          <w:bCs/>
          <w:sz w:val="22"/>
          <w:szCs w:val="22"/>
        </w:rPr>
        <w:t xml:space="preserve">2 projecten ≥ €150.000 </w:t>
      </w:r>
      <w:r>
        <w:rPr>
          <w:rFonts w:ascii="Calibri" w:cs="Calibri" w:eastAsia="Calibri" w:hAnsi="Calibri"/>
          <w:sz w:val="22"/>
          <w:szCs w:val="22"/>
        </w:rPr>
        <w:t xml:space="preserve">met in-person of hybride awareness raising / knowledge sharing events.</w:t>
      </w:r>
    </w:p>
    <w:p>
      <w:pPr>
        <w:pStyle w:val="ListParagraph"/>
        <w:numPr>
          <w:ilvl w:val="0"/>
          <w:numId w:val="2"/>
        </w:numPr>
        <w:spacing w:after="80" w:line="300"/>
      </w:pPr>
      <w:r>
        <w:rPr>
          <w:rFonts w:ascii="Calibri" w:cs="Calibri" w:eastAsia="Calibri" w:hAnsi="Calibri"/>
          <w:sz w:val="22"/>
          <w:szCs w:val="22"/>
        </w:rPr>
        <w:t xml:space="preserve">Per referentie minimaal 50% deelname door de inschrijver of consortium-lid.</w:t>
      </w:r>
    </w:p>
    <w:p>
      <w:pPr>
        <w:pStyle w:val="ListParagraph"/>
        <w:numPr>
          <w:ilvl w:val="0"/>
          <w:numId w:val="2"/>
        </w:numPr>
        <w:spacing w:after="80" w:line="300"/>
      </w:pPr>
      <w:r>
        <w:rPr>
          <w:rFonts w:ascii="Calibri" w:cs="Calibri" w:eastAsia="Calibri" w:hAnsi="Calibri"/>
          <w:sz w:val="22"/>
          <w:szCs w:val="22"/>
        </w:rPr>
        <w:t xml:space="preserve">Maximaal 8 referenties totaal — één referentie kan voor meerdere criteria worden gebruikt.</w:t>
      </w:r>
    </w:p>
    <w:p>
      <w:pPr>
        <w:pStyle w:val="ListParagraph"/>
        <w:numPr>
          <w:ilvl w:val="0"/>
          <w:numId w:val="2"/>
        </w:numPr>
        <w:spacing w:after="80" w:line="300"/>
      </w:pPr>
      <w:r>
        <w:rPr>
          <w:rFonts w:ascii="Calibri" w:cs="Calibri" w:eastAsia="Calibri" w:hAnsi="Calibri"/>
          <w:sz w:val="22"/>
          <w:szCs w:val="22"/>
        </w:rPr>
        <w:t xml:space="preserve">Project moet voltooid zijn binnen referentieperiode (1 jan 2023 tot indieningsdeadline).</w:t>
      </w:r>
    </w:p>
    <w:p>
      <w:pPr>
        <w:pStyle w:val="Heading2"/>
        <w:spacing w:after="160" w:before="280"/>
      </w:pPr>
      <w:r>
        <w:rPr>
          <w:rFonts w:ascii="Calibri" w:cs="Calibri" w:eastAsia="Calibri" w:hAnsi="Calibri"/>
          <w:b/>
          <w:bCs/>
          <w:color w:val="1F3A5F"/>
          <w:sz w:val="26"/>
          <w:szCs w:val="26"/>
        </w:rPr>
        <w:t xml:space="preserve">Bewijslast per referentie</w:t>
      </w:r>
    </w:p>
    <w:p>
      <w:pPr>
        <w:pStyle w:val="ListParagraph"/>
        <w:numPr>
          <w:ilvl w:val="0"/>
          <w:numId w:val="2"/>
        </w:numPr>
        <w:spacing w:after="80" w:line="300"/>
      </w:pPr>
      <w:r>
        <w:rPr>
          <w:rFonts w:ascii="Calibri" w:cs="Calibri" w:eastAsia="Calibri" w:hAnsi="Calibri"/>
          <w:sz w:val="22"/>
          <w:szCs w:val="22"/>
        </w:rPr>
        <w:t xml:space="preserve">Bewijs van waarde (eindfactuur + bankafschrift, of completion certificate).</w:t>
      </w:r>
    </w:p>
    <w:p>
      <w:pPr>
        <w:pStyle w:val="ListParagraph"/>
        <w:numPr>
          <w:ilvl w:val="0"/>
          <w:numId w:val="2"/>
        </w:numPr>
        <w:spacing w:after="80" w:line="300"/>
      </w:pPr>
      <w:r>
        <w:rPr>
          <w:rFonts w:ascii="Calibri" w:cs="Calibri" w:eastAsia="Calibri" w:hAnsi="Calibri"/>
          <w:sz w:val="22"/>
          <w:szCs w:val="22"/>
        </w:rPr>
        <w:t xml:space="preserve">Bewijs van voltooiing.</w:t>
      </w:r>
    </w:p>
    <w:p>
      <w:pPr>
        <w:pStyle w:val="ListParagraph"/>
        <w:numPr>
          <w:ilvl w:val="0"/>
          <w:numId w:val="2"/>
        </w:numPr>
        <w:spacing w:after="80" w:line="300"/>
      </w:pPr>
      <w:r>
        <w:rPr>
          <w:rFonts w:ascii="Calibri" w:cs="Calibri" w:eastAsia="Calibri" w:hAnsi="Calibri"/>
          <w:sz w:val="22"/>
          <w:szCs w:val="22"/>
        </w:rPr>
        <w:t xml:space="preserve">Start- en einddatum.</w:t>
      </w:r>
    </w:p>
    <w:p>
      <w:pPr>
        <w:pStyle w:val="ListParagraph"/>
        <w:numPr>
          <w:ilvl w:val="0"/>
          <w:numId w:val="2"/>
        </w:numPr>
        <w:spacing w:after="80" w:line="300"/>
      </w:pPr>
      <w:r>
        <w:rPr>
          <w:rFonts w:ascii="Calibri" w:cs="Calibri" w:eastAsia="Calibri" w:hAnsi="Calibri"/>
          <w:sz w:val="22"/>
          <w:szCs w:val="22"/>
        </w:rPr>
        <w:t xml:space="preserve">Identiteit van uitvoerende rechtspersoon.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4040" w:sz="4"/>
              <w:left w:val="single" w:color="C04040" w:sz="24"/>
              <w:bottom w:val="single" w:color="C04040" w:sz="4"/>
              <w:right w:val="single" w:color="C04040" w:sz="4"/>
            </w:tcBorders>
            <w:shd w:fill="F2F2F2" w:val="clear"/>
            <w:tcMar>
              <w:top w:type="dxa" w:w="160"/>
              <w:left w:type="dxa" w:w="220"/>
              <w:bottom w:type="dxa" w:w="160"/>
              <w:right w:type="dxa" w:w="220"/>
            </w:tcMar>
          </w:tcPr>
          <w:p>
            <w:pPr>
              <w:spacing w:after="120" w:line="300"/>
            </w:pPr>
            <w:r>
              <w:rPr>
                <w:rFonts w:ascii="Calibri" w:cs="Calibri" w:eastAsia="Calibri" w:hAnsi="Calibri"/>
                <w:sz w:val="22"/>
                <w:szCs w:val="22"/>
              </w:rPr>
              <w:t xml:space="preserve">Voor IFC alleen: niet haalbaar. Het bedrijf bestaat te kort voor de turnover-eis 2022-2024 en heeft geen voltooide referenties op eigen naam. Consortium-inschrijving met een gevestigde partij is structureel noodzakelijk om de knock-outs te passeren.</w:t>
            </w:r>
          </w:p>
        </w:tc>
      </w:tr>
    </w:tbl>
    <w:p>
      <w:r>
        <w:br w:type="page"/>
      </w:r>
    </w:p>
    <w:p>
      <w:pPr>
        <w:pStyle w:val="Heading1"/>
        <w:spacing w:after="200" w:before="360"/>
      </w:pPr>
      <w:r>
        <w:rPr>
          <w:rFonts w:ascii="Calibri" w:cs="Calibri" w:eastAsia="Calibri" w:hAnsi="Calibri"/>
          <w:b/>
          <w:bCs/>
          <w:color w:val="1F3A5F"/>
          <w:sz w:val="32"/>
          <w:szCs w:val="32"/>
        </w:rPr>
        <w:t xml:space="preserve">5. Hoe wordt geëvalueerd</w:t>
      </w:r>
    </w:p>
    <w:p>
      <w:pPr>
        <w:spacing w:after="120" w:line="300"/>
      </w:pPr>
      <w:r>
        <w:rPr>
          <w:rFonts w:ascii="Calibri" w:cs="Calibri" w:eastAsia="Calibri" w:hAnsi="Calibri"/>
          <w:sz w:val="22"/>
          <w:szCs w:val="22"/>
        </w:rPr>
        <w:t xml:space="preserve">Het award-criterium is best price-quality ratio met 80/20 weging. Maar er liggen vóór de financiële beoordeling twee technische drempels die ondoorzichtig hard zijn.</w:t>
      </w:r>
    </w:p>
    <w:p>
      <w:pPr>
        <w:pStyle w:val="Heading2"/>
        <w:spacing w:after="160" w:before="280"/>
      </w:pPr>
      <w:r>
        <w:rPr>
          <w:rFonts w:ascii="Calibri" w:cs="Calibri" w:eastAsia="Calibri" w:hAnsi="Calibri"/>
          <w:b/>
          <w:bCs/>
          <w:color w:val="1F3A5F"/>
          <w:sz w:val="26"/>
          <w:szCs w:val="26"/>
        </w:rPr>
        <w:t xml:space="preserve">Drempels en weging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60" w:line="280"/>
            </w:pPr>
            <w:r>
              <w:rPr>
                <w:rFonts w:ascii="Calibri" w:cs="Calibri" w:eastAsia="Calibri" w:hAnsi="Calibri"/>
                <w:b/>
                <w:bCs/>
                <w:color w:val="FFFFFF"/>
                <w:sz w:val="20"/>
                <w:szCs w:val="20"/>
              </w:rPr>
              <w:t xml:space="preserve">Stap</w:t>
            </w:r>
          </w:p>
        </w:tc>
        <w:tc>
          <w:tcPr>
            <w:tcW w:type="dxa" w:w="468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60" w:line="280"/>
            </w:pPr>
            <w:r>
              <w:rPr>
                <w:rFonts w:ascii="Calibri" w:cs="Calibri" w:eastAsia="Calibri" w:hAnsi="Calibri"/>
                <w:b/>
                <w:bCs/>
                <w:color w:val="FFFFFF"/>
                <w:sz w:val="20"/>
                <w:szCs w:val="20"/>
              </w:rPr>
              <w:t xml:space="preserve">Drempel</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Selectiecriteria (turnover, staf, referenties)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Knock-out — niet voldoen = afwijzing</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Technische CV + O&amp;M score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Minimaal 68 / 85 punten om door te mogen naar interview</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Na interview (CV + O&amp;M + interview)</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Minimaal 80 / 100 punten om financieel meegenomen te worden</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Financiële score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Beste prijs krijgt 100 punten; anderen pro rata</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Eindscore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(Technisch × 0.80) + (Financieel × 0.20)</w:t>
            </w:r>
          </w:p>
        </w:tc>
      </w:tr>
    </w:tbl>
    <w:p>
      <w:pPr>
        <w:pStyle w:val="Heading2"/>
        <w:spacing w:after="160" w:before="280"/>
      </w:pPr>
      <w:r>
        <w:rPr>
          <w:rFonts w:ascii="Calibri" w:cs="Calibri" w:eastAsia="Calibri" w:hAnsi="Calibri"/>
          <w:b/>
          <w:bCs/>
          <w:color w:val="1F3A5F"/>
          <w:sz w:val="26"/>
          <w:szCs w:val="26"/>
        </w:rPr>
        <w:t xml:space="preserve">Verdeling van de 85 technische punten (vóór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rPr>
          <w:tblHeader/>
        </w:trPr>
        <w:tc>
          <w:tcPr>
            <w:tcW w:type="dxa" w:w="648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60" w:line="280"/>
            </w:pPr>
            <w:r>
              <w:rPr>
                <w:rFonts w:ascii="Calibri" w:cs="Calibri" w:eastAsia="Calibri" w:hAnsi="Calibri"/>
                <w:b/>
                <w:bCs/>
                <w:color w:val="FFFFFF"/>
                <w:sz w:val="20"/>
                <w:szCs w:val="20"/>
              </w:rPr>
              <w:t xml:space="preserve">Onderdeel</w:t>
            </w:r>
          </w:p>
        </w:tc>
        <w:tc>
          <w:tcPr>
            <w:tcW w:type="dxa" w:w="288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60" w:line="280"/>
            </w:pPr>
            <w:r>
              <w:rPr>
                <w:rFonts w:ascii="Calibri" w:cs="Calibri" w:eastAsia="Calibri" w:hAnsi="Calibri"/>
                <w:b/>
                <w:bCs/>
                <w:color w:val="FFFFFF"/>
                <w:sz w:val="20"/>
                <w:szCs w:val="20"/>
              </w:rPr>
              <w:t xml:space="preserve">Punten</w:t>
            </w:r>
          </w:p>
        </w:tc>
      </w:tr>
      <w:tr>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Organisation &amp; Methodology — Rationale (begrip ToR + risico's)</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20</w:t>
            </w:r>
          </w:p>
        </w:tc>
      </w:tr>
      <w:tr>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Organisation &amp; Methodology — Strategy</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50</w:t>
            </w:r>
          </w:p>
        </w:tc>
      </w:tr>
      <w:tr>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    · Lijst van activiteiten</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10</w:t>
            </w:r>
          </w:p>
        </w:tc>
      </w:tr>
      <w:tr>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    · Inputs en outputs</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5</w:t>
            </w:r>
          </w:p>
        </w:tc>
      </w:tr>
      <w:tr>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    · Consortium-input en taakverdeling</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10</w:t>
            </w:r>
          </w:p>
        </w:tc>
      </w:tr>
      <w:tr>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    · Backstopping</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10</w:t>
            </w:r>
          </w:p>
        </w:tc>
      </w:tr>
      <w:tr>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    · Timing en milestones</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5</w:t>
            </w:r>
          </w:p>
        </w:tc>
      </w:tr>
      <w:tr>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    · Pool van non-key experts</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5</w:t>
            </w:r>
          </w:p>
        </w:tc>
      </w:tr>
      <w:tr>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    · Mobilisatie-aanpak</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5</w:t>
            </w:r>
          </w:p>
        </w:tc>
      </w:tr>
      <w:tr>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Key Expert CV</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15</w:t>
            </w:r>
          </w:p>
        </w:tc>
      </w:tr>
      <w:tr>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Subtotaal</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85</w:t>
            </w:r>
          </w:p>
        </w:tc>
      </w:tr>
      <w:tr>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Interview Key Expert</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15</w:t>
            </w:r>
          </w:p>
        </w:tc>
      </w:tr>
      <w:tr>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Totaal</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100</w:t>
            </w:r>
          </w:p>
        </w:tc>
      </w:tr>
    </w:tbl>
    <w:p>
      <w:pPr>
        <w:spacing w:after="120" w:line="300"/>
      </w:pPr>
      <w:r>
        <w:rPr>
          <w:rFonts w:ascii="Calibri" w:cs="Calibri" w:eastAsia="Calibri" w:hAnsi="Calibri"/>
          <w:color w:val="555555"/>
          <w:sz w:val="22"/>
          <w:szCs w:val="22"/>
        </w:rPr>
        <w:t xml:space="preserve">Belangrijke observatie: de 10 punten voor consortium-input vervallen alleen als je solo of zonder echte rolverdeling inschrijft. Voor IFC is consortium-inschrijving sowieso vereist; de scoringslever is gratis als de rolverdeling inhoudelijk is.</w:t>
      </w:r>
    </w:p>
    <w:p>
      <w:pPr>
        <w:pStyle w:val="Heading2"/>
        <w:spacing w:after="160" w:before="280"/>
      </w:pPr>
      <w:r>
        <w:rPr>
          <w:rFonts w:ascii="Calibri" w:cs="Calibri" w:eastAsia="Calibri" w:hAnsi="Calibri"/>
          <w:b/>
          <w:bCs/>
          <w:color w:val="1F3A5F"/>
          <w:sz w:val="26"/>
          <w:szCs w:val="26"/>
        </w:rPr>
        <w:t xml:space="preserve">Financieel: hoe het wordt berekend</w:t>
      </w:r>
    </w:p>
    <w:p>
      <w:pPr>
        <w:spacing w:after="120" w:line="300"/>
      </w:pPr>
      <w:r>
        <w:rPr>
          <w:rFonts w:ascii="Calibri" w:cs="Calibri" w:eastAsia="Calibri" w:hAnsi="Calibri"/>
          <w:sz w:val="22"/>
          <w:szCs w:val="22"/>
        </w:rPr>
        <w:t xml:space="preserve">De financiële offerte bestaat uit drie dagrates (Key Expert, Senior Non-Key, Junior Non-Key). Deze worden vermenigvuldigd met de aangeboden dagen in het werkplan, plus het vaste bedrag van €250.000 voor reimbursable expenses. Alles boven €1.000.000 = automatische afwijzing.</w:t>
      </w:r>
    </w:p>
    <w:p>
      <w:pPr>
        <w:spacing w:after="120" w:line="300"/>
      </w:pPr>
      <w:r>
        <w:rPr>
          <w:rFonts w:ascii="Calibri" w:cs="Calibri" w:eastAsia="Calibri" w:hAnsi="Calibri"/>
          <w:sz w:val="22"/>
          <w:szCs w:val="22"/>
        </w:rPr>
        <w:t xml:space="preserve">Implicatie: een bidder kan strategisch méér dagen offreren dan de minima om de technische strategie sterker te maken — maar dat trekt de financiële score omlaag. De afweging is non-triviaal.</w:t>
      </w:r>
    </w:p>
    <w:p>
      <w:r>
        <w:br w:type="page"/>
      </w:r>
    </w:p>
    <w:p>
      <w:pPr>
        <w:pStyle w:val="Heading1"/>
        <w:spacing w:after="200" w:before="360"/>
      </w:pPr>
      <w:r>
        <w:rPr>
          <w:rFonts w:ascii="Calibri" w:cs="Calibri" w:eastAsia="Calibri" w:hAnsi="Calibri"/>
          <w:b/>
          <w:bCs/>
          <w:color w:val="1F3A5F"/>
          <w:sz w:val="32"/>
          <w:szCs w:val="32"/>
        </w:rPr>
        <w:t xml:space="preserve">6. Tijdlijn en procedurele momenten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60" w:line="280"/>
            </w:pPr>
            <w:r>
              <w:rPr>
                <w:rFonts w:ascii="Calibri" w:cs="Calibri" w:eastAsia="Calibri" w:hAnsi="Calibri"/>
                <w:b/>
                <w:bCs/>
                <w:color w:val="FFFFFF"/>
                <w:sz w:val="20"/>
                <w:szCs w:val="20"/>
              </w:rPr>
              <w:t xml:space="preserve">Datum</w:t>
            </w:r>
          </w:p>
        </w:tc>
        <w:tc>
          <w:tcPr>
            <w:tcW w:type="dxa" w:w="648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60" w:line="280"/>
            </w:pPr>
            <w:r>
              <w:rPr>
                <w:rFonts w:ascii="Calibri" w:cs="Calibri" w:eastAsia="Calibri" w:hAnsi="Calibri"/>
                <w:b/>
                <w:bCs/>
                <w:color w:val="FFFFFF"/>
                <w:sz w:val="20"/>
                <w:szCs w:val="20"/>
              </w:rPr>
              <w:t xml:space="preserve">Wat</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13 mei 2026, 23:59 CET</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Expression of Interest sturen naar eib-cpcm-procurement@eib.org — verplicht voor SharePoint-toegang</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18 mei 2026, 18:59 CET</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Indieningsdeadline tender (technische én financiële offerte als gescheiden, password-protected PDF's)</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19 mei 2026, 10:00</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Wachtwoord technische offerte mailen naar EIB</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mei 2026</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Interview Key Expert (MS Teams, ≥5 dagen vooraf aangekondigd)</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juni 2026</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Notificatie award + contractondertekening</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juni 2026</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Start contract</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binnen 24 maanden</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Implementatieperiode + 2 jaarlijkse evaluatierapporten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4"/>
              <w:left w:val="single" w:color="C9A227" w:sz="24"/>
              <w:bottom w:val="single" w:color="C9A227" w:sz="4"/>
              <w:right w:val="single" w:color="C9A227" w:sz="4"/>
            </w:tcBorders>
            <w:shd w:fill="F2F2F2" w:val="clear"/>
            <w:tcMar>
              <w:top w:type="dxa" w:w="160"/>
              <w:left w:type="dxa" w:w="220"/>
              <w:bottom w:type="dxa" w:w="160"/>
              <w:right w:type="dxa" w:w="220"/>
            </w:tcMar>
          </w:tcPr>
          <w:p>
            <w:pPr>
              <w:spacing w:after="120" w:line="300"/>
            </w:pPr>
            <w:r>
              <w:rPr>
                <w:rFonts w:ascii="Calibri" w:cs="Calibri" w:eastAsia="Calibri" w:hAnsi="Calibri"/>
                <w:sz w:val="22"/>
                <w:szCs w:val="22"/>
              </w:rPr>
              <w:t xml:space="preserve">Praktisch: vóór 13 mei moeten consortium-partner, exclusiviteit Key Expert, en concept Organisation &amp; Methodology op tafel liggen. Anders is het feitelijk niet meer mogelijk om mee te doen.</w:t>
            </w:r>
          </w:p>
        </w:tc>
      </w:tr>
    </w:tbl>
    <w:p>
      <w:pPr>
        <w:pStyle w:val="Heading2"/>
        <w:spacing w:after="160" w:before="280"/>
      </w:pPr>
      <w:r>
        <w:rPr>
          <w:rFonts w:ascii="Calibri" w:cs="Calibri" w:eastAsia="Calibri" w:hAnsi="Calibri"/>
          <w:b/>
          <w:bCs/>
          <w:color w:val="1F3A5F"/>
          <w:sz w:val="26"/>
          <w:szCs w:val="26"/>
        </w:rPr>
        <w:t xml:space="preserve">Wat er bij indiening klaar moet zijn</w:t>
      </w:r>
    </w:p>
    <w:p>
      <w:pPr>
        <w:pStyle w:val="ListParagraph"/>
        <w:numPr>
          <w:ilvl w:val="0"/>
          <w:numId w:val="2"/>
        </w:numPr>
        <w:spacing w:after="80" w:line="300"/>
      </w:pPr>
      <w:r>
        <w:rPr>
          <w:rFonts w:ascii="Calibri" w:cs="Calibri" w:eastAsia="Calibri" w:hAnsi="Calibri"/>
          <w:sz w:val="22"/>
          <w:szCs w:val="22"/>
        </w:rPr>
        <w:t xml:space="preserve">Tender Submission Form ondertekend door alle consortium-leden.</w:t>
      </w:r>
    </w:p>
    <w:p>
      <w:pPr>
        <w:pStyle w:val="ListParagraph"/>
        <w:numPr>
          <w:ilvl w:val="0"/>
          <w:numId w:val="2"/>
        </w:numPr>
        <w:spacing w:after="80" w:line="300"/>
      </w:pPr>
      <w:r>
        <w:rPr>
          <w:rFonts w:ascii="Calibri" w:cs="Calibri" w:eastAsia="Calibri" w:hAnsi="Calibri"/>
          <w:sz w:val="22"/>
          <w:szCs w:val="22"/>
        </w:rPr>
        <w:t xml:space="preserve">Declaration of Honour on exclusion and selection criteria — per legal entity.</w:t>
      </w:r>
    </w:p>
    <w:p>
      <w:pPr>
        <w:pStyle w:val="ListParagraph"/>
        <w:numPr>
          <w:ilvl w:val="0"/>
          <w:numId w:val="2"/>
        </w:numPr>
        <w:spacing w:after="80" w:line="300"/>
      </w:pPr>
      <w:r>
        <w:rPr>
          <w:rFonts w:ascii="Calibri" w:cs="Calibri" w:eastAsia="Calibri" w:hAnsi="Calibri"/>
          <w:sz w:val="22"/>
          <w:szCs w:val="22"/>
        </w:rPr>
        <w:t xml:space="preserve">Power of Attorney — per legal entity.</w:t>
      </w:r>
    </w:p>
    <w:p>
      <w:pPr>
        <w:pStyle w:val="ListParagraph"/>
        <w:numPr>
          <w:ilvl w:val="0"/>
          <w:numId w:val="2"/>
        </w:numPr>
        <w:spacing w:after="80" w:line="300"/>
      </w:pPr>
      <w:r>
        <w:rPr>
          <w:rFonts w:ascii="Calibri" w:cs="Calibri" w:eastAsia="Calibri" w:hAnsi="Calibri"/>
          <w:sz w:val="22"/>
          <w:szCs w:val="22"/>
        </w:rPr>
        <w:t xml:space="preserve">Legal entity file en supporting documents.</w:t>
      </w:r>
    </w:p>
    <w:p>
      <w:pPr>
        <w:pStyle w:val="ListParagraph"/>
        <w:numPr>
          <w:ilvl w:val="0"/>
          <w:numId w:val="2"/>
        </w:numPr>
        <w:spacing w:after="80" w:line="300"/>
      </w:pPr>
      <w:r>
        <w:rPr>
          <w:rFonts w:ascii="Calibri" w:cs="Calibri" w:eastAsia="Calibri" w:hAnsi="Calibri"/>
          <w:sz w:val="22"/>
          <w:szCs w:val="22"/>
        </w:rPr>
        <w:t xml:space="preserve">Letter of Undertaking als wordt vertrouwd op capaciteiten van andere entiteiten.</w:t>
      </w:r>
    </w:p>
    <w:p>
      <w:pPr>
        <w:pStyle w:val="ListParagraph"/>
        <w:numPr>
          <w:ilvl w:val="0"/>
          <w:numId w:val="2"/>
        </w:numPr>
        <w:spacing w:after="80" w:line="300"/>
      </w:pPr>
      <w:r>
        <w:rPr>
          <w:rFonts w:ascii="Calibri" w:cs="Calibri" w:eastAsia="Calibri" w:hAnsi="Calibri"/>
          <w:sz w:val="22"/>
          <w:szCs w:val="22"/>
        </w:rPr>
        <w:t xml:space="preserve">Bewijs financiële capaciteit (jaaromzet 2022-2024).</w:t>
      </w:r>
    </w:p>
    <w:p>
      <w:pPr>
        <w:pStyle w:val="ListParagraph"/>
        <w:numPr>
          <w:ilvl w:val="0"/>
          <w:numId w:val="2"/>
        </w:numPr>
        <w:spacing w:after="80" w:line="300"/>
      </w:pPr>
      <w:r>
        <w:rPr>
          <w:rFonts w:ascii="Calibri" w:cs="Calibri" w:eastAsia="Calibri" w:hAnsi="Calibri"/>
          <w:sz w:val="22"/>
          <w:szCs w:val="22"/>
        </w:rPr>
        <w:t xml:space="preserve">Per referentie: één PDF met factuurbewijs, bankafschriften, of completion certificate.</w:t>
      </w:r>
    </w:p>
    <w:p>
      <w:pPr>
        <w:pStyle w:val="ListParagraph"/>
        <w:numPr>
          <w:ilvl w:val="0"/>
          <w:numId w:val="2"/>
        </w:numPr>
        <w:spacing w:after="80" w:line="300"/>
      </w:pPr>
      <w:r>
        <w:rPr>
          <w:rFonts w:ascii="Calibri" w:cs="Calibri" w:eastAsia="Calibri" w:hAnsi="Calibri"/>
          <w:sz w:val="22"/>
          <w:szCs w:val="22"/>
        </w:rPr>
        <w:t xml:space="preserve">Organisation &amp; Methodology document.</w:t>
      </w:r>
    </w:p>
    <w:p>
      <w:pPr>
        <w:pStyle w:val="ListParagraph"/>
        <w:numPr>
          <w:ilvl w:val="0"/>
          <w:numId w:val="2"/>
        </w:numPr>
        <w:spacing w:after="80" w:line="300"/>
      </w:pPr>
      <w:r>
        <w:rPr>
          <w:rFonts w:ascii="Calibri" w:cs="Calibri" w:eastAsia="Calibri" w:hAnsi="Calibri"/>
          <w:sz w:val="22"/>
          <w:szCs w:val="22"/>
        </w:rPr>
        <w:t xml:space="preserve">CV Key Expert + diploma's + werkgeverscertificaten + Statement of Exclusivity and Availability.</w:t>
      </w:r>
    </w:p>
    <w:p>
      <w:pPr>
        <w:pStyle w:val="ListParagraph"/>
        <w:numPr>
          <w:ilvl w:val="0"/>
          <w:numId w:val="2"/>
        </w:numPr>
        <w:spacing w:after="80" w:line="300"/>
      </w:pPr>
      <w:r>
        <w:rPr>
          <w:rFonts w:ascii="Calibri" w:cs="Calibri" w:eastAsia="Calibri" w:hAnsi="Calibri"/>
          <w:sz w:val="22"/>
          <w:szCs w:val="22"/>
        </w:rPr>
        <w:t xml:space="preserve">Financial offer template met drie dagrates.</w:t>
      </w:r>
    </w:p>
    <w:p>
      <w:r>
        <w:br w:type="page"/>
      </w:r>
    </w:p>
    <w:p>
      <w:pPr>
        <w:pStyle w:val="Heading1"/>
        <w:spacing w:after="200" w:before="360"/>
      </w:pPr>
      <w:r>
        <w:rPr>
          <w:rFonts w:ascii="Calibri" w:cs="Calibri" w:eastAsia="Calibri" w:hAnsi="Calibri"/>
          <w:b/>
          <w:bCs/>
          <w:color w:val="1F3A5F"/>
          <w:sz w:val="32"/>
          <w:szCs w:val="32"/>
        </w:rPr>
        <w:t xml:space="preserve">7. Onze positie als IFC</w:t>
      </w:r>
    </w:p>
    <w:p>
      <w:pPr>
        <w:spacing w:after="120" w:line="300"/>
      </w:pPr>
      <w:r>
        <w:rPr>
          <w:rFonts w:ascii="Calibri" w:cs="Calibri" w:eastAsia="Calibri" w:hAnsi="Calibri"/>
          <w:sz w:val="22"/>
          <w:szCs w:val="22"/>
        </w:rPr>
        <w:t xml:space="preserve">Inclusive Finance Collective is in oprichting. We hebben een World Bank-mandaat van 4 jaar over 60 landen, drie founders met complementaire expertise, en een eigen methodologie — Gender Capital Lab™ — gebaseerd op vier stappen die nauw aansluiten bij de EIB-scope.</w:t>
      </w:r>
    </w:p>
    <w:p>
      <w:pPr>
        <w:pStyle w:val="Heading2"/>
        <w:spacing w:after="160" w:before="280"/>
      </w:pPr>
      <w:r>
        <w:rPr>
          <w:rFonts w:ascii="Calibri" w:cs="Calibri" w:eastAsia="Calibri" w:hAnsi="Calibri"/>
          <w:b/>
          <w:bCs/>
          <w:color w:val="1F3A5F"/>
          <w:sz w:val="26"/>
          <w:szCs w:val="26"/>
        </w:rPr>
        <w:t xml:space="preserve">Wat we wel kunnen leveren</w:t>
      </w:r>
    </w:p>
    <w:p>
      <w:pPr>
        <w:pStyle w:val="ListParagraph"/>
        <w:numPr>
          <w:ilvl w:val="0"/>
          <w:numId w:val="2"/>
        </w:numPr>
        <w:spacing w:after="80" w:line="300"/>
      </w:pPr>
      <w:r>
        <w:rPr>
          <w:rFonts w:ascii="Calibri" w:cs="Calibri" w:eastAsia="Calibri" w:hAnsi="Calibri"/>
          <w:b/>
          <w:bCs/>
          <w:sz w:val="22"/>
          <w:szCs w:val="22"/>
        </w:rPr>
        <w:t xml:space="preserve">Key Expert: </w:t>
      </w:r>
      <w:r>
        <w:rPr>
          <w:rFonts w:ascii="Calibri" w:cs="Calibri" w:eastAsia="Calibri" w:hAnsi="Calibri"/>
          <w:sz w:val="22"/>
          <w:szCs w:val="22"/>
        </w:rPr>
        <w:t xml:space="preserve">Chantal Korteweg vult zowel de minimumeisen als het belangrijkste asset-criterium letterlijk in.</w:t>
      </w:r>
    </w:p>
    <w:p>
      <w:pPr>
        <w:pStyle w:val="ListParagraph"/>
        <w:numPr>
          <w:ilvl w:val="0"/>
          <w:numId w:val="2"/>
        </w:numPr>
        <w:spacing w:after="80" w:line="300"/>
      </w:pPr>
      <w:r>
        <w:rPr>
          <w:rFonts w:ascii="Calibri" w:cs="Calibri" w:eastAsia="Calibri" w:hAnsi="Calibri"/>
          <w:b/>
          <w:bCs/>
          <w:sz w:val="22"/>
          <w:szCs w:val="22"/>
        </w:rPr>
        <w:t xml:space="preserve">Methodologische backbone: </w:t>
      </w:r>
      <w:r>
        <w:rPr>
          <w:rFonts w:ascii="Calibri" w:cs="Calibri" w:eastAsia="Calibri" w:hAnsi="Calibri"/>
          <w:sz w:val="22"/>
          <w:szCs w:val="22"/>
        </w:rPr>
        <w:t xml:space="preserve">Gender Capital Lab™ als vier-staps framework dat parallel loopt aan de vier EIB-componenten.</w:t>
      </w:r>
    </w:p>
    <w:p>
      <w:pPr>
        <w:pStyle w:val="ListParagraph"/>
        <w:numPr>
          <w:ilvl w:val="0"/>
          <w:numId w:val="2"/>
        </w:numPr>
        <w:spacing w:after="80" w:line="300"/>
      </w:pPr>
      <w:r>
        <w:rPr>
          <w:rFonts w:ascii="Calibri" w:cs="Calibri" w:eastAsia="Calibri" w:hAnsi="Calibri"/>
          <w:b/>
          <w:bCs/>
          <w:sz w:val="22"/>
          <w:szCs w:val="22"/>
        </w:rPr>
        <w:t xml:space="preserve">Senior Non-Key Expertise op drie van de tien gevraagde gebieden: </w:t>
      </w:r>
      <w:r>
        <w:rPr>
          <w:rFonts w:ascii="Calibri" w:cs="Calibri" w:eastAsia="Calibri" w:hAnsi="Calibri"/>
          <w:sz w:val="22"/>
          <w:szCs w:val="22"/>
        </w:rPr>
        <w:t xml:space="preserve">adult learning (Britt), digital learning platforms (Britt), gender-centric marketing voor FI's (Chief Commercial).</w:t>
      </w:r>
    </w:p>
    <w:p>
      <w:pPr>
        <w:pStyle w:val="ListParagraph"/>
        <w:numPr>
          <w:ilvl w:val="0"/>
          <w:numId w:val="2"/>
        </w:numPr>
        <w:spacing w:after="80" w:line="300"/>
      </w:pPr>
      <w:r>
        <w:rPr>
          <w:rFonts w:ascii="Calibri" w:cs="Calibri" w:eastAsia="Calibri" w:hAnsi="Calibri"/>
          <w:b/>
          <w:bCs/>
          <w:sz w:val="22"/>
          <w:szCs w:val="22"/>
        </w:rPr>
        <w:t xml:space="preserve">Ecosysteem-toegang: </w:t>
      </w:r>
      <w:r>
        <w:rPr>
          <w:rFonts w:ascii="Calibri" w:cs="Calibri" w:eastAsia="Calibri" w:hAnsi="Calibri"/>
          <w:sz w:val="22"/>
          <w:szCs w:val="22"/>
        </w:rPr>
        <w:t xml:space="preserve">Code-V, World Bank, ministerieel/koninklijk netwerk, directe lijnen naar Financial Alliance for Women en 2X Global.</w:t>
      </w:r>
    </w:p>
    <w:p>
      <w:pPr>
        <w:pStyle w:val="Heading2"/>
        <w:spacing w:after="160" w:before="280"/>
      </w:pPr>
      <w:r>
        <w:rPr>
          <w:rFonts w:ascii="Calibri" w:cs="Calibri" w:eastAsia="Calibri" w:hAnsi="Calibri"/>
          <w:b/>
          <w:bCs/>
          <w:color w:val="1F3A5F"/>
          <w:sz w:val="26"/>
          <w:szCs w:val="26"/>
        </w:rPr>
        <w:t xml:space="preserve">Wat we niet zelf kunnen leveren</w:t>
      </w:r>
    </w:p>
    <w:p>
      <w:pPr>
        <w:pStyle w:val="ListParagraph"/>
        <w:numPr>
          <w:ilvl w:val="0"/>
          <w:numId w:val="2"/>
        </w:numPr>
        <w:spacing w:after="80" w:line="300"/>
      </w:pPr>
      <w:r>
        <w:rPr>
          <w:rFonts w:ascii="Calibri" w:cs="Calibri" w:eastAsia="Calibri" w:hAnsi="Calibri"/>
          <w:sz w:val="22"/>
          <w:szCs w:val="22"/>
        </w:rPr>
        <w:t xml:space="preserve">Jaaromzet ≥ €480K over 2022-2024 — IFC bestond niet.</w:t>
      </w:r>
    </w:p>
    <w:p>
      <w:pPr>
        <w:pStyle w:val="ListParagraph"/>
        <w:numPr>
          <w:ilvl w:val="0"/>
          <w:numId w:val="2"/>
        </w:numPr>
        <w:spacing w:after="80" w:line="300"/>
      </w:pPr>
      <w:r>
        <w:rPr>
          <w:rFonts w:ascii="Calibri" w:cs="Calibri" w:eastAsia="Calibri" w:hAnsi="Calibri"/>
          <w:sz w:val="22"/>
          <w:szCs w:val="22"/>
        </w:rPr>
        <w:t xml:space="preserve">5 permanente medewerkers in gerelateerde velden 2023-2025 — drie founders, recent gestart.</w:t>
      </w:r>
    </w:p>
    <w:p>
      <w:pPr>
        <w:pStyle w:val="ListParagraph"/>
        <w:numPr>
          <w:ilvl w:val="0"/>
          <w:numId w:val="2"/>
        </w:numPr>
        <w:spacing w:after="80" w:line="300"/>
      </w:pPr>
      <w:r>
        <w:rPr>
          <w:rFonts w:ascii="Calibri" w:cs="Calibri" w:eastAsia="Calibri" w:hAnsi="Calibri"/>
          <w:sz w:val="22"/>
          <w:szCs w:val="22"/>
        </w:rPr>
        <w:t xml:space="preserve">4 voltooide referentie-projecten met factuurbewijs op eigen naam.</w:t>
      </w:r>
    </w:p>
    <w:p>
      <w:pPr>
        <w:pStyle w:val="ListParagraph"/>
        <w:numPr>
          <w:ilvl w:val="0"/>
          <w:numId w:val="2"/>
        </w:numPr>
        <w:spacing w:after="80" w:line="300"/>
      </w:pPr>
      <w:r>
        <w:rPr>
          <w:rFonts w:ascii="Calibri" w:cs="Calibri" w:eastAsia="Calibri" w:hAnsi="Calibri"/>
          <w:sz w:val="22"/>
          <w:szCs w:val="22"/>
        </w:rPr>
        <w:t xml:space="preserve">Event-uitvoeringsinfrastructuur voor 5 in-person events met EU-tolken, catering, AV.</w:t>
      </w:r>
    </w:p>
    <w:p>
      <w:pPr>
        <w:pStyle w:val="ListParagraph"/>
        <w:numPr>
          <w:ilvl w:val="0"/>
          <w:numId w:val="2"/>
        </w:numPr>
        <w:spacing w:after="80" w:line="300"/>
      </w:pPr>
      <w:r>
        <w:rPr>
          <w:rFonts w:ascii="Calibri" w:cs="Calibri" w:eastAsia="Calibri" w:hAnsi="Calibri"/>
          <w:sz w:val="22"/>
          <w:szCs w:val="22"/>
        </w:rPr>
        <w:t xml:space="preserve">Coverage van de overige 7 non-key expertise areas (gender data architecture, ESG/regulatory reporting,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4"/>
              <w:left w:val="single" w:color="C9A227" w:sz="24"/>
              <w:bottom w:val="single" w:color="C9A227" w:sz="4"/>
              <w:right w:val="single" w:color="C9A227" w:sz="4"/>
            </w:tcBorders>
            <w:shd w:fill="F2F2F2" w:val="clear"/>
            <w:tcMar>
              <w:top w:type="dxa" w:w="160"/>
              <w:left w:type="dxa" w:w="220"/>
              <w:bottom w:type="dxa" w:w="160"/>
              <w:right w:type="dxa" w:w="220"/>
            </w:tcMar>
          </w:tcPr>
          <w:p>
            <w:pPr>
              <w:spacing w:after="120" w:line="300"/>
            </w:pPr>
            <w:r>
              <w:rPr>
                <w:rFonts w:ascii="Calibri" w:cs="Calibri" w:eastAsia="Calibri" w:hAnsi="Calibri"/>
                <w:sz w:val="22"/>
                <w:szCs w:val="22"/>
              </w:rPr>
              <w:t xml:space="preserve">Conclusie: een consortium met een gevestigde partij die de selectiecriteria invult is de enige reële route. De vraag is niet óf, maar mét wie en onder welke voorwaarden.</w:t>
            </w:r>
          </w:p>
        </w:tc>
      </w:tr>
    </w:tbl>
    <w:p>
      <w:pPr>
        <w:pStyle w:val="Heading2"/>
        <w:spacing w:after="160" w:before="280"/>
      </w:pPr>
      <w:r>
        <w:rPr>
          <w:rFonts w:ascii="Calibri" w:cs="Calibri" w:eastAsia="Calibri" w:hAnsi="Calibri"/>
          <w:b/>
          <w:bCs/>
          <w:color w:val="1F3A5F"/>
          <w:sz w:val="26"/>
          <w:szCs w:val="26"/>
        </w:rPr>
        <w:t xml:space="preserve">Mapping IFC-founders op de EIB-componenten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60" w:line="280"/>
            </w:pPr>
            <w:r>
              <w:rPr>
                <w:rFonts w:ascii="Calibri" w:cs="Calibri" w:eastAsia="Calibri" w:hAnsi="Calibri"/>
                <w:b/>
                <w:bCs/>
                <w:color w:val="FFFFFF"/>
                <w:sz w:val="20"/>
                <w:szCs w:val="20"/>
              </w:rPr>
              <w:t xml:space="preserve">Component EIB</w:t>
            </w:r>
          </w:p>
        </w:tc>
        <w:tc>
          <w:tcPr>
            <w:tcW w:type="dxa" w:w="624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60" w:line="280"/>
            </w:pPr>
            <w:r>
              <w:rPr>
                <w:rFonts w:ascii="Calibri" w:cs="Calibri" w:eastAsia="Calibri" w:hAnsi="Calibri"/>
                <w:b/>
                <w:bCs/>
                <w:color w:val="FFFFFF"/>
                <w:sz w:val="20"/>
                <w:szCs w:val="20"/>
              </w:rPr>
              <w:t xml:space="preserve">IFC-rol</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1. Curriculum &amp; capacity building</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Chantal als Key Expert (inhoud) + Britt als senior NKE (learning design, platform)</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2. Outreach, communication, community-building</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Chief Commercial als senior NKE — direct mapping op commercial engine van IFC</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3. Bilaterale advisory missies</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Chantal als Key Expert; jointly bemenst per opdracht</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4. Monitoring &amp; rapportage</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Britt als senior NKE — Gender Capital Lab™ Measure &amp; Scale stap</w:t>
            </w:r>
          </w:p>
        </w:tc>
      </w:tr>
    </w:tbl>
    <w:p>
      <w:r>
        <w:br w:type="page"/>
      </w:r>
    </w:p>
    <w:p>
      <w:pPr>
        <w:pStyle w:val="Heading1"/>
        <w:spacing w:after="200" w:before="360"/>
      </w:pPr>
      <w:r>
        <w:rPr>
          <w:rFonts w:ascii="Calibri" w:cs="Calibri" w:eastAsia="Calibri" w:hAnsi="Calibri"/>
          <w:b/>
          <w:bCs/>
          <w:color w:val="1F3A5F"/>
          <w:sz w:val="32"/>
          <w:szCs w:val="32"/>
        </w:rPr>
        <w:t xml:space="preserve">8. Drie consortium-routes</w:t>
      </w:r>
    </w:p>
    <w:p>
      <w:pPr>
        <w:spacing w:after="120" w:line="300"/>
      </w:pPr>
      <w:r>
        <w:rPr>
          <w:rFonts w:ascii="Calibri" w:cs="Calibri" w:eastAsia="Calibri" w:hAnsi="Calibri"/>
          <w:sz w:val="22"/>
          <w:szCs w:val="22"/>
        </w:rPr>
        <w:t xml:space="preserve">Drie reëel uitvoerbare configuraties, oplopend in IFC-ambitieniveau en in opgegeven bandbreedte.</w:t>
      </w:r>
    </w:p>
    <w:p>
      <w:pPr>
        <w:pStyle w:val="Heading2"/>
        <w:spacing w:after="160" w:before="280"/>
      </w:pPr>
      <w:r>
        <w:rPr>
          <w:rFonts w:ascii="Calibri" w:cs="Calibri" w:eastAsia="Calibri" w:hAnsi="Calibri"/>
          <w:b/>
          <w:bCs/>
          <w:color w:val="1F3A5F"/>
          <w:sz w:val="26"/>
          <w:szCs w:val="26"/>
        </w:rPr>
        <w:t xml:space="preserve">Route A — Subcontractor onder Big-Four</w:t>
      </w:r>
    </w:p>
    <w:p>
      <w:pPr>
        <w:spacing w:after="120" w:line="300"/>
      </w:pPr>
      <w:r>
        <w:rPr>
          <w:rFonts w:ascii="Calibri" w:cs="Calibri" w:eastAsia="Calibri" w:hAnsi="Calibri"/>
          <w:sz w:val="22"/>
          <w:szCs w:val="22"/>
        </w:rPr>
        <w:t xml:space="preserve">IFC levert alleen Chantal als Key Expert (en mogelijk één Senior NKE) onder vlag van PwC, McKinsey of Deloitte.</w:t>
      </w:r>
    </w:p>
    <w:p>
      <w:pPr>
        <w:pStyle w:val="ListParagraph"/>
        <w:numPr>
          <w:ilvl w:val="0"/>
          <w:numId w:val="2"/>
        </w:numPr>
        <w:spacing w:after="80" w:line="300"/>
      </w:pPr>
      <w:r>
        <w:rPr>
          <w:rFonts w:ascii="Calibri" w:cs="Calibri" w:eastAsia="Calibri" w:hAnsi="Calibri"/>
          <w:b/>
          <w:bCs/>
          <w:sz w:val="22"/>
          <w:szCs w:val="22"/>
        </w:rPr>
        <w:t xml:space="preserve">Voordelen: </w:t>
      </w:r>
      <w:r>
        <w:rPr>
          <w:rFonts w:ascii="Calibri" w:cs="Calibri" w:eastAsia="Calibri" w:hAnsi="Calibri"/>
          <w:sz w:val="22"/>
          <w:szCs w:val="22"/>
        </w:rPr>
        <w:t xml:space="preserve">minimale tijdsinvestering, lage juridische exposure, snelste kant en klaar.</w:t>
      </w:r>
    </w:p>
    <w:p>
      <w:pPr>
        <w:pStyle w:val="ListParagraph"/>
        <w:numPr>
          <w:ilvl w:val="0"/>
          <w:numId w:val="2"/>
        </w:numPr>
        <w:spacing w:after="80" w:line="300"/>
      </w:pPr>
      <w:r>
        <w:rPr>
          <w:rFonts w:ascii="Calibri" w:cs="Calibri" w:eastAsia="Calibri" w:hAnsi="Calibri"/>
          <w:b/>
          <w:bCs/>
          <w:sz w:val="22"/>
          <w:szCs w:val="22"/>
        </w:rPr>
        <w:t xml:space="preserve">Nadelen: </w:t>
      </w:r>
      <w:r>
        <w:rPr>
          <w:rFonts w:ascii="Calibri" w:cs="Calibri" w:eastAsia="Calibri" w:hAnsi="Calibri"/>
          <w:sz w:val="22"/>
          <w:szCs w:val="22"/>
        </w:rPr>
        <w:t xml:space="preserve">geen IFC-merknaam zichtbaar, Gender Capital Lab™ verdwijnt onder andermans frame, beperkte fee-marges.</w:t>
      </w:r>
    </w:p>
    <w:p>
      <w:pPr>
        <w:pStyle w:val="ListParagraph"/>
        <w:numPr>
          <w:ilvl w:val="0"/>
          <w:numId w:val="2"/>
        </w:numPr>
        <w:spacing w:after="80" w:line="300"/>
      </w:pPr>
      <w:r>
        <w:rPr>
          <w:rFonts w:ascii="Calibri" w:cs="Calibri" w:eastAsia="Calibri" w:hAnsi="Calibri"/>
          <w:b/>
          <w:bCs/>
          <w:sz w:val="22"/>
          <w:szCs w:val="22"/>
        </w:rPr>
        <w:t xml:space="preserve">IFC-bandbreedte: </w:t>
      </w:r>
      <w:r>
        <w:rPr>
          <w:rFonts w:ascii="Calibri" w:cs="Calibri" w:eastAsia="Calibri" w:hAnsi="Calibri"/>
          <w:sz w:val="22"/>
          <w:szCs w:val="22"/>
        </w:rPr>
        <w:t xml:space="preserve">~40% van Chantal voor 24 maanden.</w:t>
      </w:r>
    </w:p>
    <w:p>
      <w:pPr>
        <w:pStyle w:val="Heading2"/>
        <w:spacing w:after="160" w:before="280"/>
      </w:pPr>
      <w:r>
        <w:rPr>
          <w:rFonts w:ascii="Calibri" w:cs="Calibri" w:eastAsia="Calibri" w:hAnsi="Calibri"/>
          <w:b/>
          <w:bCs/>
          <w:color w:val="1F3A5F"/>
          <w:sz w:val="26"/>
          <w:szCs w:val="26"/>
        </w:rPr>
        <w:t xml:space="preserve">Route B — Volwaardig consortium-lid onder Big-Four lead</w:t>
      </w:r>
    </w:p>
    <w:p>
      <w:pPr>
        <w:spacing w:after="120" w:line="300"/>
      </w:pPr>
      <w:r>
        <w:rPr>
          <w:rFonts w:ascii="Calibri" w:cs="Calibri" w:eastAsia="Calibri" w:hAnsi="Calibri"/>
          <w:sz w:val="22"/>
          <w:szCs w:val="22"/>
        </w:rPr>
        <w:t xml:space="preserve">IFC verschijnt als named consortium partner naast PwC/McK/Deloitte. Drie founders bemensen verschillende rollen.</w:t>
      </w:r>
    </w:p>
    <w:p>
      <w:pPr>
        <w:pStyle w:val="ListParagraph"/>
        <w:numPr>
          <w:ilvl w:val="0"/>
          <w:numId w:val="2"/>
        </w:numPr>
        <w:spacing w:after="80" w:line="300"/>
      </w:pPr>
      <w:r>
        <w:rPr>
          <w:rFonts w:ascii="Calibri" w:cs="Calibri" w:eastAsia="Calibri" w:hAnsi="Calibri"/>
          <w:b/>
          <w:bCs/>
          <w:sz w:val="22"/>
          <w:szCs w:val="22"/>
        </w:rPr>
        <w:t xml:space="preserve">Voordelen: </w:t>
      </w:r>
      <w:r>
        <w:rPr>
          <w:rFonts w:ascii="Calibri" w:cs="Calibri" w:eastAsia="Calibri" w:hAnsi="Calibri"/>
          <w:sz w:val="22"/>
          <w:szCs w:val="22"/>
        </w:rPr>
        <w:t xml:space="preserve">merknaam zichtbaar bij EIB, methodologie-IP behouden, ~500-600 dagen IFC-tijd over 24 maanden, betekenisvolle referentie voor IFC.</w:t>
      </w:r>
    </w:p>
    <w:p>
      <w:pPr>
        <w:pStyle w:val="ListParagraph"/>
        <w:numPr>
          <w:ilvl w:val="0"/>
          <w:numId w:val="2"/>
        </w:numPr>
        <w:spacing w:after="80" w:line="300"/>
      </w:pPr>
      <w:r>
        <w:rPr>
          <w:rFonts w:ascii="Calibri" w:cs="Calibri" w:eastAsia="Calibri" w:hAnsi="Calibri"/>
          <w:b/>
          <w:bCs/>
          <w:sz w:val="22"/>
          <w:szCs w:val="22"/>
        </w:rPr>
        <w:t xml:space="preserve">Nadelen: </w:t>
      </w:r>
      <w:r>
        <w:rPr>
          <w:rFonts w:ascii="Calibri" w:cs="Calibri" w:eastAsia="Calibri" w:hAnsi="Calibri"/>
          <w:sz w:val="22"/>
          <w:szCs w:val="22"/>
        </w:rPr>
        <w:t xml:space="preserve">substantieel deel van het founding team gebonden aan tender; minder bandbreedte voor World Bank en eerste 10 corporate clients.</w:t>
      </w:r>
    </w:p>
    <w:p>
      <w:pPr>
        <w:pStyle w:val="ListParagraph"/>
        <w:numPr>
          <w:ilvl w:val="0"/>
          <w:numId w:val="2"/>
        </w:numPr>
        <w:spacing w:after="80" w:line="300"/>
      </w:pPr>
      <w:r>
        <w:rPr>
          <w:rFonts w:ascii="Calibri" w:cs="Calibri" w:eastAsia="Calibri" w:hAnsi="Calibri"/>
          <w:b/>
          <w:bCs/>
          <w:sz w:val="22"/>
          <w:szCs w:val="22"/>
        </w:rPr>
        <w:t xml:space="preserve">IFC-bandbreedte: </w:t>
      </w:r>
      <w:r>
        <w:rPr>
          <w:rFonts w:ascii="Calibri" w:cs="Calibri" w:eastAsia="Calibri" w:hAnsi="Calibri"/>
          <w:sz w:val="22"/>
          <w:szCs w:val="22"/>
        </w:rPr>
        <w:t xml:space="preserve">~40% Chantal + ~25-35% Britt + ~25-35% Chief Commercial gemiddeld over 24 maanden.</w:t>
      </w:r>
    </w:p>
    <w:p>
      <w:pPr>
        <w:pStyle w:val="Heading2"/>
        <w:spacing w:after="160" w:before="280"/>
      </w:pPr>
      <w:r>
        <w:rPr>
          <w:rFonts w:ascii="Calibri" w:cs="Calibri" w:eastAsia="Calibri" w:hAnsi="Calibri"/>
          <w:b/>
          <w:bCs/>
          <w:color w:val="1F3A5F"/>
          <w:sz w:val="26"/>
          <w:szCs w:val="26"/>
        </w:rPr>
        <w:t xml:space="preserve">Route C — Niet meedoen</w:t>
      </w:r>
    </w:p>
    <w:p>
      <w:pPr>
        <w:spacing w:after="120" w:line="300"/>
      </w:pPr>
      <w:r>
        <w:rPr>
          <w:rFonts w:ascii="Calibri" w:cs="Calibri" w:eastAsia="Calibri" w:hAnsi="Calibri"/>
          <w:sz w:val="22"/>
          <w:szCs w:val="22"/>
        </w:rPr>
        <w:t xml:space="preserve">IFC focust op het World Bank-mandaat en de eerste 10 corporate clients. Eventueel onder protest, of met een open lijn naar de EIB voor de volgende ronde.</w:t>
      </w:r>
    </w:p>
    <w:p>
      <w:pPr>
        <w:pStyle w:val="ListParagraph"/>
        <w:numPr>
          <w:ilvl w:val="0"/>
          <w:numId w:val="2"/>
        </w:numPr>
        <w:spacing w:after="80" w:line="300"/>
      </w:pPr>
      <w:r>
        <w:rPr>
          <w:rFonts w:ascii="Calibri" w:cs="Calibri" w:eastAsia="Calibri" w:hAnsi="Calibri"/>
          <w:b/>
          <w:bCs/>
          <w:sz w:val="22"/>
          <w:szCs w:val="22"/>
        </w:rPr>
        <w:t xml:space="preserve">Voordelen: </w:t>
      </w:r>
      <w:r>
        <w:rPr>
          <w:rFonts w:ascii="Calibri" w:cs="Calibri" w:eastAsia="Calibri" w:hAnsi="Calibri"/>
          <w:sz w:val="22"/>
          <w:szCs w:val="22"/>
        </w:rPr>
        <w:t xml:space="preserve">volledige bandbreedte voor IFC's eigen routes; 90-day sprint blijft intact; geen gebondenheid onder andermans contract.</w:t>
      </w:r>
    </w:p>
    <w:p>
      <w:pPr>
        <w:pStyle w:val="ListParagraph"/>
        <w:numPr>
          <w:ilvl w:val="0"/>
          <w:numId w:val="2"/>
        </w:numPr>
        <w:spacing w:after="80" w:line="300"/>
      </w:pPr>
      <w:r>
        <w:rPr>
          <w:rFonts w:ascii="Calibri" w:cs="Calibri" w:eastAsia="Calibri" w:hAnsi="Calibri"/>
          <w:b/>
          <w:bCs/>
          <w:sz w:val="22"/>
          <w:szCs w:val="22"/>
        </w:rPr>
        <w:t xml:space="preserve">Nadelen: </w:t>
      </w:r>
      <w:r>
        <w:rPr>
          <w:rFonts w:ascii="Calibri" w:cs="Calibri" w:eastAsia="Calibri" w:hAnsi="Calibri"/>
          <w:sz w:val="22"/>
          <w:szCs w:val="22"/>
        </w:rPr>
        <w:t xml:space="preserve">een €2M EIB-referentietraject loopt voorbij; Big-Four blijft de gender-finance-positie in de markt claimen voor 2 jaar; volgende EIB-tender is mogelijk pas in 2028.</w:t>
      </w:r>
    </w:p>
    <w:p>
      <w:pPr>
        <w:pStyle w:val="ListParagraph"/>
        <w:numPr>
          <w:ilvl w:val="0"/>
          <w:numId w:val="2"/>
        </w:numPr>
        <w:spacing w:after="80" w:line="300"/>
      </w:pPr>
      <w:r>
        <w:rPr>
          <w:rFonts w:ascii="Calibri" w:cs="Calibri" w:eastAsia="Calibri" w:hAnsi="Calibri"/>
          <w:b/>
          <w:bCs/>
          <w:sz w:val="22"/>
          <w:szCs w:val="22"/>
        </w:rPr>
        <w:t xml:space="preserve">IFC-bandbreedte: </w:t>
      </w:r>
      <w:r>
        <w:rPr>
          <w:rFonts w:ascii="Calibri" w:cs="Calibri" w:eastAsia="Calibri" w:hAnsi="Calibri"/>
          <w:sz w:val="22"/>
          <w:szCs w:val="22"/>
        </w:rPr>
        <w:t xml:space="preserve">0% voor deze tender, 100% voor eigen agenda.</w:t>
      </w:r>
    </w:p>
    <w:p>
      <w:pPr>
        <w:pStyle w:val="Heading2"/>
        <w:spacing w:after="160" w:before="280"/>
      </w:pPr>
      <w:r>
        <w:rPr>
          <w:rFonts w:ascii="Calibri" w:cs="Calibri" w:eastAsia="Calibri" w:hAnsi="Calibri"/>
          <w:b/>
          <w:bCs/>
          <w:color w:val="1F3A5F"/>
          <w:sz w:val="26"/>
          <w:szCs w:val="26"/>
        </w:rPr>
        <w:t xml:space="preserve">Vergelijking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80"/>
        <w:gridCol w:w="2260"/>
        <w:gridCol w:w="2260"/>
        <w:gridCol w:w="2260"/>
      </w:tblGrid>
      <w:tr>
        <w:trPr>
          <w:tblHeader/>
        </w:trPr>
        <w:tc>
          <w:tcPr>
            <w:tcW w:type="dxa" w:w="258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60" w:line="280"/>
            </w:pPr>
            <w:r>
              <w:rPr>
                <w:rFonts w:ascii="Calibri" w:cs="Calibri" w:eastAsia="Calibri" w:hAnsi="Calibri"/>
                <w:b/>
                <w:bCs/>
                <w:color w:val="FFFFFF"/>
                <w:sz w:val="20"/>
                <w:szCs w:val="20"/>
              </w:rPr>
              <w:t xml:space="preserve">Aspect</w:t>
            </w:r>
          </w:p>
        </w:tc>
        <w:tc>
          <w:tcPr>
            <w:tcW w:type="dxa" w:w="22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60" w:line="280"/>
            </w:pPr>
            <w:r>
              <w:rPr>
                <w:rFonts w:ascii="Calibri" w:cs="Calibri" w:eastAsia="Calibri" w:hAnsi="Calibri"/>
                <w:b/>
                <w:bCs/>
                <w:color w:val="FFFFFF"/>
                <w:sz w:val="20"/>
                <w:szCs w:val="20"/>
              </w:rPr>
              <w:t xml:space="preserve">Route A</w:t>
            </w:r>
          </w:p>
        </w:tc>
        <w:tc>
          <w:tcPr>
            <w:tcW w:type="dxa" w:w="22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60" w:line="280"/>
            </w:pPr>
            <w:r>
              <w:rPr>
                <w:rFonts w:ascii="Calibri" w:cs="Calibri" w:eastAsia="Calibri" w:hAnsi="Calibri"/>
                <w:b/>
                <w:bCs/>
                <w:color w:val="FFFFFF"/>
                <w:sz w:val="20"/>
                <w:szCs w:val="20"/>
              </w:rPr>
              <w:t xml:space="preserve">Route B</w:t>
            </w:r>
          </w:p>
        </w:tc>
        <w:tc>
          <w:tcPr>
            <w:tcW w:type="dxa" w:w="22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60" w:line="280"/>
            </w:pPr>
            <w:r>
              <w:rPr>
                <w:rFonts w:ascii="Calibri" w:cs="Calibri" w:eastAsia="Calibri" w:hAnsi="Calibri"/>
                <w:b/>
                <w:bCs/>
                <w:color w:val="FFFFFF"/>
                <w:sz w:val="20"/>
                <w:szCs w:val="20"/>
              </w:rPr>
              <w:t xml:space="preserve">Route C</w:t>
            </w:r>
          </w:p>
        </w:tc>
      </w:tr>
      <w:tr>
        <w:tc>
          <w:tcPr>
            <w:tcW w:type="dxa" w:w="2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Merkzichtbaarheid</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Geen</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Hoog</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n.v.t.</w:t>
            </w:r>
          </w:p>
        </w:tc>
      </w:tr>
      <w:tr>
        <w:tc>
          <w:tcPr>
            <w:tcW w:type="dxa" w:w="2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Methodologie-IP</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Verdwijnt</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Backbone</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Beschermd</w:t>
            </w:r>
          </w:p>
        </w:tc>
      </w:tr>
      <w:tr>
        <w:tc>
          <w:tcPr>
            <w:tcW w:type="dxa" w:w="2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IFC-bandbreedte gebonden</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~40% Chantal</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~30% trio</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0%</w:t>
            </w:r>
          </w:p>
        </w:tc>
      </w:tr>
      <w:tr>
        <w:tc>
          <w:tcPr>
            <w:tcW w:type="dxa" w:w="2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Fee-volume voor IFC</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Beperkt</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Substantieel</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n.v.t.</w:t>
            </w:r>
          </w:p>
        </w:tc>
      </w:tr>
      <w:tr>
        <w:tc>
          <w:tcPr>
            <w:tcW w:type="dxa" w:w="2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Referentie voor IFC</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Indirect</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Direct</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Geen</w:t>
            </w:r>
          </w:p>
        </w:tc>
      </w:tr>
      <w:tr>
        <w:tc>
          <w:tcPr>
            <w:tcW w:type="dxa" w:w="2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Risico op brand-dilutie</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Hoog</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Middel</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Geen</w:t>
            </w:r>
          </w:p>
        </w:tc>
      </w:tr>
      <w:tr>
        <w:tc>
          <w:tcPr>
            <w:tcW w:type="dxa" w:w="2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Snelheid van besluit</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Hoog</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Middel</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Hoog</w:t>
            </w:r>
          </w:p>
        </w:tc>
      </w:tr>
    </w:tbl>
    <w:p>
      <w:r>
        <w:br w:type="page"/>
      </w:r>
    </w:p>
    <w:p>
      <w:pPr>
        <w:pStyle w:val="Heading1"/>
        <w:spacing w:after="200" w:before="360"/>
      </w:pPr>
      <w:r>
        <w:rPr>
          <w:rFonts w:ascii="Calibri" w:cs="Calibri" w:eastAsia="Calibri" w:hAnsi="Calibri"/>
          <w:b/>
          <w:bCs/>
          <w:color w:val="1F3A5F"/>
          <w:sz w:val="32"/>
          <w:szCs w:val="32"/>
        </w:rPr>
        <w:t xml:space="preserve">9. Drie filtervragen voor het IFC-trio</w:t>
      </w:r>
    </w:p>
    <w:p>
      <w:pPr>
        <w:spacing w:after="120" w:line="300"/>
      </w:pPr>
      <w:r>
        <w:rPr>
          <w:rFonts w:ascii="Calibri" w:cs="Calibri" w:eastAsia="Calibri" w:hAnsi="Calibri"/>
          <w:sz w:val="22"/>
          <w:szCs w:val="22"/>
        </w:rPr>
        <w:t xml:space="preserve">Voordat verdere gesprekken met McK, Deloitte of PwC worden gevoerd, moeten we als trio drie vragen scherp beantwoorden. Niet zwart-wit; wel duidelijk genoeg om een keuze te kunnen maken vóór 13 mei.</w:t>
      </w:r>
    </w:p>
    <w:p>
      <w:pPr>
        <w:pStyle w:val="Heading2"/>
        <w:spacing w:after="160" w:before="280"/>
      </w:pPr>
      <w:r>
        <w:rPr>
          <w:rFonts w:ascii="Calibri" w:cs="Calibri" w:eastAsia="Calibri" w:hAnsi="Calibri"/>
          <w:b/>
          <w:bCs/>
          <w:color w:val="1F3A5F"/>
          <w:sz w:val="26"/>
          <w:szCs w:val="26"/>
        </w:rPr>
        <w:t xml:space="preserve">Vraag 1 — Hoeveel IFC-bandbreedte is acceptabel?</w:t>
      </w:r>
    </w:p>
    <w:p>
      <w:pPr>
        <w:spacing w:after="120" w:line="300"/>
      </w:pPr>
      <w:r>
        <w:rPr>
          <w:rFonts w:ascii="Calibri" w:cs="Calibri" w:eastAsia="Calibri" w:hAnsi="Calibri"/>
          <w:sz w:val="22"/>
          <w:szCs w:val="22"/>
        </w:rPr>
        <w:t xml:space="preserve">Eén founder voor 40%? Drie founders voor 30% gemiddeld? Geen? Het antwoord moet kloppen met de Hei~Bos-belofte (we zijn begonnen met bouwen) én met het 90-day Unlockt/IFC-bouwplan en het World Bank-mandaat. Een tender van 24 maanden is geen side project.</w:t>
      </w:r>
    </w:p>
    <w:p>
      <w:pPr>
        <w:pStyle w:val="Heading2"/>
        <w:spacing w:after="160" w:before="280"/>
      </w:pPr>
      <w:r>
        <w:rPr>
          <w:rFonts w:ascii="Calibri" w:cs="Calibri" w:eastAsia="Calibri" w:hAnsi="Calibri"/>
          <w:b/>
          <w:bCs/>
          <w:color w:val="1F3A5F"/>
          <w:sz w:val="26"/>
          <w:szCs w:val="26"/>
        </w:rPr>
        <w:t xml:space="preserve">Vraag 2 — Onder welke condities staat onze methodologie zichtbaar?</w:t>
      </w:r>
    </w:p>
    <w:p>
      <w:pPr>
        <w:spacing w:after="120" w:line="300"/>
      </w:pPr>
      <w:r>
        <w:rPr>
          <w:rFonts w:ascii="Calibri" w:cs="Calibri" w:eastAsia="Calibri" w:hAnsi="Calibri"/>
          <w:sz w:val="22"/>
          <w:szCs w:val="22"/>
        </w:rPr>
        <w:t xml:space="preserve">Als Gender Capital Lab™ als framework expliciet in de Organisation &amp; Methodology mag, is dit een marketing-investering. Als het volledig opgaat in PwC/McK-frame, is het pure dagvergoeding. De onderhandeling is hier het scherpst — Big-Four heeft eigen frameworks die ze graag voorop zetten.</w:t>
      </w:r>
    </w:p>
    <w:p>
      <w:pPr>
        <w:pStyle w:val="Heading2"/>
        <w:spacing w:after="160" w:before="280"/>
      </w:pPr>
      <w:r>
        <w:rPr>
          <w:rFonts w:ascii="Calibri" w:cs="Calibri" w:eastAsia="Calibri" w:hAnsi="Calibri"/>
          <w:b/>
          <w:bCs/>
          <w:color w:val="1F3A5F"/>
          <w:sz w:val="26"/>
          <w:szCs w:val="26"/>
        </w:rPr>
        <w:t xml:space="preserve">Vraag 3 — Wat is de fall-back als deze tender niet wordt gewonnen?</w:t>
      </w:r>
    </w:p>
    <w:p>
      <w:pPr>
        <w:spacing w:after="120" w:line="300"/>
      </w:pPr>
      <w:r>
        <w:rPr>
          <w:rFonts w:ascii="Calibri" w:cs="Calibri" w:eastAsia="Calibri" w:hAnsi="Calibri"/>
          <w:sz w:val="22"/>
          <w:szCs w:val="22"/>
        </w:rPr>
        <w:t xml:space="preserve">Als we 4-6 weken bouwfocus opofferen aan een tender die we niet winnen of niet onder eigen naam, wat is dan de schade? En wat is de upside als we wel winnen maar dieper gebonden zijn aan een Big-Four contract dan we hadden gepland?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4"/>
              <w:left w:val="single" w:color="C9A227" w:sz="24"/>
              <w:bottom w:val="single" w:color="C9A227" w:sz="4"/>
              <w:right w:val="single" w:color="C9A227" w:sz="4"/>
            </w:tcBorders>
            <w:shd w:fill="F2F2F2" w:val="clear"/>
            <w:tcMar>
              <w:top w:type="dxa" w:w="160"/>
              <w:left w:type="dxa" w:w="220"/>
              <w:bottom w:type="dxa" w:w="160"/>
              <w:right w:type="dxa" w:w="220"/>
            </w:tcMar>
          </w:tcPr>
          <w:p>
            <w:pPr>
              <w:spacing w:after="120" w:line="300"/>
            </w:pPr>
            <w:r>
              <w:rPr>
                <w:rFonts w:ascii="Calibri" w:cs="Calibri" w:eastAsia="Calibri" w:hAnsi="Calibri"/>
                <w:sz w:val="22"/>
                <w:szCs w:val="22"/>
              </w:rPr>
              <w:t xml:space="preserve">Het vraagstuk is niet primair tactisch (welke partner) maar strategisch (past dit bij wat IFC wil zijn). Beide antwoorden zijn legitiem. Geen antwoord is slechter dan een verkeerd antwoord, maar het verkeerde moment om te beslissen is na 13 mei.</w:t>
            </w:r>
          </w:p>
        </w:tc>
      </w:tr>
    </w:tbl>
    <w:p>
      <w:pPr>
        <w:pStyle w:val="Heading2"/>
        <w:spacing w:after="160" w:before="280"/>
      </w:pPr>
      <w:r>
        <w:rPr>
          <w:rFonts w:ascii="Calibri" w:cs="Calibri" w:eastAsia="Calibri" w:hAnsi="Calibri"/>
          <w:b/>
          <w:bCs/>
          <w:color w:val="1F3A5F"/>
          <w:sz w:val="26"/>
          <w:szCs w:val="26"/>
        </w:rPr>
        <w:t xml:space="preserve">Actie-checklist tot 13 mei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5400"/>
        <w:gridCol w:w="2280"/>
      </w:tblGrid>
      <w:tr>
        <w:trPr>
          <w:tblHeader/>
        </w:trPr>
        <w:tc>
          <w:tcPr>
            <w:tcW w:type="dxa" w:w="168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60" w:line="280"/>
            </w:pPr>
            <w:r>
              <w:rPr>
                <w:rFonts w:ascii="Calibri" w:cs="Calibri" w:eastAsia="Calibri" w:hAnsi="Calibri"/>
                <w:b/>
                <w:bCs/>
                <w:color w:val="FFFFFF"/>
                <w:sz w:val="20"/>
                <w:szCs w:val="20"/>
              </w:rPr>
              <w:t xml:space="preserve">Datum</w:t>
            </w:r>
          </w:p>
        </w:tc>
        <w:tc>
          <w:tcPr>
            <w:tcW w:type="dxa" w:w="5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60" w:line="280"/>
            </w:pPr>
            <w:r>
              <w:rPr>
                <w:rFonts w:ascii="Calibri" w:cs="Calibri" w:eastAsia="Calibri" w:hAnsi="Calibri"/>
                <w:b/>
                <w:bCs/>
                <w:color w:val="FFFFFF"/>
                <w:sz w:val="20"/>
                <w:szCs w:val="20"/>
              </w:rPr>
              <w:t xml:space="preserve">Actie</w:t>
            </w:r>
          </w:p>
        </w:tc>
        <w:tc>
          <w:tcPr>
            <w:tcW w:type="dxa" w:w="228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60" w:line="280"/>
            </w:pPr>
            <w:r>
              <w:rPr>
                <w:rFonts w:ascii="Calibri" w:cs="Calibri" w:eastAsia="Calibri" w:hAnsi="Calibri"/>
                <w:b/>
                <w:bCs/>
                <w:color w:val="FFFFFF"/>
                <w:sz w:val="20"/>
                <w:szCs w:val="20"/>
              </w:rPr>
              <w:t xml:space="preserve">Eigenaar</w:t>
            </w:r>
          </w:p>
        </w:tc>
      </w:tr>
      <w:tr>
        <w:tc>
          <w:tcPr>
            <w:tcW w:type="dxa" w:w="1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6 mei</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Trio-besluit: route A, B of C</w:t>
            </w:r>
          </w:p>
        </w:tc>
        <w:tc>
          <w:tcPr>
            <w:tcW w:type="dxa" w:w="2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IFC-trio</w:t>
            </w:r>
          </w:p>
        </w:tc>
      </w:tr>
      <w:tr>
        <w:tc>
          <w:tcPr>
            <w:tcW w:type="dxa" w:w="1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6 mei</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Indien A/B: shortlist partners (PwC / McK / Deloitte / FAfW) bevestigd</w:t>
            </w:r>
          </w:p>
        </w:tc>
        <w:tc>
          <w:tcPr>
            <w:tcW w:type="dxa" w:w="2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Chief Commercial</w:t>
            </w:r>
          </w:p>
        </w:tc>
      </w:tr>
      <w:tr>
        <w:tc>
          <w:tcPr>
            <w:tcW w:type="dxa" w:w="1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7 mei</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90-min alignment call met gekozen lead partner</w:t>
            </w:r>
          </w:p>
        </w:tc>
        <w:tc>
          <w:tcPr>
            <w:tcW w:type="dxa" w:w="2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Chantal + Chief Commercial</w:t>
            </w:r>
          </w:p>
        </w:tc>
      </w:tr>
      <w:tr>
        <w:tc>
          <w:tcPr>
            <w:tcW w:type="dxa" w:w="1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8 mei</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In-principle akkoord op vier consortium-principes (zie partnership memo)</w:t>
            </w:r>
          </w:p>
        </w:tc>
        <w:tc>
          <w:tcPr>
            <w:tcW w:type="dxa" w:w="2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Chantal</w:t>
            </w:r>
          </w:p>
        </w:tc>
      </w:tr>
      <w:tr>
        <w:tc>
          <w:tcPr>
            <w:tcW w:type="dxa" w:w="1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9-10 mei</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Joint Organisation &amp; Methodology drafting + Chantal's CV finaliseren</w:t>
            </w:r>
          </w:p>
        </w:tc>
        <w:tc>
          <w:tcPr>
            <w:tcW w:type="dxa" w:w="2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Trio + partner</w:t>
            </w:r>
          </w:p>
        </w:tc>
      </w:tr>
      <w:tr>
        <w:tc>
          <w:tcPr>
            <w:tcW w:type="dxa" w:w="1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11 mei</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Referentie-projecten geselecteerd uit partner-portfolio (€50K + €150K)</w:t>
            </w:r>
          </w:p>
        </w:tc>
        <w:tc>
          <w:tcPr>
            <w:tcW w:type="dxa" w:w="2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Partner</w:t>
            </w:r>
          </w:p>
        </w:tc>
      </w:tr>
      <w:tr>
        <w:tc>
          <w:tcPr>
            <w:tcW w:type="dxa" w:w="1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12 mei</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Statement of Exclusivity + consortium MoU getekend</w:t>
            </w:r>
          </w:p>
        </w:tc>
        <w:tc>
          <w:tcPr>
            <w:tcW w:type="dxa" w:w="2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Chantal + partner</w:t>
            </w:r>
          </w:p>
        </w:tc>
      </w:tr>
      <w:tr>
        <w:tc>
          <w:tcPr>
            <w:tcW w:type="dxa" w:w="1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13 mei (23:59)</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Expression of Interest naar EIB</w:t>
            </w:r>
          </w:p>
        </w:tc>
        <w:tc>
          <w:tcPr>
            <w:tcW w:type="dxa" w:w="2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Partner (lead)</w:t>
            </w:r>
          </w:p>
        </w:tc>
      </w:tr>
      <w:tr>
        <w:tc>
          <w:tcPr>
            <w:tcW w:type="dxa" w:w="1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18 mei (18:59)</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Tender ingediend</w:t>
            </w:r>
          </w:p>
        </w:tc>
        <w:tc>
          <w:tcPr>
            <w:tcW w:type="dxa" w:w="2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Partner (lead)</w:t>
            </w:r>
          </w:p>
        </w:tc>
      </w:tr>
    </w:tbl>
    <w:p>
      <w:r>
        <w:br w:type="page"/>
      </w:r>
    </w:p>
    <w:p>
      <w:pPr>
        <w:pStyle w:val="Heading1"/>
        <w:spacing w:after="200" w:before="360"/>
      </w:pPr>
      <w:r>
        <w:rPr>
          <w:rFonts w:ascii="Calibri" w:cs="Calibri" w:eastAsia="Calibri" w:hAnsi="Calibri"/>
          <w:b/>
          <w:bCs/>
          <w:color w:val="1F3A5F"/>
          <w:sz w:val="32"/>
          <w:szCs w:val="32"/>
        </w:rPr>
        <w:t xml:space="preserve">10. Bijlage — Termen &amp; afkortingen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60" w:line="280"/>
            </w:pPr>
            <w:r>
              <w:rPr>
                <w:rFonts w:ascii="Calibri" w:cs="Calibri" w:eastAsia="Calibri" w:hAnsi="Calibri"/>
                <w:b/>
                <w:bCs/>
                <w:color w:val="FFFFFF"/>
                <w:sz w:val="20"/>
                <w:szCs w:val="20"/>
              </w:rPr>
              <w:t xml:space="preserve">Term</w:t>
            </w:r>
          </w:p>
        </w:tc>
        <w:tc>
          <w:tcPr>
            <w:tcW w:type="dxa" w:w="648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60" w:line="280"/>
            </w:pPr>
            <w:r>
              <w:rPr>
                <w:rFonts w:ascii="Calibri" w:cs="Calibri" w:eastAsia="Calibri" w:hAnsi="Calibri"/>
                <w:b/>
                <w:bCs/>
                <w:color w:val="FFFFFF"/>
                <w:sz w:val="20"/>
                <w:szCs w:val="20"/>
              </w:rPr>
              <w:t xml:space="preserve">Betekenis</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EIB</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European Investment Bank — opdrachtgever van deze tender</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EIB Advisory / AFI</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Advisory Financial Institutions Division — uitvoerend onderdeel</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InvestEU Advisory Hub</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EU-fonds dat deze opdracht financiert</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F4GE</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Financing for Gender Equality Criteria — EIB raamwerk uit 2023</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Gender Finance Lab</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Bestaand EIB-programma voor banken (sinds 2025)</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2X Global</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Internationale standaard voor gender-lens investing</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FAfW</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Financial Alliance for Women — internationaal netwerk van banken</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IFC (in deze tender)</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International Finance Corporation — World Bank Group, expliciet genoemd in ToR. Niet te verwarren met Inclusive Finance Collective.</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We-Fi</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Women Entrepreneurs Finance Initiative — World Bank Group</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FI / FIs</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Financial Institutions — banken, fondsen, MFI's</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MFI</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Microfinance Institution</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SME</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Small and Medium Enterprise</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NKE</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Non-Key Expert — aangewezen specialist, niet beoordeeld in tender</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TOR</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Terms of Reference — deel B van de tender, scope-document</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TAINSTRUCT</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Instructions to Tenderers — deel A, procedure</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O&amp;M</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Organisation &amp; Methodology — kerndocument in tender</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TAEVALGRID</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80"/>
            </w:pPr>
            <w:r>
              <w:rPr>
                <w:rFonts w:ascii="Calibri" w:cs="Calibri" w:eastAsia="Calibri" w:hAnsi="Calibri"/>
                <w:b w:val="false"/>
                <w:bCs w:val="false"/>
                <w:sz w:val="20"/>
                <w:szCs w:val="20"/>
              </w:rPr>
              <w:t xml:space="preserve">Evaluation Grid — deel D, scoring</w:t>
            </w:r>
          </w:p>
        </w:tc>
      </w:tr>
    </w:tbl>
    <w:p>
      <w:pPr>
        <w:spacing w:before="400"/>
      </w:pPr>
      <w:r>
        <w:rPr>
          <w:rFonts w:ascii="Calibri" w:cs="Calibri" w:eastAsia="Calibri" w:hAnsi="Calibri"/>
          <w:i/>
          <w:iCs/>
          <w:color w:val="555555"/>
          <w:sz w:val="18"/>
          <w:szCs w:val="18"/>
        </w:rPr>
        <w:t xml:space="preserve">Document opgesteld als interne werknotitie. Niet voor externe distributie zonder afstemming binnen het IFC-trio.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Pagina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van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55555"/>
        <w:sz w:val="18"/>
        <w:szCs w:val="18"/>
      </w:rPr>
      <w:t xml:space="preserve">IFC · EIB Tender Briefing AA-011951-004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2026-05-05T21:06:12.242Z</dcterms:created>
  <dcterms:modified xsi:type="dcterms:W3CDTF">2026-05-05T21:06:12.244Z</dcterms:modified>
</cp:coreProperties>
</file>

<file path=docProps/custom.xml><?xml version="1.0" encoding="utf-8"?>
<Properties xmlns="http://schemas.openxmlformats.org/officeDocument/2006/custom-properties" xmlns:vt="http://schemas.openxmlformats.org/officeDocument/2006/docPropsVTypes"/>
</file>