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377" w:sz="4" w:space="1"/>
        </w:pBdr>
        <w:spacing w:after="100" w:before="320"/>
      </w:pPr>
      <w:r>
        <w:rPr>
          <w:rFonts w:ascii="Arial" w:cs="Arial" w:eastAsia="Arial" w:hAnsi="Arial"/>
          <w:b/>
          <w:bCs/>
          <w:caps/>
          <w:color w:val="1A3A5C"/>
          <w:sz w:val="26"/>
          <w:szCs w:val="26"/>
        </w:rPr>
        <w:t xml:space="preserve">1. Why We Met</w:t>
      </w:r>
    </w:p>
    <w:p>
      <w:pPr>
        <w:spacing w:after="60" w:before="60"/>
      </w:pPr>
      <w:r>
        <w:rPr>
          <w:rFonts w:ascii="Arial" w:cs="Arial" w:eastAsia="Arial" w:hAnsi="Arial"/>
          <w:color w:val="222222"/>
          <w:sz w:val="20"/>
          <w:szCs w:val="20"/>
        </w:rPr>
        <w:t xml:space="preserve">Three senior professionals — each with deep but complementary expertise — came together at Hei~Bos for a two-day founding offsite with a single goal: to stop preparing and start building. Chantal Korteweg brought her internationally recognised expert position and network of ministers, royalty and C-suite executives. Britt Jacobs brought her speaker academy, learning design and HR capability. And our marketing and communications co-founder brought the strategic positioning and commercial engine.</w:t>
      </w:r>
    </w:p>
    <w:p>
      <w:pPr>
        <w:spacing w:after="0" w:before="60"/>
      </w:pPr>
      <w:r>
        <w:rPr>
          <w:rFonts w:ascii="Arial" w:cs="Arial" w:eastAsia="Arial" w:hAnsi="Arial"/>
        </w:rPr>
        <w:t xml:space="preserve"/>
      </w:r>
    </w:p>
    <w:p>
      <w:pPr>
        <w:spacing w:after="60" w:before="60"/>
      </w:pPr>
      <w:r>
        <w:rPr>
          <w:rFonts w:ascii="Arial" w:cs="Arial" w:eastAsia="Arial" w:hAnsi="Arial"/>
          <w:color w:val="222222"/>
          <w:sz w:val="20"/>
          <w:szCs w:val="20"/>
        </w:rPr>
        <w:t xml:space="preserve">The trigger was not gradual ambition — it was a specific, concrete mandate. The World Bank asked us to implement our skills and solutions across 60 countries over the next four years. That is not a pipeline. That is proof of concept at scale before we have even officially launched. The question at Hei~Bos was simple: are we serious enough to build the firm that mandate deserves?</w:t>
      </w:r>
    </w:p>
    <w:p>
      <w:pPr>
        <w:spacing w:after="0" w:before="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c>
          <w:tcPr>
            <w:tcW w:type="dxa" w:w="16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vAlign w:val="center"/>
          </w:tcPr>
          <w:p>
            <w:pPr>
              <w:jc w:val="center"/>
            </w:pPr>
            <w:r>
              <w:rPr>
                <w:rFonts w:ascii="Arial" w:cs="Arial" w:eastAsia="Arial" w:hAnsi="Arial"/>
                <w:b/>
                <w:bCs/>
                <w:caps/>
                <w:color w:val="C09A0A"/>
                <w:sz w:val="17"/>
                <w:szCs w:val="17"/>
              </w:rPr>
              <w:t xml:space="preserve">STARTING POINT</w:t>
            </w:r>
          </w:p>
        </w:tc>
        <w:tc>
          <w:tcPr>
            <w:tcW w:type="dxa" w:w="8038"/>
            <w:tcBorders>
              <w:top w:val="none" w:color="FFFFFF" w:sz="0"/>
              <w:left w:val="none" w:color="FFFFFF" w:sz="0"/>
              <w:bottom w:val="none" w:color="FFFFFF" w:sz="0"/>
              <w:right w:val="none" w:color="FFFFFF" w:sz="0"/>
            </w:tcBorders>
            <w:shd w:fill="D0EBEC" w:val="clear"/>
            <w:tcMar>
              <w:top w:type="dxa" w:w="120"/>
              <w:left w:type="dxa" w:w="180"/>
              <w:bottom w:type="dxa" w:w="120"/>
              <w:right w:type="dxa" w:w="160"/>
            </w:tcMar>
          </w:tcPr>
          <w:p>
            <w:r>
              <w:rPr>
                <w:rFonts w:ascii="Arial" w:cs="Arial" w:eastAsia="Arial" w:hAnsi="Arial"/>
                <w:i/>
                <w:iCs/>
                <w:color w:val="1A3A5C"/>
                <w:sz w:val="19"/>
                <w:szCs w:val="19"/>
              </w:rPr>
              <w:t xml:space="preserve">By the end of day two we had stopped preparing and started building. We left with a company, not a concept.</w:t>
            </w:r>
          </w:p>
        </w:tc>
      </w:tr>
    </w:tbl>
    <w:p>
      <w:pPr>
        <w:spacing w:after="0" w:before="80"/>
      </w:pPr>
      <w:r>
        <w:rPr>
          <w:rFonts w:ascii="Arial" w:cs="Arial" w:eastAsia="Arial" w:hAnsi="Arial"/>
        </w:rPr>
        <w:t xml:space="preserve"/>
      </w:r>
    </w:p>
    <w:p>
      <w:pPr>
        <w:pBdr>
          <w:bottom w:val="single" w:color="0D7377" w:sz="4" w:space="1"/>
        </w:pBdr>
        <w:spacing w:after="100" w:before="320"/>
      </w:pPr>
      <w:r>
        <w:rPr>
          <w:rFonts w:ascii="Arial" w:cs="Arial" w:eastAsia="Arial" w:hAnsi="Arial"/>
          <w:b/>
          <w:bCs/>
          <w:caps/>
          <w:color w:val="1A3A5C"/>
          <w:sz w:val="26"/>
          <w:szCs w:val="26"/>
        </w:rPr>
        <w:t xml:space="preserve">2. What We Prepared Before the Offsite</w:t>
      </w:r>
    </w:p>
    <w:p>
      <w:pPr>
        <w:spacing w:after="60" w:before="60"/>
      </w:pPr>
      <w:r>
        <w:rPr>
          <w:rFonts w:ascii="Arial" w:cs="Arial" w:eastAsia="Arial" w:hAnsi="Arial"/>
          <w:color w:val="222222"/>
          <w:sz w:val="20"/>
          <w:szCs w:val="20"/>
        </w:rPr>
        <w:t xml:space="preserve">To make the two days count, each founder came with a specific pre-work assignment designed to force real thinking before the room.</w:t>
      </w:r>
    </w:p>
    <w:p>
      <w:pPr>
        <w:spacing w:after="0" w:before="40"/>
      </w:pPr>
      <w:r>
        <w:rPr>
          <w:rFonts w:ascii="Arial" w:cs="Arial" w:eastAsia="Arial" w:hAnsi="Arial"/>
        </w:rPr>
        <w:t xml:space="preserve"/>
      </w:r>
    </w:p>
    <w:p>
      <w:pPr>
        <w:spacing w:after="80" w:before="220"/>
      </w:pPr>
      <w:r>
        <w:rPr>
          <w:rFonts w:ascii="Arial" w:cs="Arial" w:eastAsia="Arial" w:hAnsi="Arial"/>
          <w:b/>
          <w:bCs/>
          <w:color w:val="0D7377"/>
          <w:sz w:val="22"/>
          <w:szCs w:val="22"/>
        </w:rPr>
        <w:t xml:space="preserve">Chantal — World Bank Backward Map</w:t>
      </w:r>
    </w:p>
    <w:p>
      <w:pPr>
        <w:spacing w:after="60" w:before="60"/>
      </w:pPr>
      <w:r>
        <w:rPr>
          <w:rFonts w:ascii="Arial" w:cs="Arial" w:eastAsia="Arial" w:hAnsi="Arial"/>
          <w:color w:val="222222"/>
          <w:sz w:val="20"/>
          <w:szCs w:val="20"/>
        </w:rPr>
        <w:t xml:space="preserve">Working backwards from the four-year World Bank mandate: what does success look like in year four, and what must be true in year one to make that possible? The exercise was designed to ground the offsite in obligation, not aspiration.</w:t>
      </w:r>
    </w:p>
    <w:p>
      <w:pPr>
        <w:spacing w:after="80" w:before="220"/>
      </w:pPr>
      <w:r>
        <w:rPr>
          <w:rFonts w:ascii="Arial" w:cs="Arial" w:eastAsia="Arial" w:hAnsi="Arial"/>
          <w:b/>
          <w:bCs/>
          <w:color w:val="0D7377"/>
          <w:sz w:val="22"/>
          <w:szCs w:val="22"/>
        </w:rPr>
        <w:t xml:space="preserve">Britt — Service Portfolio Sketch</w:t>
      </w:r>
    </w:p>
    <w:p>
      <w:pPr>
        <w:spacing w:after="60" w:before="60"/>
      </w:pPr>
      <w:r>
        <w:rPr>
          <w:rFonts w:ascii="Arial" w:cs="Arial" w:eastAsia="Arial" w:hAnsi="Arial"/>
          <w:color w:val="222222"/>
          <w:sz w:val="20"/>
          <w:szCs w:val="20"/>
        </w:rPr>
        <w:t xml:space="preserve">A structured sketch of our full service offering: what could Unlockt actually deliver, at what level of maturity, and through what combination of advisory, training and certification? This became the raw material for the revenue architecture we built on day two.</w:t>
      </w:r>
    </w:p>
    <w:p>
      <w:pPr>
        <w:spacing w:after="80" w:before="220"/>
      </w:pPr>
      <w:r>
        <w:rPr>
          <w:rFonts w:ascii="Arial" w:cs="Arial" w:eastAsia="Arial" w:hAnsi="Arial"/>
          <w:b/>
          <w:bCs/>
          <w:color w:val="0D7377"/>
          <w:sz w:val="22"/>
          <w:szCs w:val="22"/>
        </w:rPr>
        <w:t xml:space="preserve">Shared Pre-Work Question for All Three</w:t>
      </w:r>
    </w:p>
    <w:p>
      <w:pPr>
        <w:spacing w:after="60" w:before="60"/>
      </w:pPr>
      <w:r>
        <w:rPr>
          <w:rFonts w:ascii="Arial" w:cs="Arial" w:eastAsia="Arial" w:hAnsi="Arial"/>
          <w:color w:val="222222"/>
          <w:sz w:val="20"/>
          <w:szCs w:val="20"/>
        </w:rPr>
        <w:t xml:space="preserve">Each founder answered the same question independently before arriving: How does the company look according to you? This was intentionally open — the purpose was to surface divergence early, not to arrive at alignment on paper before testing it in the room.</w:t>
      </w:r>
    </w:p>
    <w:p>
      <w:pPr>
        <w:spacing w:after="80" w:before="220"/>
      </w:pPr>
      <w:r>
        <w:rPr>
          <w:rFonts w:ascii="Arial" w:cs="Arial" w:eastAsia="Arial" w:hAnsi="Arial"/>
          <w:b/>
          <w:bCs/>
          <w:color w:val="0D7377"/>
          <w:sz w:val="22"/>
          <w:szCs w:val="22"/>
        </w:rPr>
        <w:t xml:space="preserve">Positioning One-Pager (Commercial Lead)</w:t>
      </w:r>
    </w:p>
    <w:p>
      <w:pPr>
        <w:spacing w:after="60" w:before="60"/>
      </w:pPr>
      <w:r>
        <w:rPr>
          <w:rFonts w:ascii="Arial" w:cs="Arial" w:eastAsia="Arial" w:hAnsi="Arial"/>
          <w:color w:val="222222"/>
          <w:sz w:val="20"/>
          <w:szCs w:val="20"/>
        </w:rPr>
        <w:t xml:space="preserve">A first draft of Unlockt's market positioning was built ahead of the session, covering who we are, who we serve, what makes us different and the commercial argument for why now. The centrepiece of that argument: the largest wealth transfer in history is happening right now — the baby boom generation is passing away, women live longer, and women are inheriting money. Most financial institutions are not built for this. We are.</w:t>
      </w:r>
    </w:p>
    <w:p>
      <w:pPr>
        <w:spacing w:after="0" w:before="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c>
          <w:tcPr>
            <w:tcW w:type="dxa" w:w="16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vAlign w:val="center"/>
          </w:tcPr>
          <w:p>
            <w:pPr>
              <w:jc w:val="center"/>
            </w:pPr>
            <w:r>
              <w:rPr>
                <w:rFonts w:ascii="Arial" w:cs="Arial" w:eastAsia="Arial" w:hAnsi="Arial"/>
                <w:b/>
                <w:bCs/>
                <w:caps/>
                <w:color w:val="C09A0A"/>
                <w:sz w:val="17"/>
                <w:szCs w:val="17"/>
              </w:rPr>
              <w:t xml:space="preserve">FORCING FUNCTION</w:t>
            </w:r>
          </w:p>
        </w:tc>
        <w:tc>
          <w:tcPr>
            <w:tcW w:type="dxa" w:w="8038"/>
            <w:tcBorders>
              <w:top w:val="none" w:color="FFFFFF" w:sz="0"/>
              <w:left w:val="none" w:color="FFFFFF" w:sz="0"/>
              <w:bottom w:val="none" w:color="FFFFFF" w:sz="0"/>
              <w:right w:val="none" w:color="FFFFFF" w:sz="0"/>
            </w:tcBorders>
            <w:shd w:fill="D0EBEC" w:val="clear"/>
            <w:tcMar>
              <w:top w:type="dxa" w:w="120"/>
              <w:left w:type="dxa" w:w="180"/>
              <w:bottom w:type="dxa" w:w="120"/>
              <w:right w:type="dxa" w:w="160"/>
            </w:tcMar>
          </w:tcPr>
          <w:p>
            <w:r>
              <w:rPr>
                <w:rFonts w:ascii="Arial" w:cs="Arial" w:eastAsia="Arial" w:hAnsi="Arial"/>
                <w:i/>
                <w:iCs/>
                <w:color w:val="1A3A5C"/>
                <w:sz w:val="19"/>
                <w:szCs w:val="19"/>
              </w:rPr>
              <w:t xml:space="preserve">The pre-work was not optional preparation. It was the first commitment test: who arrives with real thinking, and who arrives hoping the room will do it for them.</w:t>
            </w:r>
          </w:p>
        </w:tc>
      </w:tr>
    </w:tbl>
    <w:p>
      <w:r>
        <w:br w:type="page"/>
      </w:r>
    </w:p>
    <w:p>
      <w:pPr>
        <w:pBdr>
          <w:bottom w:val="single" w:color="0D7377" w:sz="4" w:space="1"/>
        </w:pBdr>
        <w:spacing w:after="100" w:before="320"/>
      </w:pPr>
      <w:r>
        <w:rPr>
          <w:rFonts w:ascii="Arial" w:cs="Arial" w:eastAsia="Arial" w:hAnsi="Arial"/>
          <w:b/>
          <w:bCs/>
          <w:caps/>
          <w:color w:val="1A3A5C"/>
          <w:sz w:val="26"/>
          <w:szCs w:val="26"/>
        </w:rPr>
        <w:t xml:space="preserve">3. What We Built at Hei~Bos</w:t>
      </w:r>
    </w:p>
    <w:p>
      <w:pPr>
        <w:spacing w:after="80" w:before="220"/>
      </w:pPr>
      <w:r>
        <w:rPr>
          <w:rFonts w:ascii="Arial" w:cs="Arial" w:eastAsia="Arial" w:hAnsi="Arial"/>
          <w:b/>
          <w:bCs/>
          <w:color w:val="0D7377"/>
          <w:sz w:val="22"/>
          <w:szCs w:val="22"/>
        </w:rPr>
        <w:t xml:space="preserve">Our Identity</w:t>
      </w:r>
    </w:p>
    <w:p>
      <w:pPr>
        <w:spacing w:after="60" w:before="60"/>
      </w:pPr>
      <w:r>
        <w:rPr>
          <w:rFonts w:ascii="Arial" w:cs="Arial" w:eastAsia="Arial" w:hAnsi="Arial"/>
          <w:color w:val="222222"/>
          <w:sz w:val="20"/>
          <w:szCs w:val="20"/>
        </w:rPr>
        <w:t xml:space="preserve">The most important decision of the offsite was identity. We are not a DEI consultancy. We are not a training company. We are a global movement helping financial institutions grow from awareness to action — and we do it through a fact-based, financially-grounded methodology that makes the business case impossible to ignore.</w:t>
      </w:r>
    </w:p>
    <w:p>
      <w:pPr>
        <w:spacing w:after="0" w:before="40"/>
      </w:pPr>
      <w:r>
        <w:rPr>
          <w:rFonts w:ascii="Arial" w:cs="Arial" w:eastAsia="Arial" w:hAnsi="Arial"/>
        </w:rPr>
        <w:t xml:space="preserve"/>
      </w:r>
    </w:p>
    <w:p>
      <w:pPr>
        <w:spacing w:after="60" w:before="60"/>
      </w:pPr>
      <w:r>
        <w:rPr>
          <w:rFonts w:ascii="Arial" w:cs="Arial" w:eastAsia="Arial" w:hAnsi="Arial"/>
          <w:color w:val="222222"/>
          <w:sz w:val="20"/>
          <w:szCs w:val="20"/>
        </w:rPr>
        <w:t xml:space="preserve">Out of scope was written down explicitly and agreed by all three founders: no general culture change programmes, no broad DEI work for organisations outside financial services, no positioning as a traditional consultancy. This discipline is our competitive advantage.</w:t>
      </w:r>
    </w:p>
    <w:p>
      <w:pPr>
        <w:spacing w:after="80" w:before="220"/>
      </w:pPr>
      <w:r>
        <w:rPr>
          <w:rFonts w:ascii="Arial" w:cs="Arial" w:eastAsia="Arial" w:hAnsi="Arial"/>
          <w:b/>
          <w:bCs/>
          <w:color w:val="0D7377"/>
          <w:sz w:val="22"/>
          <w:szCs w:val="22"/>
        </w:rPr>
        <w:t xml:space="preserve">The Gender Capital Lab™ Framework</w:t>
      </w:r>
    </w:p>
    <w:p>
      <w:pPr>
        <w:spacing w:after="60" w:before="60"/>
      </w:pPr>
      <w:r>
        <w:rPr>
          <w:rFonts w:ascii="Arial" w:cs="Arial" w:eastAsia="Arial" w:hAnsi="Arial"/>
          <w:color w:val="222222"/>
          <w:sz w:val="20"/>
          <w:szCs w:val="20"/>
        </w:rPr>
        <w:t xml:space="preserve">The core intellectual product that emerged from the session is a four-step methodology we have named the Gender Capital Lab™. It is the systematic approach through which financial institutions move from diagnosis to embedded, scaled change.</w:t>
      </w:r>
    </w:p>
    <w:p>
      <w:pPr>
        <w:spacing w:after="0" w:before="4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222222"/>
          <w:sz w:val="20"/>
          <w:szCs w:val="20"/>
        </w:rPr>
        <w:t xml:space="preserve">DIAGNOSE — Gender Lens Framework: Data-driven analysis of where a financial institution is leaving money on the table. Covers gender gap analysis in portfolio, funnel analysis, product-fit audit and client behaviour mapping versus product assumptions. Output: an opportunity map with quantified business potential.</w:t>
      </w:r>
    </w:p>
    <w:p>
      <w:pPr>
        <w:pStyle w:val="ListParagraph"/>
        <w:numPr>
          <w:ilvl w:val="0"/>
          <w:numId w:val="2"/>
        </w:numPr>
        <w:spacing w:after="40" w:before="40"/>
      </w:pPr>
      <w:r>
        <w:rPr>
          <w:rFonts w:ascii="Arial" w:cs="Arial" w:eastAsia="Arial" w:hAnsi="Arial"/>
          <w:color w:val="222222"/>
          <w:sz w:val="20"/>
          <w:szCs w:val="20"/>
        </w:rPr>
        <w:t xml:space="preserve">STRATEGISE — Opportunity Map: Turning the diagnosis into an executive-ready strategy. We build a fact-based business case that frames gender-lens finance as a commercial imperative, not a values choice. Output: investment-grade strategy and business case.</w:t>
      </w:r>
    </w:p>
    <w:p>
      <w:pPr>
        <w:pStyle w:val="ListParagraph"/>
        <w:numPr>
          <w:ilvl w:val="0"/>
          <w:numId w:val="2"/>
        </w:numPr>
        <w:spacing w:after="40" w:before="40"/>
      </w:pPr>
      <w:r>
        <w:rPr>
          <w:rFonts w:ascii="Arial" w:cs="Arial" w:eastAsia="Arial" w:hAnsi="Arial"/>
          <w:color w:val="222222"/>
          <w:sz w:val="20"/>
          <w:szCs w:val="20"/>
        </w:rPr>
        <w:t xml:space="preserve">BUILD &amp; TEST — Academy and Pilots: Training internal teams, building a pipeline of certified practitioners (Associate → Advisor → Fellow) and piloting improved products and propositions in a controlled environment. Output: validated solutions and a certified internal capability.</w:t>
      </w:r>
    </w:p>
    <w:p>
      <w:pPr>
        <w:pStyle w:val="ListParagraph"/>
        <w:numPr>
          <w:ilvl w:val="0"/>
          <w:numId w:val="2"/>
        </w:numPr>
        <w:spacing w:after="40" w:before="40"/>
      </w:pPr>
      <w:r>
        <w:rPr>
          <w:rFonts w:ascii="Arial" w:cs="Arial" w:eastAsia="Arial" w:hAnsi="Arial"/>
          <w:color w:val="222222"/>
          <w:sz w:val="20"/>
          <w:szCs w:val="20"/>
        </w:rPr>
        <w:t xml:space="preserve">MEASURE &amp; SCALE — Embed and Grow: Rigorous impact measurement and a strategy for embedding proven interventions across the organisation and scaling them as a market signal. Output: proven impact data and a scaling strategy.</w:t>
      </w:r>
    </w:p>
    <w:p>
      <w:pPr>
        <w:spacing w:after="80" w:before="220"/>
      </w:pPr>
      <w:r>
        <w:rPr>
          <w:rFonts w:ascii="Arial" w:cs="Arial" w:eastAsia="Arial" w:hAnsi="Arial"/>
          <w:b/>
          <w:bCs/>
          <w:color w:val="0D7377"/>
          <w:sz w:val="22"/>
          <w:szCs w:val="22"/>
        </w:rPr>
        <w:t xml:space="preserve">Revenue Architecture</w:t>
      </w:r>
    </w:p>
    <w:p>
      <w:pPr>
        <w:spacing w:after="60" w:before="60"/>
      </w:pPr>
      <w:r>
        <w:rPr>
          <w:rFonts w:ascii="Arial" w:cs="Arial" w:eastAsia="Arial" w:hAnsi="Arial"/>
          <w:color w:val="222222"/>
          <w:sz w:val="20"/>
          <w:szCs w:val="20"/>
        </w:rPr>
        <w:t xml:space="preserve">Five interlocking revenue streams were designed and agreed, each building on the previous and increasing client depth over time.</w:t>
      </w:r>
    </w:p>
    <w:p>
      <w:pPr>
        <w:spacing w:after="0" w:before="4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222222"/>
          <w:sz w:val="20"/>
          <w:szCs w:val="20"/>
        </w:rPr>
        <w:t xml:space="preserve">Readiness Scan: Entry product. AI-enabled diagnostic that produces a zero measurement and a readiness rating (A through D). Fast, affordable, creates the business case for the next step.</w:t>
      </w:r>
    </w:p>
    <w:p>
      <w:pPr>
        <w:pStyle w:val="ListParagraph"/>
        <w:numPr>
          <w:ilvl w:val="0"/>
          <w:numId w:val="2"/>
        </w:numPr>
        <w:spacing w:after="40" w:before="40"/>
      </w:pPr>
      <w:r>
        <w:rPr>
          <w:rFonts w:ascii="Arial" w:cs="Arial" w:eastAsia="Arial" w:hAnsi="Arial"/>
          <w:color w:val="222222"/>
          <w:sz w:val="20"/>
          <w:szCs w:val="20"/>
        </w:rPr>
        <w:t xml:space="preserve">Advisory Trajectory: The core engagement — bespoke work across employee and organisation, data, marketing and communications, ecosystems and propositions. Menu-based: clients choose their modules.</w:t>
      </w:r>
    </w:p>
    <w:p>
      <w:pPr>
        <w:pStyle w:val="ListParagraph"/>
        <w:numPr>
          <w:ilvl w:val="0"/>
          <w:numId w:val="2"/>
        </w:numPr>
        <w:spacing w:after="40" w:before="40"/>
      </w:pPr>
      <w:r>
        <w:rPr>
          <w:rFonts w:ascii="Arial" w:cs="Arial" w:eastAsia="Arial" w:hAnsi="Arial"/>
          <w:color w:val="222222"/>
          <w:sz w:val="20"/>
          <w:szCs w:val="20"/>
        </w:rPr>
        <w:t xml:space="preserve">Academy and Certification: Train and certify internal practitioners at Associate, Advisor and Fellow level. Organisations earn the 'Certified Gender Lab' status. This builds our partner network while generating revenue.</w:t>
      </w:r>
    </w:p>
    <w:p>
      <w:pPr>
        <w:pStyle w:val="ListParagraph"/>
        <w:numPr>
          <w:ilvl w:val="0"/>
          <w:numId w:val="2"/>
        </w:numPr>
        <w:spacing w:after="40" w:before="40"/>
      </w:pPr>
      <w:r>
        <w:rPr>
          <w:rFonts w:ascii="Arial" w:cs="Arial" w:eastAsia="Arial" w:hAnsi="Arial"/>
          <w:color w:val="222222"/>
          <w:sz w:val="20"/>
          <w:szCs w:val="20"/>
        </w:rPr>
        <w:t xml:space="preserve">Membership Community: Recurring subscription. Peer learning, tools, benchmarks and content for certified organisations. Scales without headcount.</w:t>
      </w:r>
    </w:p>
    <w:p>
      <w:pPr>
        <w:pStyle w:val="ListParagraph"/>
        <w:numPr>
          <w:ilvl w:val="0"/>
          <w:numId w:val="2"/>
        </w:numPr>
        <w:spacing w:after="40" w:before="40"/>
      </w:pPr>
      <w:r>
        <w:rPr>
          <w:rFonts w:ascii="Arial" w:cs="Arial" w:eastAsia="Arial" w:hAnsi="Arial"/>
          <w:color w:val="222222"/>
          <w:sz w:val="20"/>
          <w:szCs w:val="20"/>
        </w:rPr>
        <w:t xml:space="preserve">Platform (Year 2–3): Digital layer — content for men (allyship tracks), AI-assisted advisory, continuous scan capability. Designed to be low-touch and high-margin.</w:t>
      </w:r>
    </w:p>
    <w:p>
      <w:pPr>
        <w:spacing w:after="0" w:before="40"/>
      </w:pPr>
      <w:r>
        <w:rPr>
          <w:rFonts w:ascii="Arial" w:cs="Arial" w:eastAsia="Arial" w:hAnsi="Arial"/>
        </w:rPr>
        <w:t xml:space="preserve"/>
      </w:r>
    </w:p>
    <w:p>
      <w:pPr>
        <w:spacing w:after="60" w:before="60"/>
      </w:pPr>
      <w:r>
        <w:rPr>
          <w:rFonts w:ascii="Arial" w:cs="Arial" w:eastAsia="Arial" w:hAnsi="Arial"/>
          <w:color w:val="222222"/>
          <w:sz w:val="20"/>
          <w:szCs w:val="20"/>
        </w:rPr>
        <w:t xml:space="preserve">A crowdfunding and funder panel model was also sketched: a database of aligned funders who co-invest in solutions and products, participate in the development process and receive a dividend on commercial success. This is the Year 3 innovation agenda.</w:t>
      </w:r>
    </w:p>
    <w:p>
      <w:pPr>
        <w:spacing w:after="80" w:before="220"/>
      </w:pPr>
      <w:r>
        <w:rPr>
          <w:rFonts w:ascii="Arial" w:cs="Arial" w:eastAsia="Arial" w:hAnsi="Arial"/>
          <w:b/>
          <w:bCs/>
          <w:color w:val="0D7377"/>
          <w:sz w:val="22"/>
          <w:szCs w:val="22"/>
        </w:rPr>
        <w:t xml:space="preserve">Network and Market</w:t>
      </w:r>
    </w:p>
    <w:p>
      <w:pPr>
        <w:spacing w:after="60" w:before="60"/>
      </w:pPr>
      <w:r>
        <w:rPr>
          <w:rFonts w:ascii="Arial" w:cs="Arial" w:eastAsia="Arial" w:hAnsi="Arial"/>
          <w:color w:val="222222"/>
          <w:sz w:val="20"/>
          <w:szCs w:val="20"/>
        </w:rPr>
        <w:t xml:space="preserve">The session produced a clear network map with two dimensions: global institutions (World Bank, EIB, Financial Alliance for Women) and Dutch/European financial institutions (ING, Van Lanschot, Insinger Gillissen, Code V, intermediaries including accountants and mortgage brokers). Consultancy firms — EY, PwC and Deloitte — were identified as both competitors and potential distribution partners. The question of how to position relative to the Big Four was flagged as a strategic priority for the April prospect list work.</w:t>
      </w:r>
    </w:p>
    <w:p>
      <w:pPr>
        <w:spacing w:after="80" w:before="220"/>
      </w:pPr>
      <w:r>
        <w:rPr>
          <w:rFonts w:ascii="Arial" w:cs="Arial" w:eastAsia="Arial" w:hAnsi="Arial"/>
          <w:b/>
          <w:bCs/>
          <w:color w:val="0D7377"/>
          <w:sz w:val="22"/>
          <w:szCs w:val="22"/>
        </w:rPr>
        <w:t xml:space="preserve">Unlocked Business Potential — The 5 Dimensions</w:t>
      </w:r>
    </w:p>
    <w:p>
      <w:pPr>
        <w:spacing w:after="60" w:before="60"/>
      </w:pPr>
      <w:r>
        <w:rPr>
          <w:rFonts w:ascii="Arial" w:cs="Arial" w:eastAsia="Arial" w:hAnsi="Arial"/>
          <w:color w:val="222222"/>
          <w:sz w:val="20"/>
          <w:szCs w:val="20"/>
        </w:rPr>
        <w:t xml:space="preserve">We mapped the five specific dimensions through which a financial institution can unlock business potential with a gender lens. These form the analytical backbone of both the Readiness Scan and the Advisory Trajectory.</w:t>
      </w:r>
    </w:p>
    <w:p>
      <w:pPr>
        <w:spacing w:after="0" w:before="4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222222"/>
          <w:sz w:val="20"/>
          <w:szCs w:val="20"/>
        </w:rPr>
        <w:t xml:space="preserve">Employee &amp; Organisation — Bias in people and systems</w:t>
      </w:r>
    </w:p>
    <w:p>
      <w:pPr>
        <w:pStyle w:val="ListParagraph"/>
        <w:numPr>
          <w:ilvl w:val="0"/>
          <w:numId w:val="2"/>
        </w:numPr>
        <w:spacing w:after="40" w:before="40"/>
      </w:pPr>
      <w:r>
        <w:rPr>
          <w:rFonts w:ascii="Arial" w:cs="Arial" w:eastAsia="Arial" w:hAnsi="Arial"/>
          <w:color w:val="222222"/>
          <w:sz w:val="20"/>
          <w:szCs w:val="20"/>
        </w:rPr>
        <w:t xml:space="preserve">Data — Revenue analysis, funnel data, reputation metrics (NPS, complaints)</w:t>
      </w:r>
    </w:p>
    <w:p>
      <w:pPr>
        <w:pStyle w:val="ListParagraph"/>
        <w:numPr>
          <w:ilvl w:val="0"/>
          <w:numId w:val="2"/>
        </w:numPr>
        <w:spacing w:after="40" w:before="40"/>
      </w:pPr>
      <w:r>
        <w:rPr>
          <w:rFonts w:ascii="Arial" w:cs="Arial" w:eastAsia="Arial" w:hAnsi="Arial"/>
          <w:color w:val="222222"/>
          <w:sz w:val="20"/>
          <w:szCs w:val="20"/>
        </w:rPr>
        <w:t xml:space="preserve">Marketing &amp; Communications — Training marcom teams, enabling continuous scanning</w:t>
      </w:r>
    </w:p>
    <w:p>
      <w:pPr>
        <w:pStyle w:val="ListParagraph"/>
        <w:numPr>
          <w:ilvl w:val="0"/>
          <w:numId w:val="2"/>
        </w:numPr>
        <w:spacing w:after="40" w:before="40"/>
      </w:pPr>
      <w:r>
        <w:rPr>
          <w:rFonts w:ascii="Arial" w:cs="Arial" w:eastAsia="Arial" w:hAnsi="Arial"/>
          <w:color w:val="222222"/>
          <w:sz w:val="20"/>
          <w:szCs w:val="20"/>
        </w:rPr>
        <w:t xml:space="preserve">Ecosystems — External partnerships and referral networks</w:t>
      </w:r>
    </w:p>
    <w:p>
      <w:pPr>
        <w:pStyle w:val="ListParagraph"/>
        <w:numPr>
          <w:ilvl w:val="0"/>
          <w:numId w:val="2"/>
        </w:numPr>
        <w:spacing w:after="40" w:before="40"/>
      </w:pPr>
      <w:r>
        <w:rPr>
          <w:rFonts w:ascii="Arial" w:cs="Arial" w:eastAsia="Arial" w:hAnsi="Arial"/>
          <w:color w:val="222222"/>
          <w:sz w:val="20"/>
          <w:szCs w:val="20"/>
        </w:rPr>
        <w:t xml:space="preserve">Propositions — Aligning products to the actual needs of women clients</w:t>
      </w:r>
    </w:p>
    <w:p>
      <w:pPr>
        <w:spacing w:after="80" w:before="220"/>
      </w:pPr>
      <w:r>
        <w:rPr>
          <w:rFonts w:ascii="Arial" w:cs="Arial" w:eastAsia="Arial" w:hAnsi="Arial"/>
          <w:b/>
          <w:bCs/>
          <w:color w:val="0D7377"/>
          <w:sz w:val="22"/>
          <w:szCs w:val="22"/>
        </w:rPr>
        <w:t xml:space="preserve">Success Defined</w:t>
      </w:r>
    </w:p>
    <w:p>
      <w:pPr>
        <w:spacing w:after="60" w:before="60"/>
      </w:pPr>
      <w:r>
        <w:rPr>
          <w:rFonts w:ascii="Arial" w:cs="Arial" w:eastAsia="Arial" w:hAnsi="Arial"/>
          <w:color w:val="222222"/>
          <w:sz w:val="20"/>
          <w:szCs w:val="20"/>
        </w:rPr>
        <w:t xml:space="preserve">The founders agreed a concrete definition of success for Year 3: match our current ABN AMRO salaries while working 50 percent of the time. Two dimensions of meaning were also named: mission-driven satisfaction, and proximity to political and influential decision-makers. The target is not just financial independence — it is impact at the level where policy and capital meet.</w:t>
      </w:r>
    </w:p>
    <w:p>
      <w:pPr>
        <w:spacing w:after="0" w:before="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c>
          <w:tcPr>
            <w:tcW w:type="dxa" w:w="16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vAlign w:val="center"/>
          </w:tcPr>
          <w:p>
            <w:pPr>
              <w:jc w:val="center"/>
            </w:pPr>
            <w:r>
              <w:rPr>
                <w:rFonts w:ascii="Arial" w:cs="Arial" w:eastAsia="Arial" w:hAnsi="Arial"/>
                <w:b/>
                <w:bCs/>
                <w:caps/>
                <w:color w:val="C09A0A"/>
                <w:sz w:val="17"/>
                <w:szCs w:val="17"/>
              </w:rPr>
              <w:t xml:space="preserve">KEY TENSION UNRESOLVED</w:t>
            </w:r>
          </w:p>
        </w:tc>
        <w:tc>
          <w:tcPr>
            <w:tcW w:type="dxa" w:w="8038"/>
            <w:tcBorders>
              <w:top w:val="none" w:color="FFFFFF" w:sz="0"/>
              <w:left w:val="none" w:color="FFFFFF" w:sz="0"/>
              <w:bottom w:val="none" w:color="FFFFFF" w:sz="0"/>
              <w:right w:val="none" w:color="FFFFFF" w:sz="0"/>
            </w:tcBorders>
            <w:shd w:fill="D0EBEC" w:val="clear"/>
            <w:tcMar>
              <w:top w:type="dxa" w:w="120"/>
              <w:left w:type="dxa" w:w="180"/>
              <w:bottom w:type="dxa" w:w="120"/>
              <w:right w:type="dxa" w:w="160"/>
            </w:tcMar>
          </w:tcPr>
          <w:p>
            <w:r>
              <w:rPr>
                <w:rFonts w:ascii="Arial" w:cs="Arial" w:eastAsia="Arial" w:hAnsi="Arial"/>
                <w:i/>
                <w:iCs/>
                <w:color w:val="1A3A5C"/>
                <w:sz w:val="19"/>
                <w:szCs w:val="19"/>
              </w:rPr>
              <w:t xml:space="preserve">Is 'Gender Capital Lab™' a sub-brand of Unlockt, or does it become the primary brand? Financial institutions will respond faster to something that sounds built for them. This decision needs to be made before the first external pitch.</w:t>
            </w:r>
          </w:p>
        </w:tc>
      </w:tr>
    </w:tbl>
    <w:p>
      <w:r>
        <w:br w:type="page"/>
      </w:r>
    </w:p>
    <w:p>
      <w:pPr>
        <w:pBdr>
          <w:bottom w:val="single" w:color="0D7377" w:sz="4" w:space="1"/>
        </w:pBdr>
        <w:spacing w:after="100" w:before="320"/>
      </w:pPr>
      <w:r>
        <w:rPr>
          <w:rFonts w:ascii="Arial" w:cs="Arial" w:eastAsia="Arial" w:hAnsi="Arial"/>
          <w:b/>
          <w:bCs/>
          <w:caps/>
          <w:color w:val="1A3A5C"/>
          <w:sz w:val="26"/>
          <w:szCs w:val="26"/>
        </w:rPr>
        <w:t xml:space="preserve">4. The 90-Day Sprint — April, May &amp; June</w:t>
      </w:r>
    </w:p>
    <w:p>
      <w:pPr>
        <w:spacing w:after="60" w:before="60"/>
      </w:pPr>
      <w:r>
        <w:rPr>
          <w:rFonts w:ascii="Arial" w:cs="Arial" w:eastAsia="Arial" w:hAnsi="Arial"/>
          <w:color w:val="222222"/>
          <w:sz w:val="20"/>
          <w:szCs w:val="20"/>
        </w:rPr>
        <w:t xml:space="preserve">The offsite produced a roadmap across April, May and June structured around three priorities: building the foundation in April, validating and selling in May, and closing first revenue while designing the product architecture in June. What follows is the full action plan with ownership.</w:t>
      </w:r>
    </w:p>
    <w:p>
      <w:pPr>
        <w:spacing w:after="0" w:before="12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746"/>
        <w:gridCol w:w="2746"/>
        <w:gridCol w:w="2746"/>
      </w:tblGrid>
      <w:tr>
        <w:tc>
          <w:tcPr>
            <w:tcW w:type="dxa" w:w="1400"/>
            <w:tcBorders>
              <w:top w:val="none" w:color="FFFFFF" w:sz="0"/>
              <w:left w:val="none" w:color="FFFFFF" w:sz="0"/>
              <w:bottom w:val="none" w:color="FFFFFF" w:sz="0"/>
              <w:right w:val="none" w:color="FFFFFF" w:sz="0"/>
            </w:tcBorders>
            <w:shd w:fill="C09A0A" w:val="clear"/>
            <w:tcMar>
              <w:top w:type="dxa" w:w="80"/>
              <w:left w:type="dxa" w:w="160"/>
              <w:bottom w:type="dxa" w:w="80"/>
              <w:right w:type="dxa" w:w="120"/>
            </w:tcMar>
          </w:tcPr>
          <w:p>
            <w:pPr>
              <w:jc w:val="center"/>
            </w:pPr>
            <w:r>
              <w:rPr>
                <w:rFonts w:ascii="Arial" w:cs="Arial" w:eastAsia="Arial" w:hAnsi="Arial"/>
                <w:b/>
                <w:bCs/>
                <w:caps/>
                <w:color w:val="FFFFFF"/>
                <w:sz w:val="17"/>
                <w:szCs w:val="17"/>
              </w:rPr>
              <w:t xml:space="preserve">MONTH</w:t>
            </w:r>
          </w:p>
        </w:tc>
        <w:tc>
          <w:tcPr>
            <w:tcW w:type="dxa" w:w="8238"/>
            <w:gridSpan w:val="3"/>
            <w:tcBorders>
              <w:top w:val="none" w:color="FFFFFF" w:sz="0"/>
              <w:left w:val="none" w:color="FFFFFF" w:sz="0"/>
              <w:bottom w:val="none" w:color="FFFFFF" w:sz="0"/>
              <w:right w:val="none" w:color="FFFFFF" w:sz="0"/>
            </w:tcBorders>
            <w:shd w:fill="C09A0A" w:val="clear"/>
            <w:tcMar>
              <w:top w:type="dxa" w:w="80"/>
              <w:left w:type="dxa" w:w="180"/>
              <w:bottom w:type="dxa" w:w="80"/>
              <w:right w:type="dxa" w:w="160"/>
            </w:tcMar>
          </w:tcPr>
          <w:p>
            <w:r>
              <w:rPr>
                <w:rFonts w:ascii="Arial" w:cs="Arial" w:eastAsia="Arial" w:hAnsi="Arial"/>
                <w:b/>
                <w:bCs/>
                <w:caps/>
                <w:color w:val="FFFFFF"/>
                <w:sz w:val="17"/>
                <w:szCs w:val="17"/>
              </w:rPr>
              <w:t xml:space="preserve">KEY ACTIONS &amp; OWNERS</w:t>
            </w:r>
          </w:p>
        </w:tc>
      </w:tr>
      <w:tr>
        <w:tc>
          <w:tcPr>
            <w:tcW w:type="dxa" w:w="1400"/>
            <w:tcBorders>
              <w:top w:val="none" w:color="FFFFFF" w:sz="0"/>
              <w:left w:val="none" w:color="FFFFFF" w:sz="0"/>
              <w:bottom w:val="none" w:color="FFFFFF" w:sz="0"/>
              <w:right w:val="none" w:color="FFFFFF" w:sz="0"/>
            </w:tcBorders>
            <w:shd w:fill="1A3A5C" w:val="clear"/>
            <w:tcMar>
              <w:top w:type="dxa" w:w="160"/>
              <w:left w:type="dxa" w:w="160"/>
              <w:bottom w:type="dxa" w:w="160"/>
              <w:right w:type="dxa" w:w="120"/>
            </w:tcMar>
            <w:vAlign w:val="center"/>
          </w:tcPr>
          <w:p>
            <w:pPr>
              <w:jc w:val="center"/>
            </w:pPr>
            <w:r>
              <w:rPr>
                <w:rFonts w:ascii="Arial" w:cs="Arial" w:eastAsia="Arial" w:hAnsi="Arial"/>
                <w:b/>
                <w:bCs/>
                <w:caps/>
                <w:color w:val="FFFFFF"/>
                <w:sz w:val="26"/>
                <w:szCs w:val="26"/>
              </w:rPr>
              <w:t xml:space="preserve">APRIL</w:t>
            </w:r>
          </w:p>
          <w:p>
            <w:pPr>
              <w:spacing w:before="60"/>
              <w:jc w:val="center"/>
            </w:pPr>
            <w:r>
              <w:rPr>
                <w:rFonts w:ascii="Arial" w:cs="Arial" w:eastAsia="Arial" w:hAnsi="Arial"/>
                <w:i/>
                <w:iCs/>
                <w:color w:val="D0EBEC"/>
                <w:sz w:val="16"/>
                <w:szCs w:val="16"/>
              </w:rPr>
              <w:t xml:space="preserve">Foundation &amp; First Clients</w:t>
            </w:r>
          </w:p>
        </w:tc>
        <w:tc>
          <w:tcPr>
            <w:tcW w:type="dxa" w:w="8238"/>
            <w:gridSpan w:val="3"/>
            <w:tcBorders>
              <w:top w:val="none" w:color="FFFFFF" w:sz="0"/>
              <w:left w:val="none" w:color="FFFFFF" w:sz="0"/>
              <w:bottom w:val="none" w:color="FFFFFF" w:sz="0"/>
              <w:right w:val="none" w:color="FFFFFF" w:sz="0"/>
            </w:tcBorders>
            <w:shd w:fill="1E4570" w:val="clear"/>
            <w:tcMar>
              <w:top w:type="dxa" w:w="140"/>
              <w:left w:type="dxa" w:w="180"/>
              <w:bottom w:type="dxa" w:w="140"/>
              <w:right w:type="dxa" w:w="160"/>
            </w:tcMar>
          </w:tcPr>
          <w:p>
            <w:pPr>
              <w:spacing w:after="50" w:before="50"/>
            </w:pPr>
            <w:r>
              <w:rPr>
                <w:rFonts w:ascii="Arial" w:cs="Arial" w:eastAsia="Arial" w:hAnsi="Arial"/>
                <w:b/>
                <w:bCs/>
                <w:color w:val="FFFFFF"/>
                <w:sz w:val="18"/>
                <w:szCs w:val="18"/>
              </w:rPr>
              <w:t xml:space="preserve">1.  </w:t>
            </w:r>
            <w:r>
              <w:rPr>
                <w:rFonts w:ascii="Arial" w:cs="Arial" w:eastAsia="Arial" w:hAnsi="Arial"/>
                <w:color w:val="FFFFFF"/>
                <w:sz w:val="18"/>
                <w:szCs w:val="18"/>
              </w:rPr>
              <w:t xml:space="preserve">Complete due diligence &amp; peer analysis (OYR benchmark)</w:t>
            </w:r>
          </w:p>
          <w:p>
            <w:pPr>
              <w:spacing w:after="50" w:before="50"/>
            </w:pPr>
            <w:r>
              <w:rPr>
                <w:rFonts w:ascii="Arial" w:cs="Arial" w:eastAsia="Arial" w:hAnsi="Arial"/>
                <w:b/>
                <w:bCs/>
                <w:color w:val="FFFFFF"/>
                <w:sz w:val="18"/>
                <w:szCs w:val="18"/>
              </w:rPr>
              <w:t xml:space="preserve">2.  </w:t>
            </w:r>
            <w:r>
              <w:rPr>
                <w:rFonts w:ascii="Arial" w:cs="Arial" w:eastAsia="Arial" w:hAnsi="Arial"/>
                <w:color w:val="FFFFFF"/>
                <w:sz w:val="18"/>
                <w:szCs w:val="18"/>
              </w:rPr>
              <w:t xml:space="preserve">Finalise huisstijl (visual identity / brand guide)</w:t>
            </w:r>
          </w:p>
          <w:p>
            <w:pPr>
              <w:spacing w:after="50" w:before="50"/>
            </w:pPr>
            <w:r>
              <w:rPr>
                <w:rFonts w:ascii="Arial" w:cs="Arial" w:eastAsia="Arial" w:hAnsi="Arial"/>
                <w:b/>
                <w:bCs/>
                <w:color w:val="FFFFFF"/>
                <w:sz w:val="18"/>
                <w:szCs w:val="18"/>
              </w:rPr>
              <w:t xml:space="preserve">3.  </w:t>
            </w:r>
            <w:r>
              <w:rPr>
                <w:rFonts w:ascii="Arial" w:cs="Arial" w:eastAsia="Arial" w:hAnsi="Arial"/>
                <w:color w:val="FFFFFF"/>
                <w:sz w:val="18"/>
                <w:szCs w:val="18"/>
              </w:rPr>
              <w:t xml:space="preserve">Set up shared Google Drive, tools and working agreements</w:t>
            </w:r>
          </w:p>
          <w:p>
            <w:pPr>
              <w:spacing w:after="50" w:before="50"/>
            </w:pPr>
            <w:r>
              <w:rPr>
                <w:rFonts w:ascii="Arial" w:cs="Arial" w:eastAsia="Arial" w:hAnsi="Arial"/>
                <w:b/>
                <w:bCs/>
                <w:color w:val="FFFFFF"/>
                <w:sz w:val="18"/>
                <w:szCs w:val="18"/>
              </w:rPr>
              <w:t xml:space="preserve">4.  </w:t>
            </w:r>
            <w:r>
              <w:rPr>
                <w:rFonts w:ascii="Arial" w:cs="Arial" w:eastAsia="Arial" w:hAnsi="Arial"/>
                <w:color w:val="FFFFFF"/>
                <w:sz w:val="18"/>
                <w:szCs w:val="18"/>
              </w:rPr>
              <w:t xml:space="preserve">Build and enrich prospect list (priority: financial services)</w:t>
            </w:r>
          </w:p>
          <w:p>
            <w:pPr>
              <w:spacing w:after="50" w:before="50"/>
            </w:pPr>
            <w:r>
              <w:rPr>
                <w:rFonts w:ascii="Arial" w:cs="Arial" w:eastAsia="Arial" w:hAnsi="Arial"/>
                <w:b/>
                <w:bCs/>
                <w:color w:val="FFFFFF"/>
                <w:sz w:val="18"/>
                <w:szCs w:val="18"/>
              </w:rPr>
              <w:t xml:space="preserve">5.  </w:t>
            </w:r>
            <w:r>
              <w:rPr>
                <w:rFonts w:ascii="Arial" w:cs="Arial" w:eastAsia="Arial" w:hAnsi="Arial"/>
                <w:color w:val="FFFFFF"/>
                <w:sz w:val="18"/>
                <w:szCs w:val="18"/>
              </w:rPr>
              <w:t xml:space="preserve">Finalise pitch deck (v1) — fact-based, no DEI fluff</w:t>
            </w:r>
          </w:p>
          <w:p>
            <w:pPr>
              <w:spacing w:after="50" w:before="50"/>
            </w:pPr>
            <w:r>
              <w:rPr>
                <w:rFonts w:ascii="Arial" w:cs="Arial" w:eastAsia="Arial" w:hAnsi="Arial"/>
                <w:b/>
                <w:bCs/>
                <w:color w:val="FFFFFF"/>
                <w:sz w:val="18"/>
                <w:szCs w:val="18"/>
              </w:rPr>
              <w:t xml:space="preserve">6.  </w:t>
            </w:r>
            <w:r>
              <w:rPr>
                <w:rFonts w:ascii="Arial" w:cs="Arial" w:eastAsia="Arial" w:hAnsi="Arial"/>
                <w:color w:val="FFFFFF"/>
                <w:sz w:val="18"/>
                <w:szCs w:val="18"/>
              </w:rPr>
              <w:t xml:space="preserve">Present ourselves as Unlockt for the first time (target: 2 meetings)</w:t>
            </w:r>
          </w:p>
          <w:p>
            <w:pPr>
              <w:spacing w:after="50" w:before="50"/>
            </w:pPr>
            <w:r>
              <w:rPr>
                <w:rFonts w:ascii="Arial" w:cs="Arial" w:eastAsia="Arial" w:hAnsi="Arial"/>
                <w:b/>
                <w:bCs/>
                <w:color w:val="FFFFFF"/>
                <w:sz w:val="18"/>
                <w:szCs w:val="18"/>
              </w:rPr>
              <w:t xml:space="preserve">7.  </w:t>
            </w:r>
            <w:r>
              <w:rPr>
                <w:rFonts w:ascii="Arial" w:cs="Arial" w:eastAsia="Arial" w:hAnsi="Arial"/>
                <w:color w:val="FFFFFF"/>
                <w:sz w:val="18"/>
                <w:szCs w:val="18"/>
              </w:rPr>
              <w:t xml:space="preserve">Agree commercial terms, contribution % and governance structure</w:t>
            </w:r>
          </w:p>
        </w:tc>
      </w:tr>
      <w:tr>
        <w:tc>
          <w:tcPr>
            <w:tcW w:type="dxa" w:w="1400"/>
            <w:tcBorders>
              <w:top w:val="none" w:color="FFFFFF" w:sz="0"/>
              <w:left w:val="none" w:color="FFFFFF" w:sz="0"/>
              <w:bottom w:val="none" w:color="FFFFFF" w:sz="0"/>
              <w:right w:val="none" w:color="FFFFFF" w:sz="0"/>
            </w:tcBorders>
            <w:shd w:fill="0D7377" w:val="clear"/>
            <w:tcMar>
              <w:top w:type="dxa" w:w="160"/>
              <w:left w:type="dxa" w:w="160"/>
              <w:bottom w:type="dxa" w:w="160"/>
              <w:right w:type="dxa" w:w="120"/>
            </w:tcMar>
            <w:vAlign w:val="center"/>
          </w:tcPr>
          <w:p>
            <w:pPr>
              <w:jc w:val="center"/>
            </w:pPr>
            <w:r>
              <w:rPr>
                <w:rFonts w:ascii="Arial" w:cs="Arial" w:eastAsia="Arial" w:hAnsi="Arial"/>
                <w:b/>
                <w:bCs/>
                <w:caps/>
                <w:color w:val="FFFFFF"/>
                <w:sz w:val="26"/>
                <w:szCs w:val="26"/>
              </w:rPr>
              <w:t xml:space="preserve">MEI</w:t>
            </w:r>
          </w:p>
          <w:p>
            <w:pPr>
              <w:spacing w:before="60"/>
              <w:jc w:val="center"/>
            </w:pPr>
            <w:r>
              <w:rPr>
                <w:rFonts w:ascii="Arial" w:cs="Arial" w:eastAsia="Arial" w:hAnsi="Arial"/>
                <w:i/>
                <w:iCs/>
                <w:color w:val="D0EBEC"/>
                <w:sz w:val="16"/>
                <w:szCs w:val="16"/>
              </w:rPr>
              <w:t xml:space="preserve">Validate &amp; Sell</w:t>
            </w:r>
          </w:p>
        </w:tc>
        <w:tc>
          <w:tcPr>
            <w:tcW w:type="dxa" w:w="8238"/>
            <w:gridSpan w:val="3"/>
            <w:tcBorders>
              <w:top w:val="none" w:color="FFFFFF" w:sz="0"/>
              <w:left w:val="none" w:color="FFFFFF" w:sz="0"/>
              <w:bottom w:val="none" w:color="FFFFFF" w:sz="0"/>
              <w:right w:val="none" w:color="FFFFFF" w:sz="0"/>
            </w:tcBorders>
            <w:shd w:fill="0F7A7E" w:val="clear"/>
            <w:tcMar>
              <w:top w:type="dxa" w:w="140"/>
              <w:left w:type="dxa" w:w="180"/>
              <w:bottom w:type="dxa" w:w="140"/>
              <w:right w:type="dxa" w:w="160"/>
            </w:tcMar>
          </w:tcPr>
          <w:p>
            <w:pPr>
              <w:spacing w:after="50" w:before="50"/>
            </w:pPr>
            <w:r>
              <w:rPr>
                <w:rFonts w:ascii="Arial" w:cs="Arial" w:eastAsia="Arial" w:hAnsi="Arial"/>
                <w:b/>
                <w:bCs/>
                <w:color w:val="FFFFFF"/>
                <w:sz w:val="18"/>
                <w:szCs w:val="18"/>
              </w:rPr>
              <w:t xml:space="preserve">1.  </w:t>
            </w:r>
            <w:r>
              <w:rPr>
                <w:rFonts w:ascii="Arial" w:cs="Arial" w:eastAsia="Arial" w:hAnsi="Arial"/>
                <w:color w:val="FFFFFF"/>
                <w:sz w:val="18"/>
                <w:szCs w:val="18"/>
              </w:rPr>
              <w:t xml:space="preserve">Desk research: what does ING/ABN/Van Lanschot have in their current offer?</w:t>
            </w:r>
          </w:p>
          <w:p>
            <w:pPr>
              <w:spacing w:after="50" w:before="50"/>
            </w:pPr>
            <w:r>
              <w:rPr>
                <w:rFonts w:ascii="Arial" w:cs="Arial" w:eastAsia="Arial" w:hAnsi="Arial"/>
                <w:b/>
                <w:bCs/>
                <w:color w:val="FFFFFF"/>
                <w:sz w:val="18"/>
                <w:szCs w:val="18"/>
              </w:rPr>
              <w:t xml:space="preserve">2.  </w:t>
            </w:r>
            <w:r>
              <w:rPr>
                <w:rFonts w:ascii="Arial" w:cs="Arial" w:eastAsia="Arial" w:hAnsi="Arial"/>
                <w:color w:val="FFFFFF"/>
                <w:sz w:val="18"/>
                <w:szCs w:val="18"/>
              </w:rPr>
              <w:t xml:space="preserve">Run first Readiness Scan pilots (free or discounted) with 1–2 anchor clients</w:t>
            </w:r>
          </w:p>
          <w:p>
            <w:pPr>
              <w:spacing w:after="50" w:before="50"/>
            </w:pPr>
            <w:r>
              <w:rPr>
                <w:rFonts w:ascii="Arial" w:cs="Arial" w:eastAsia="Arial" w:hAnsi="Arial"/>
                <w:b/>
                <w:bCs/>
                <w:color w:val="FFFFFF"/>
                <w:sz w:val="18"/>
                <w:szCs w:val="18"/>
              </w:rPr>
              <w:t xml:space="preserve">3.  </w:t>
            </w:r>
            <w:r>
              <w:rPr>
                <w:rFonts w:ascii="Arial" w:cs="Arial" w:eastAsia="Arial" w:hAnsi="Arial"/>
                <w:color w:val="FFFFFF"/>
                <w:sz w:val="18"/>
                <w:szCs w:val="18"/>
              </w:rPr>
              <w:t xml:space="preserve">Build out Customer Journey for Readiness Scan (incl. 24-hour scan format)</w:t>
            </w:r>
          </w:p>
          <w:p>
            <w:pPr>
              <w:spacing w:after="50" w:before="50"/>
            </w:pPr>
            <w:r>
              <w:rPr>
                <w:rFonts w:ascii="Arial" w:cs="Arial" w:eastAsia="Arial" w:hAnsi="Arial"/>
                <w:b/>
                <w:bCs/>
                <w:color w:val="FFFFFF"/>
                <w:sz w:val="18"/>
                <w:szCs w:val="18"/>
              </w:rPr>
              <w:t xml:space="preserve">4.  </w:t>
            </w:r>
            <w:r>
              <w:rPr>
                <w:rFonts w:ascii="Arial" w:cs="Arial" w:eastAsia="Arial" w:hAnsi="Arial"/>
                <w:color w:val="FFFFFF"/>
                <w:sz w:val="18"/>
                <w:szCs w:val="18"/>
              </w:rPr>
              <w:t xml:space="preserve">Price architecture: finalise A/B/C/D rating model and subscription tiers</w:t>
            </w:r>
          </w:p>
          <w:p>
            <w:pPr>
              <w:spacing w:after="50" w:before="50"/>
            </w:pPr>
            <w:r>
              <w:rPr>
                <w:rFonts w:ascii="Arial" w:cs="Arial" w:eastAsia="Arial" w:hAnsi="Arial"/>
                <w:b/>
                <w:bCs/>
                <w:color w:val="FFFFFF"/>
                <w:sz w:val="18"/>
                <w:szCs w:val="18"/>
              </w:rPr>
              <w:t xml:space="preserve">5.  </w:t>
            </w:r>
            <w:r>
              <w:rPr>
                <w:rFonts w:ascii="Arial" w:cs="Arial" w:eastAsia="Arial" w:hAnsi="Arial"/>
                <w:color w:val="FFFFFF"/>
                <w:sz w:val="18"/>
                <w:szCs w:val="18"/>
              </w:rPr>
              <w:t xml:space="preserve">First pitchdeck live — minimum 5 qualified conversations</w:t>
            </w:r>
          </w:p>
          <w:p>
            <w:pPr>
              <w:spacing w:after="50" w:before="50"/>
            </w:pPr>
            <w:r>
              <w:rPr>
                <w:rFonts w:ascii="Arial" w:cs="Arial" w:eastAsia="Arial" w:hAnsi="Arial"/>
                <w:b/>
                <w:bCs/>
                <w:color w:val="FFFFFF"/>
                <w:sz w:val="18"/>
                <w:szCs w:val="18"/>
              </w:rPr>
              <w:t xml:space="preserve">6.  </w:t>
            </w:r>
            <w:r>
              <w:rPr>
                <w:rFonts w:ascii="Arial" w:cs="Arial" w:eastAsia="Arial" w:hAnsi="Arial"/>
                <w:color w:val="FFFFFF"/>
                <w:sz w:val="18"/>
                <w:szCs w:val="18"/>
              </w:rPr>
              <w:t xml:space="preserve">Explore Certified Audit product definition</w:t>
            </w:r>
          </w:p>
          <w:p>
            <w:pPr>
              <w:spacing w:after="50" w:before="50"/>
            </w:pPr>
            <w:r>
              <w:rPr>
                <w:rFonts w:ascii="Arial" w:cs="Arial" w:eastAsia="Arial" w:hAnsi="Arial"/>
                <w:b/>
                <w:bCs/>
                <w:color w:val="FFFFFF"/>
                <w:sz w:val="18"/>
                <w:szCs w:val="18"/>
              </w:rPr>
              <w:t xml:space="preserve">7.  </w:t>
            </w:r>
            <w:r>
              <w:rPr>
                <w:rFonts w:ascii="Arial" w:cs="Arial" w:eastAsia="Arial" w:hAnsi="Arial"/>
                <w:color w:val="FFFFFF"/>
                <w:sz w:val="18"/>
                <w:szCs w:val="18"/>
              </w:rPr>
              <w:t xml:space="preserve">World Bank: confirm scope, deliverables and first milestone</w:t>
            </w:r>
          </w:p>
        </w:tc>
      </w:tr>
      <w:tr>
        <w:tc>
          <w:tcPr>
            <w:tcW w:type="dxa" w:w="1400"/>
            <w:tcBorders>
              <w:top w:val="none" w:color="FFFFFF" w:sz="0"/>
              <w:left w:val="none" w:color="FFFFFF" w:sz="0"/>
              <w:bottom w:val="none" w:color="FFFFFF" w:sz="0"/>
              <w:right w:val="none" w:color="FFFFFF" w:sz="0"/>
            </w:tcBorders>
            <w:shd w:fill="2E6B6F" w:val="clear"/>
            <w:tcMar>
              <w:top w:type="dxa" w:w="160"/>
              <w:left w:type="dxa" w:w="160"/>
              <w:bottom w:type="dxa" w:w="160"/>
              <w:right w:type="dxa" w:w="120"/>
            </w:tcMar>
            <w:vAlign w:val="center"/>
          </w:tcPr>
          <w:p>
            <w:pPr>
              <w:jc w:val="center"/>
            </w:pPr>
            <w:r>
              <w:rPr>
                <w:rFonts w:ascii="Arial" w:cs="Arial" w:eastAsia="Arial" w:hAnsi="Arial"/>
                <w:b/>
                <w:bCs/>
                <w:caps/>
                <w:color w:val="FFFFFF"/>
                <w:sz w:val="26"/>
                <w:szCs w:val="26"/>
              </w:rPr>
              <w:t xml:space="preserve">JUNI</w:t>
            </w:r>
          </w:p>
          <w:p>
            <w:pPr>
              <w:spacing w:before="60"/>
              <w:jc w:val="center"/>
            </w:pPr>
            <w:r>
              <w:rPr>
                <w:rFonts w:ascii="Arial" w:cs="Arial" w:eastAsia="Arial" w:hAnsi="Arial"/>
                <w:i/>
                <w:iCs/>
                <w:color w:val="D0EBEC"/>
                <w:sz w:val="16"/>
                <w:szCs w:val="16"/>
              </w:rPr>
              <w:t xml:space="preserve">First Revenue &amp; Product Architecture</w:t>
            </w:r>
          </w:p>
        </w:tc>
        <w:tc>
          <w:tcPr>
            <w:tcW w:type="dxa" w:w="8238"/>
            <w:gridSpan w:val="3"/>
            <w:tcBorders>
              <w:top w:val="none" w:color="FFFFFF" w:sz="0"/>
              <w:left w:val="none" w:color="FFFFFF" w:sz="0"/>
              <w:bottom w:val="none" w:color="FFFFFF" w:sz="0"/>
              <w:right w:val="none" w:color="FFFFFF" w:sz="0"/>
            </w:tcBorders>
            <w:shd w:fill="1E4570" w:val="clear"/>
            <w:tcMar>
              <w:top w:type="dxa" w:w="140"/>
              <w:left w:type="dxa" w:w="180"/>
              <w:bottom w:type="dxa" w:w="140"/>
              <w:right w:type="dxa" w:w="160"/>
            </w:tcMar>
          </w:tcPr>
          <w:p>
            <w:pPr>
              <w:spacing w:after="50" w:before="50"/>
            </w:pPr>
            <w:r>
              <w:rPr>
                <w:rFonts w:ascii="Arial" w:cs="Arial" w:eastAsia="Arial" w:hAnsi="Arial"/>
                <w:b/>
                <w:bCs/>
                <w:color w:val="FFFFFF"/>
                <w:sz w:val="18"/>
                <w:szCs w:val="18"/>
              </w:rPr>
              <w:t xml:space="preserve">1.  </w:t>
            </w:r>
            <w:r>
              <w:rPr>
                <w:rFonts w:ascii="Arial" w:cs="Arial" w:eastAsia="Arial" w:hAnsi="Arial"/>
                <w:color w:val="FFFFFF"/>
                <w:sz w:val="18"/>
                <w:szCs w:val="18"/>
              </w:rPr>
              <w:t xml:space="preserve">Close first paying client (target: minimum 1 advisory trajectory)</w:t>
            </w:r>
          </w:p>
          <w:p>
            <w:pPr>
              <w:spacing w:after="50" w:before="50"/>
            </w:pPr>
            <w:r>
              <w:rPr>
                <w:rFonts w:ascii="Arial" w:cs="Arial" w:eastAsia="Arial" w:hAnsi="Arial"/>
                <w:b/>
                <w:bCs/>
                <w:color w:val="FFFFFF"/>
                <w:sz w:val="18"/>
                <w:szCs w:val="18"/>
              </w:rPr>
              <w:t xml:space="preserve">2.  </w:t>
            </w:r>
            <w:r>
              <w:rPr>
                <w:rFonts w:ascii="Arial" w:cs="Arial" w:eastAsia="Arial" w:hAnsi="Arial"/>
                <w:color w:val="FFFFFF"/>
                <w:sz w:val="18"/>
                <w:szCs w:val="18"/>
              </w:rPr>
              <w:t xml:space="preserve">Sketch platform architecture: what does it look like, what does it need?</w:t>
            </w:r>
          </w:p>
          <w:p>
            <w:pPr>
              <w:spacing w:after="50" w:before="50"/>
            </w:pPr>
            <w:r>
              <w:rPr>
                <w:rFonts w:ascii="Arial" w:cs="Arial" w:eastAsia="Arial" w:hAnsi="Arial"/>
                <w:b/>
                <w:bCs/>
                <w:color w:val="FFFFFF"/>
                <w:sz w:val="18"/>
                <w:szCs w:val="18"/>
              </w:rPr>
              <w:t xml:space="preserve">3.  </w:t>
            </w:r>
            <w:r>
              <w:rPr>
                <w:rFonts w:ascii="Arial" w:cs="Arial" w:eastAsia="Arial" w:hAnsi="Arial"/>
                <w:color w:val="FFFFFF"/>
                <w:sz w:val="18"/>
                <w:szCs w:val="18"/>
              </w:rPr>
              <w:t xml:space="preserve">Define prospect funnel stages and CRM process</w:t>
            </w:r>
          </w:p>
          <w:p>
            <w:pPr>
              <w:spacing w:after="50" w:before="50"/>
            </w:pPr>
            <w:r>
              <w:rPr>
                <w:rFonts w:ascii="Arial" w:cs="Arial" w:eastAsia="Arial" w:hAnsi="Arial"/>
                <w:b/>
                <w:bCs/>
                <w:color w:val="FFFFFF"/>
                <w:sz w:val="18"/>
                <w:szCs w:val="18"/>
              </w:rPr>
              <w:t xml:space="preserve">4.  </w:t>
            </w:r>
            <w:r>
              <w:rPr>
                <w:rFonts w:ascii="Arial" w:cs="Arial" w:eastAsia="Arial" w:hAnsi="Arial"/>
                <w:color w:val="FFFFFF"/>
                <w:sz w:val="18"/>
                <w:szCs w:val="18"/>
              </w:rPr>
              <w:t xml:space="preserve">Launch membership community concept (soft launch, founding members)</w:t>
            </w:r>
          </w:p>
          <w:p>
            <w:pPr>
              <w:spacing w:after="50" w:before="50"/>
            </w:pPr>
            <w:r>
              <w:rPr>
                <w:rFonts w:ascii="Arial" w:cs="Arial" w:eastAsia="Arial" w:hAnsi="Arial"/>
                <w:b/>
                <w:bCs/>
                <w:color w:val="FFFFFF"/>
                <w:sz w:val="18"/>
                <w:szCs w:val="18"/>
              </w:rPr>
              <w:t xml:space="preserve">5.  </w:t>
            </w:r>
            <w:r>
              <w:rPr>
                <w:rFonts w:ascii="Arial" w:cs="Arial" w:eastAsia="Arial" w:hAnsi="Arial"/>
                <w:color w:val="FFFFFF"/>
                <w:sz w:val="18"/>
                <w:szCs w:val="18"/>
              </w:rPr>
              <w:t xml:space="preserve">Subscription model fully designed and ready to sell</w:t>
            </w:r>
          </w:p>
          <w:p>
            <w:pPr>
              <w:spacing w:after="50" w:before="50"/>
            </w:pPr>
            <w:r>
              <w:rPr>
                <w:rFonts w:ascii="Arial" w:cs="Arial" w:eastAsia="Arial" w:hAnsi="Arial"/>
                <w:b/>
                <w:bCs/>
                <w:color w:val="FFFFFF"/>
                <w:sz w:val="18"/>
                <w:szCs w:val="18"/>
              </w:rPr>
              <w:t xml:space="preserve">6.  </w:t>
            </w:r>
            <w:r>
              <w:rPr>
                <w:rFonts w:ascii="Arial" w:cs="Arial" w:eastAsia="Arial" w:hAnsi="Arial"/>
                <w:color w:val="FFFFFF"/>
                <w:sz w:val="18"/>
                <w:szCs w:val="18"/>
              </w:rPr>
              <w:t xml:space="preserve">Begin Certified Practitioner programme design (Britt lead)</w:t>
            </w:r>
          </w:p>
          <w:p>
            <w:pPr>
              <w:spacing w:after="50" w:before="50"/>
            </w:pPr>
            <w:r>
              <w:rPr>
                <w:rFonts w:ascii="Arial" w:cs="Arial" w:eastAsia="Arial" w:hAnsi="Arial"/>
                <w:b/>
                <w:bCs/>
                <w:color w:val="FFFFFF"/>
                <w:sz w:val="18"/>
                <w:szCs w:val="18"/>
              </w:rPr>
              <w:t xml:space="preserve">7.  </w:t>
            </w:r>
            <w:r>
              <w:rPr>
                <w:rFonts w:ascii="Arial" w:cs="Arial" w:eastAsia="Arial" w:hAnsi="Arial"/>
                <w:color w:val="FFFFFF"/>
                <w:sz w:val="18"/>
                <w:szCs w:val="18"/>
              </w:rPr>
              <w:t xml:space="preserve">Review: are we on track for Year 1 revenue goal?</w:t>
            </w:r>
          </w:p>
        </w:tc>
      </w:tr>
    </w:tbl>
    <w:p>
      <w:pPr>
        <w:spacing w:after="0" w:before="120"/>
      </w:pPr>
      <w:r>
        <w:rPr>
          <w:rFonts w:ascii="Arial" w:cs="Arial" w:eastAsia="Arial" w:hAnsi="Arial"/>
        </w:rPr>
        <w:t xml:space="preserve"/>
      </w:r>
    </w:p>
    <w:p>
      <w:pPr>
        <w:pBdr>
          <w:bottom w:val="single" w:color="0D7377" w:sz="4" w:space="1"/>
        </w:pBdr>
        <w:spacing w:after="100" w:before="320"/>
      </w:pPr>
      <w:r>
        <w:rPr>
          <w:rFonts w:ascii="Arial" w:cs="Arial" w:eastAsia="Arial" w:hAnsi="Arial"/>
          <w:b/>
          <w:bCs/>
          <w:caps/>
          <w:color w:val="1A3A5C"/>
          <w:sz w:val="26"/>
          <w:szCs w:val="26"/>
        </w:rPr>
        <w:t xml:space="preserve">5. The Bigger Picture — Year 2 and Year 3</w:t>
      </w:r>
    </w:p>
    <w:p>
      <w:pPr>
        <w:spacing w:after="60" w:before="60"/>
      </w:pPr>
      <w:r>
        <w:rPr>
          <w:rFonts w:ascii="Arial" w:cs="Arial" w:eastAsia="Arial" w:hAnsi="Arial"/>
          <w:color w:val="222222"/>
          <w:sz w:val="20"/>
          <w:szCs w:val="20"/>
        </w:rPr>
        <w:t xml:space="preserve">The 90-day sprint is not the ambition — it is the runway to reach it. The session mapped a clear Year 2 and Year 3 architecture that should shape every decision made in the sprint.</w:t>
      </w:r>
    </w:p>
    <w:p>
      <w:pPr>
        <w:spacing w:after="0" w:before="40"/>
      </w:pPr>
      <w:r>
        <w:rPr>
          <w:rFonts w:ascii="Arial" w:cs="Arial" w:eastAsia="Arial" w:hAnsi="Arial"/>
        </w:rPr>
        <w:t xml:space="preserve"/>
      </w:r>
    </w:p>
    <w:p>
      <w:pPr>
        <w:spacing w:after="60" w:before="60"/>
      </w:pPr>
      <w:r>
        <w:rPr>
          <w:rFonts w:ascii="Arial" w:cs="Arial" w:eastAsia="Arial" w:hAnsi="Arial"/>
          <w:color w:val="222222"/>
          <w:sz w:val="20"/>
          <w:szCs w:val="20"/>
        </w:rPr>
        <w:t xml:space="preserve">In Year 2 and Year 3, the model scales through a flexible certified practitioner shell — trained and certified professionals operating on a ZZP basis, allowing Unlockt to take on larger mandates without building an expensive permanent headcount. The community becomes the platform. The platform becomes the moat.</w:t>
      </w:r>
    </w:p>
    <w:p>
      <w:pPr>
        <w:spacing w:after="0" w:before="40"/>
      </w:pPr>
      <w:r>
        <w:rPr>
          <w:rFonts w:ascii="Arial" w:cs="Arial" w:eastAsia="Arial" w:hAnsi="Arial"/>
        </w:rPr>
        <w:t xml:space="preserve"/>
      </w:r>
    </w:p>
    <w:p>
      <w:pPr>
        <w:spacing w:after="60" w:before="60"/>
      </w:pPr>
      <w:r>
        <w:rPr>
          <w:rFonts w:ascii="Arial" w:cs="Arial" w:eastAsia="Arial" w:hAnsi="Arial"/>
          <w:color w:val="222222"/>
          <w:sz w:val="20"/>
          <w:szCs w:val="20"/>
        </w:rPr>
        <w:t xml:space="preserve">By Year 3, advisory is being delivered in part through a chatbot — an AI layer trained on our methodology that allows continuous engagement at a fraction of the cost of human hours. The 'wisdom of the crowd' model — founding members co-creating solutions as a panel, receiving dividend on commercial success — builds a community of investors who are also advocates.</w:t>
      </w:r>
    </w:p>
    <w:p>
      <w:pPr>
        <w:spacing w:after="0" w:before="40"/>
      </w:pPr>
      <w:r>
        <w:rPr>
          <w:rFonts w:ascii="Arial" w:cs="Arial" w:eastAsia="Arial" w:hAnsi="Arial"/>
        </w:rPr>
        <w:t xml:space="preserve"/>
      </w:r>
    </w:p>
    <w:p>
      <w:pPr>
        <w:spacing w:after="60" w:before="60"/>
      </w:pPr>
      <w:r>
        <w:rPr>
          <w:rFonts w:ascii="Arial" w:cs="Arial" w:eastAsia="Arial" w:hAnsi="Arial"/>
          <w:color w:val="222222"/>
          <w:sz w:val="20"/>
          <w:szCs w:val="20"/>
        </w:rPr>
        <w:t xml:space="preserve">The World Bank mandate runs for four years across 60 countries. The academy and certification infrastructure we build for that mandate is the same infrastructure that serves our commercial clients in the Netherlands and Europe. The global and the local are not separate strategies. They are the same product, deployed at different scales.</w:t>
      </w:r>
    </w:p>
    <w:p>
      <w:pPr>
        <w:spacing w:after="0" w:before="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c>
          <w:tcPr>
            <w:tcW w:type="dxa" w:w="16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vAlign w:val="center"/>
          </w:tcPr>
          <w:p>
            <w:pPr>
              <w:jc w:val="center"/>
            </w:pPr>
            <w:r>
              <w:rPr>
                <w:rFonts w:ascii="Arial" w:cs="Arial" w:eastAsia="Arial" w:hAnsi="Arial"/>
                <w:b/>
                <w:bCs/>
                <w:caps/>
                <w:color w:val="C09A0A"/>
                <w:sz w:val="17"/>
                <w:szCs w:val="17"/>
              </w:rPr>
              <w:t xml:space="preserve">THE BOTTOM LINE</w:t>
            </w:r>
          </w:p>
        </w:tc>
        <w:tc>
          <w:tcPr>
            <w:tcW w:type="dxa" w:w="8038"/>
            <w:tcBorders>
              <w:top w:val="none" w:color="FFFFFF" w:sz="0"/>
              <w:left w:val="none" w:color="FFFFFF" w:sz="0"/>
              <w:bottom w:val="none" w:color="FFFFFF" w:sz="0"/>
              <w:right w:val="none" w:color="FFFFFF" w:sz="0"/>
            </w:tcBorders>
            <w:shd w:fill="D0EBEC" w:val="clear"/>
            <w:tcMar>
              <w:top w:type="dxa" w:w="120"/>
              <w:left w:type="dxa" w:w="180"/>
              <w:bottom w:type="dxa" w:w="120"/>
              <w:right w:type="dxa" w:w="160"/>
            </w:tcMar>
          </w:tcPr>
          <w:p>
            <w:r>
              <w:rPr>
                <w:rFonts w:ascii="Arial" w:cs="Arial" w:eastAsia="Arial" w:hAnsi="Arial"/>
                <w:i/>
                <w:iCs/>
                <w:color w:val="1A3A5C"/>
                <w:sz w:val="19"/>
                <w:szCs w:val="19"/>
              </w:rPr>
              <w:t xml:space="preserve">We left Hei~Bos with a methodology, a revenue model, a network map, a 90-day plan and a shared definition of success. The only thing left to do is execute.</w:t>
            </w:r>
          </w:p>
        </w:tc>
      </w:tr>
    </w:tbl>
    <w:p>
      <w:pPr>
        <w:spacing w:after="0" w:before="120"/>
      </w:pPr>
      <w:r>
        <w:rPr>
          <w:rFonts w:ascii="Arial" w:cs="Arial" w:eastAsia="Arial" w:hAnsi="Arial"/>
        </w:rPr>
        <w:t xml:space="preserve"/>
      </w:r>
    </w:p>
    <w:p>
      <w:pPr>
        <w:pBdr>
          <w:bottom w:val="single" w:color="0D7377" w:sz="4" w:space="1"/>
        </w:pBdr>
        <w:spacing w:after="100" w:before="320"/>
      </w:pPr>
      <w:r>
        <w:rPr>
          <w:rFonts w:ascii="Arial" w:cs="Arial" w:eastAsia="Arial" w:hAnsi="Arial"/>
          <w:b/>
          <w:bCs/>
          <w:caps/>
          <w:color w:val="1A3A5C"/>
          <w:sz w:val="26"/>
          <w:szCs w:val="26"/>
        </w:rPr>
        <w:t xml:space="preserve">6. What Each Founder Committed To</w:t>
      </w:r>
    </w:p>
    <w:p>
      <w:pPr>
        <w:spacing w:after="60" w:before="60"/>
      </w:pPr>
      <w:r>
        <w:rPr>
          <w:rFonts w:ascii="Arial" w:cs="Arial" w:eastAsia="Arial" w:hAnsi="Arial"/>
          <w:color w:val="222222"/>
          <w:sz w:val="20"/>
          <w:szCs w:val="20"/>
        </w:rPr>
        <w:t xml:space="preserve">Before closing the offsite, each founder signed a Commitment Contract — a personal, named document that captured their role, their bandwidth, their financial obligation timeline and their personal risk. The purpose was not legal. It was relational: to make the cost of not following through visible before it is incurred.</w:t>
      </w:r>
    </w:p>
    <w:p>
      <w:pPr>
        <w:spacing w:after="0" w:before="4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222222"/>
          <w:sz w:val="20"/>
          <w:szCs w:val="20"/>
        </w:rPr>
        <w:t xml:space="preserve">Chantal Korteweg — Chief Expert &amp; External Relations: Leads the methodology, the World Bank relationship and access to the senior network.</w:t>
      </w:r>
    </w:p>
    <w:p>
      <w:pPr>
        <w:pStyle w:val="ListParagraph"/>
        <w:numPr>
          <w:ilvl w:val="0"/>
          <w:numId w:val="2"/>
        </w:numPr>
        <w:spacing w:after="40" w:before="40"/>
      </w:pPr>
      <w:r>
        <w:rPr>
          <w:rFonts w:ascii="Arial" w:cs="Arial" w:eastAsia="Arial" w:hAnsi="Arial"/>
          <w:color w:val="222222"/>
          <w:sz w:val="20"/>
          <w:szCs w:val="20"/>
        </w:rPr>
        <w:t xml:space="preserve">Britt Jacobs — Chief Delivery &amp; Learning: Leads service design, the academy, certification and client delivery quality.</w:t>
      </w:r>
    </w:p>
    <w:p>
      <w:pPr>
        <w:pStyle w:val="ListParagraph"/>
        <w:numPr>
          <w:ilvl w:val="0"/>
          <w:numId w:val="2"/>
        </w:numPr>
        <w:spacing w:after="40" w:before="40"/>
      </w:pPr>
      <w:r>
        <w:rPr>
          <w:rFonts w:ascii="Arial" w:cs="Arial" w:eastAsia="Arial" w:hAnsi="Arial"/>
          <w:color w:val="222222"/>
          <w:sz w:val="20"/>
          <w:szCs w:val="20"/>
        </w:rPr>
        <w:t xml:space="preserve">Chief Commercial &amp; Marketing — Leads positioning, the pitch, prospect development, brand and commercial conversion.</w:t>
      </w:r>
    </w:p>
    <w:p>
      <w:pPr>
        <w:spacing w:after="0" w:before="40"/>
      </w:pPr>
      <w:r>
        <w:rPr>
          <w:rFonts w:ascii="Arial" w:cs="Arial" w:eastAsia="Arial" w:hAnsi="Arial"/>
        </w:rPr>
        <w:t xml:space="preserve"/>
      </w:r>
    </w:p>
    <w:p>
      <w:pPr>
        <w:spacing w:after="60" w:before="60"/>
      </w:pPr>
      <w:r>
        <w:rPr>
          <w:rFonts w:ascii="Arial" w:cs="Arial" w:eastAsia="Arial" w:hAnsi="Arial"/>
          <w:color w:val="222222"/>
          <w:sz w:val="20"/>
          <w:szCs w:val="20"/>
        </w:rPr>
        <w:t xml:space="preserve">The contracts are held individually. They are not filed and forgotten — they are the reference point for the quarterly review conversation that each founder agreed to.</w:t>
      </w:r>
    </w:p>
    <w:p>
      <w:pPr>
        <w:spacing w:after="0" w:before="10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A3A5C" w:val="clear"/>
            <w:tcMar>
              <w:top w:type="dxa" w:w="240"/>
              <w:left w:type="dxa" w:w="300"/>
              <w:bottom w:type="dxa" w:w="240"/>
              <w:right w:type="dxa" w:w="300"/>
            </w:tcMar>
          </w:tcPr>
          <w:p>
            <w:pPr>
              <w:jc w:val="center"/>
            </w:pPr>
            <w:r>
              <w:rPr>
                <w:rFonts w:ascii="Arial" w:cs="Arial" w:eastAsia="Arial" w:hAnsi="Arial"/>
                <w:b/>
                <w:bCs/>
                <w:i/>
                <w:iCs/>
                <w:color w:val="FFFFFF"/>
                <w:sz w:val="26"/>
                <w:szCs w:val="26"/>
              </w:rPr>
              <w:t xml:space="preserve">We stopped preparing. We started building.</w:t>
            </w:r>
          </w:p>
          <w:p>
            <w:pPr>
              <w:spacing w:after="0" w:before="60"/>
            </w:pPr>
            <w:r>
              <w:rPr>
                <w:rFonts w:ascii="Arial" w:cs="Arial" w:eastAsia="Arial" w:hAnsi="Arial"/>
              </w:rPr>
              <w:t xml:space="preserve"/>
            </w:r>
          </w:p>
          <w:p>
            <w:pPr>
              <w:jc w:val="center"/>
            </w:pPr>
            <w:r>
              <w:rPr>
                <w:rFonts w:ascii="Arial" w:cs="Arial" w:eastAsia="Arial" w:hAnsi="Arial"/>
                <w:color w:val="D0EBEC"/>
                <w:sz w:val="18"/>
                <w:szCs w:val="18"/>
              </w:rPr>
              <w:t xml:space="preserve">Unlockt  ·  Hei~Bos  ·  April 2025</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Unlockt  ·  Confidential founding document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7"/>
    </w:tblGrid>
    <w:tr>
      <w:tc>
        <w:tcPr>
          <w:tcW w:type="dxa" w:w="5300"/>
          <w:tcBorders>
            <w:top w:val="none" w:color="FFFFFF" w:sz="0"/>
            <w:left w:val="none" w:color="FFFFFF" w:sz="0"/>
            <w:bottom w:val="none" w:color="FFFFFF" w:sz="0"/>
            <w:right w:val="none" w:color="FFFFFF" w:sz="0"/>
          </w:tcBorders>
          <w:shd w:fill="1A3A5C" w:val="clear"/>
          <w:tcMar>
            <w:top w:type="dxa" w:w="140"/>
            <w:left w:type="dxa" w:w="200"/>
            <w:bottom w:type="dxa" w:w="140"/>
            <w:right w:type="dxa" w:w="100"/>
          </w:tcMar>
        </w:tcPr>
        <w:p>
          <w:r>
            <w:rPr>
              <w:rFonts w:ascii="Arial" w:cs="Arial" w:eastAsia="Arial" w:hAnsi="Arial"/>
              <w:b/>
              <w:bCs/>
              <w:caps/>
              <w:color w:val="FFFFFF"/>
              <w:sz w:val="26"/>
              <w:szCs w:val="26"/>
            </w:rPr>
            <w:t xml:space="preserve">UNLOCKT  </w:t>
          </w:r>
          <w:r>
            <w:rPr>
              <w:rFonts w:ascii="Arial" w:cs="Arial" w:eastAsia="Arial" w:hAnsi="Arial"/>
              <w:i/>
              <w:iCs/>
              <w:color w:val="D0EBEC"/>
              <w:sz w:val="20"/>
              <w:szCs w:val="20"/>
            </w:rPr>
            <w:t xml:space="preserve">Founding Offsite — Hei~Bos</w:t>
          </w:r>
        </w:p>
      </w:tc>
      <w:tc>
        <w:tcPr>
          <w:tcW w:type="dxa" w:w="4337"/>
          <w:tcBorders>
            <w:top w:val="none" w:color="FFFFFF" w:sz="0"/>
            <w:left w:val="none" w:color="FFFFFF" w:sz="0"/>
            <w:bottom w:val="none" w:color="FFFFFF" w:sz="0"/>
            <w:right w:val="none" w:color="FFFFFF" w:sz="0"/>
          </w:tcBorders>
          <w:shd w:fill="0D7377" w:val="clear"/>
          <w:tcMar>
            <w:top w:type="dxa" w:w="140"/>
            <w:left w:type="dxa" w:w="180"/>
            <w:bottom w:type="dxa" w:w="140"/>
            <w:right w:type="dxa" w:w="180"/>
          </w:tcMar>
          <w:vAlign w:val="center"/>
        </w:tcPr>
        <w:p>
          <w:pPr>
            <w:jc w:val="right"/>
          </w:pPr>
          <w:r>
            <w:rPr>
              <w:rFonts w:ascii="Arial" w:cs="Arial" w:eastAsia="Arial" w:hAnsi="Arial"/>
              <w:i/>
              <w:iCs/>
              <w:color w:val="FFFFFF"/>
              <w:sz w:val="16"/>
              <w:szCs w:val="16"/>
            </w:rPr>
            <w:t xml:space="preserve">Session Summary &amp; 90-Day Sprint Plan  ·  April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2026-04-08T21:26:24.951Z</dcterms:created>
  <dcterms:modified xsi:type="dcterms:W3CDTF">2026-04-08T21:26:24.952Z</dcterms:modified>
</cp:coreProperties>
</file>

<file path=docProps/custom.xml><?xml version="1.0" encoding="utf-8"?>
<Properties xmlns="http://schemas.openxmlformats.org/officeDocument/2006/custom-properties" xmlns:vt="http://schemas.openxmlformats.org/officeDocument/2006/docPropsVTypes"/>
</file>