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0" w:after="0"/>
        <w:jc w:val="center"/>
      </w:pPr>
      <w:r>
        <w:rPr>
          <w:rFonts w:ascii="Arial" w:cs="Arial" w:eastAsia="Arial" w:hAnsi="Arial"/>
          <w:b/>
          <w:bCs/>
          <w:caps/>
          <w:color w:val="FFFFFF"/>
          <w:sz w:val="72"/>
          <w:szCs w:val="72"/>
        </w:rPr>
        <w:t xml:space="preserve">UNLOCKT</w:t>
      </w:r>
    </w:p>
    <w:p>
      <w:pPr>
        <w:pBdr>
          <w:bottom w:val="single" w:color="0D7377" w:sz="10"/>
        </w:pBdr>
        <w:shd w:fill="1A3A5C" w:val="clear"/>
        <w:spacing w:before="0" w:after="0"/>
        <w:jc w:val="center"/>
      </w:pPr>
      <w:r>
        <w:rPr>
          <w:rFonts w:ascii="Arial" w:cs="Arial" w:eastAsia="Arial" w:hAnsi="Arial"/>
          <w:b w:val="false"/>
          <w:bCs w:val="false"/>
          <w:caps w:val="false"/>
          <w:color w:val="D0EBEC"/>
          <w:sz w:val="30"/>
          <w:szCs w:val="30"/>
        </w:rPr>
        <w:t xml:space="preserve">Inclusion Consulting</w:t>
      </w:r>
    </w:p>
    <w:p>
      <w:pPr>
        <w:spacing w:before="80" w:after="0"/>
      </w:pPr>
      <w:r>
        <w:rPr>
          <w:rFonts w:ascii="Arial" w:cs="Arial" w:eastAsia="Arial" w:hAnsi="Arial"/>
          <w:b w:val="false"/>
          <w:bCs w:val="false"/>
          <w:caps w:val="false"/>
          <w:color w:val="2C3E50"/>
          <w:sz w:val="4"/>
          <w:szCs w:val="4"/>
        </w:rPr>
        <w:t xml:space="preserve"/>
      </w:r>
    </w:p>
    <w:p>
      <w:pPr>
        <w:spacing w:before="0" w:after="0"/>
        <w:ind w:left="200" w:right="200"/>
        <w:jc w:val="center"/>
      </w:pPr>
      <w:r>
        <w:rPr>
          <w:rFonts w:ascii="Arial" w:cs="Arial" w:eastAsia="Arial" w:hAnsi="Arial"/>
          <w:b/>
          <w:bCs/>
          <w:caps w:val="false"/>
          <w:color w:val="1A3A5C"/>
          <w:sz w:val="28"/>
          <w:szCs w:val="28"/>
        </w:rPr>
        <w:t xml:space="preserve">The largest wealth transfer in history is happening right now.
Most companies are not ready. We make them ready.</w:t>
      </w:r>
    </w:p>
    <w:p>
      <w:pPr>
        <w:spacing w:before="14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none" w:color="FFFFFF" w:sz="0"/>
              <w:bottom w:val="none" w:color="FFFFFF" w:sz="0"/>
              <w:right w:val="none" w:color="FFFFFF" w:sz="0"/>
            </w:tcBorders>
            <w:shd w:fill="1A3A5C" w:val="clear"/>
            <w:tcMar>
              <w:top w:type="dxa" w:w="120"/>
              <w:left w:type="dxa" w:w="240"/>
              <w:bottom w:type="dxa" w:w="100"/>
              <w:right w:type="dxa" w:w="240"/>
            </w:tcMar>
          </w:tcPr>
          <w:p>
            <w:pPr>
              <w:spacing w:before="0" w:after="30"/>
            </w:pPr>
            <w:r>
              <w:rPr>
                <w:rFonts w:ascii="Arial" w:cs="Arial" w:eastAsia="Arial" w:hAnsi="Arial"/>
                <w:b/>
                <w:bCs/>
                <w:caps/>
                <w:color w:val="FFFFFF"/>
                <w:sz w:val="20"/>
                <w:szCs w:val="20"/>
              </w:rPr>
              <w:t xml:space="preserve">WHO WE ARE</w:t>
            </w:r>
          </w:p>
          <w:p>
            <w:pPr>
              <w:spacing w:before="0" w:after="0"/>
            </w:pPr>
            <w:r>
              <w:rPr>
                <w:rFonts w:ascii="Arial" w:cs="Arial" w:eastAsia="Arial" w:hAnsi="Arial"/>
                <w:b/>
                <w:bCs/>
                <w:caps w:val="false"/>
                <w:color w:val="FFFFFF"/>
                <w:sz w:val="28"/>
                <w:szCs w:val="28"/>
              </w:rPr>
              <w:t xml:space="preserve">A science-based inclusion consultancy — built for the business side.</w:t>
            </w:r>
          </w:p>
        </w:tc>
      </w:tr>
      <w:tr>
        <w:tc>
          <w:tcPr>
            <w:tcW w:type="dxa" w:w="9500"/>
            <w:tcBorders>
              <w:top w:val="none" w:color="FFFFFF" w:sz="0"/>
              <w:left w:val="none" w:color="FFFFFF" w:sz="0"/>
              <w:bottom w:val="none" w:color="FFFFFF" w:sz="0"/>
              <w:right w:val="none" w:color="FFFFFF" w:sz="0"/>
            </w:tcBorders>
            <w:shd w:fill="D0EBEC" w:val="clear"/>
            <w:tcMar>
              <w:top w:type="dxa" w:w="50"/>
              <w:left w:type="dxa" w:w="240"/>
              <w:bottom w:type="dxa" w:w="50"/>
              <w:right w:type="dxa" w:w="240"/>
            </w:tcMar>
          </w:tcPr>
          <w:p>
            <w:pPr>
              <w:spacing w:before="0" w:after="0"/>
            </w:pPr>
            <w:r>
              <w:rPr>
                <w:rFonts w:ascii="Arial" w:cs="Arial" w:eastAsia="Arial" w:hAnsi="Arial"/>
                <w:b w:val="false"/>
                <w:bCs w:val="false"/>
                <w:caps w:val="false"/>
                <w:color w:val="2C3E50"/>
                <w:sz w:val="22"/>
                <w:szCs w:val="22"/>
              </w:rPr>
              <w:t xml:space="preserve">Unlockt helps medium and large corporates convert underserved markets into measurable commercial growth. We are not a DEI programme. We are not an HR initiative. We are a business performance firm that specialises in one of the most undercapitalised opportunities in global commerce: the women and diverse cultural clients companies are failing to reach, serve, and retain.</w:t>
            </w:r>
          </w:p>
        </w:tc>
      </w:tr>
      <w:tr>
        <w:tc>
          <w:tcPr>
            <w:tcW w:type="dxa" w:w="9500"/>
            <w:tcBorders>
              <w:top w:val="none" w:color="FFFFFF" w:sz="0"/>
              <w:left w:val="none" w:color="FFFFFF" w:sz="0"/>
              <w:bottom w:val="none" w:color="FFFFFF" w:sz="0"/>
              <w:right w:val="none" w:color="FFFFFF" w:sz="0"/>
            </w:tcBorders>
            <w:shd w:fill="D0EBEC" w:val="clear"/>
            <w:tcMar>
              <w:top w:type="dxa" w:w="50"/>
              <w:left w:type="dxa" w:w="240"/>
              <w:bottom w:type="dxa" w:w="50"/>
              <w:right w:type="dxa" w:w="240"/>
            </w:tcMar>
          </w:tcPr>
          <w:p>
            <w:pPr>
              <w:spacing w:before="0" w:after="0"/>
            </w:pPr>
            <w:r>
              <w:rPr>
                <w:rFonts w:ascii="Arial" w:cs="Arial" w:eastAsia="Arial" w:hAnsi="Arial"/>
                <w:b w:val="false"/>
                <w:bCs w:val="false"/>
                <w:caps w:val="false"/>
                <w:color w:val="2C3E50"/>
                <w:sz w:val="22"/>
                <w:szCs w:val="22"/>
              </w:rPr>
              <w:t xml:space="preserve">We bring science-based workshops, diagnostic tools, and tailored solutions. We deliver internationally — across 60+ countries in partnership with the World Bank.</w:t>
            </w:r>
          </w:p>
        </w:tc>
      </w:tr>
    </w:tbl>
    <w:p>
      <w:pPr>
        <w:spacing w:before="12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none" w:color="FFFFFF" w:sz="0"/>
              <w:bottom w:val="none" w:color="FFFFFF" w:sz="0"/>
              <w:right w:val="none" w:color="FFFFFF" w:sz="0"/>
            </w:tcBorders>
            <w:shd w:fill="1A3A5C" w:val="clear"/>
            <w:tcMar>
              <w:top w:type="dxa" w:w="120"/>
              <w:left w:type="dxa" w:w="240"/>
              <w:bottom w:type="dxa" w:w="100"/>
              <w:right w:type="dxa" w:w="240"/>
            </w:tcMar>
          </w:tcPr>
          <w:p>
            <w:pPr>
              <w:spacing w:before="0" w:after="30"/>
            </w:pPr>
            <w:r>
              <w:rPr>
                <w:rFonts w:ascii="Arial" w:cs="Arial" w:eastAsia="Arial" w:hAnsi="Arial"/>
                <w:b/>
                <w:bCs/>
                <w:caps/>
                <w:color w:val="FFFFFF"/>
                <w:sz w:val="20"/>
                <w:szCs w:val="20"/>
              </w:rPr>
              <w:t xml:space="preserve">WHO WE SERVE</w:t>
            </w:r>
          </w:p>
          <w:p>
            <w:pPr>
              <w:spacing w:before="0" w:after="0"/>
            </w:pPr>
            <w:r>
              <w:rPr>
                <w:rFonts w:ascii="Arial" w:cs="Arial" w:eastAsia="Arial" w:hAnsi="Arial"/>
                <w:b/>
                <w:bCs/>
                <w:caps w:val="false"/>
                <w:color w:val="FFFFFF"/>
                <w:sz w:val="28"/>
                <w:szCs w:val="28"/>
              </w:rPr>
              <w:t xml:space="preserve">Leaders who see the commercial opportunity, not just the compliance requirement.</w:t>
            </w:r>
          </w:p>
        </w:tc>
      </w:tr>
      <w:tr>
        <w:tc>
          <w:tcPr>
            <w:tcW w:type="dxa" w:w="9500"/>
            <w:tcBorders>
              <w:top w:val="none" w:color="FFFFFF" w:sz="0"/>
              <w:left w:val="none" w:color="FFFFFF" w:sz="0"/>
              <w:bottom w:val="none" w:color="FFFFFF" w:sz="0"/>
              <w:right w:val="none" w:color="FFFFFF" w:sz="0"/>
            </w:tcBorders>
            <w:shd w:fill="F4F6F7" w:val="clear"/>
            <w:tcMar>
              <w:top w:type="dxa" w:w="50"/>
              <w:left w:type="dxa" w:w="240"/>
              <w:bottom w:type="dxa" w:w="50"/>
              <w:right w:type="dxa" w:w="240"/>
            </w:tcMar>
          </w:tcPr>
          <w:p>
            <w:pPr>
              <w:spacing w:before="0" w:after="0"/>
            </w:pPr>
            <w:r>
              <w:rPr>
                <w:rFonts w:ascii="Arial" w:cs="Arial" w:eastAsia="Arial" w:hAnsi="Arial"/>
                <w:b w:val="false"/>
                <w:bCs w:val="false"/>
                <w:caps w:val="false"/>
                <w:color w:val="2C3E50"/>
                <w:sz w:val="22"/>
                <w:szCs w:val="22"/>
              </w:rPr>
              <w:t xml:space="preserve">Our clients are medium and large corporates — primarily in financial services — whose boards and C-suites recognise that diverse client segments are underserved and that this is a revenue problem, not a values problem.</w:t>
            </w:r>
          </w:p>
        </w:tc>
      </w:tr>
      <w:tr>
        <w:tc>
          <w:tcPr>
            <w:tcW w:type="dxa" w:w="9500"/>
            <w:tcBorders>
              <w:top w:val="none" w:color="FFFFFF" w:sz="0"/>
              <w:left w:val="none" w:color="FFFFFF" w:sz="0"/>
              <w:bottom w:val="none" w:color="FFFFFF" w:sz="0"/>
              <w:right w:val="none" w:color="FFFFFF" w:sz="0"/>
            </w:tcBorders>
            <w:shd w:fill="F4F6F7" w:val="clear"/>
            <w:tcMar>
              <w:top w:type="dxa" w:w="100"/>
              <w:left w:type="dxa" w:w="240"/>
              <w:bottom w:type="dxa" w:w="40"/>
              <w:right w:type="dxa" w:w="240"/>
            </w:tcMar>
          </w:tcPr>
          <w:p>
            <w:pPr>
              <w:spacing w:before="0" w:after="0"/>
            </w:pPr>
            <w:r>
              <w:rPr>
                <w:rFonts w:ascii="Arial" w:cs="Arial" w:eastAsia="Arial" w:hAnsi="Arial"/>
                <w:b/>
                <w:bCs/>
                <w:caps w:val="false"/>
                <w:color w:val="1A3A5C"/>
                <w:sz w:val="24"/>
                <w:szCs w:val="24"/>
              </w:rPr>
              <w:t xml:space="preserve">Primary sector: Financial Services</w:t>
            </w:r>
          </w:p>
        </w:tc>
      </w:tr>
      <w:tr>
        <w:tc>
          <w:tcPr>
            <w:tcW w:type="dxa" w:w="9500"/>
            <w:tcBorders>
              <w:top w:val="none" w:color="FFFFFF" w:sz="0"/>
              <w:left w:val="none" w:color="FFFFFF" w:sz="0"/>
              <w:bottom w:val="none" w:color="FFFFFF" w:sz="0"/>
              <w:right w:val="none" w:color="FFFFFF" w:sz="0"/>
            </w:tcBorders>
            <w:shd w:fill="F4F6F7" w:val="clear"/>
            <w:tcMar>
              <w:top w:type="dxa" w:w="50"/>
              <w:left w:type="dxa" w:w="240"/>
              <w:bottom w:type="dxa" w:w="50"/>
              <w:right w:type="dxa" w:w="240"/>
            </w:tcMar>
          </w:tcPr>
          <w:p>
            <w:pPr>
              <w:spacing w:before="0" w:after="0"/>
            </w:pPr>
            <w:r>
              <w:rPr>
                <w:rFonts w:ascii="Arial" w:cs="Arial" w:eastAsia="Arial" w:hAnsi="Arial"/>
                <w:b w:val="false"/>
                <w:bCs w:val="false"/>
                <w:caps w:val="false"/>
                <w:color w:val="2C3E50"/>
                <w:sz w:val="22"/>
                <w:szCs w:val="22"/>
              </w:rPr>
              <w:t xml:space="preserve">Banks, wealth managers, and insurers. Women now control more than 50% of European wealth — a figure accelerating as the baby boomer generation transfers its assets, predominantly to women who outlive their partners. This is the largest wealth redistribution event in modern history, and most financial institutions are structurally unprepared to serve it.</w:t>
            </w:r>
          </w:p>
        </w:tc>
      </w:tr>
      <w:tr>
        <w:tc>
          <w:tcPr>
            <w:tcW w:type="dxa" w:w="9500"/>
            <w:tcBorders>
              <w:top w:val="none" w:color="FFFFFF" w:sz="0"/>
              <w:left w:val="none" w:color="FFFFFF" w:sz="0"/>
              <w:bottom w:val="none" w:color="FFFFFF" w:sz="0"/>
              <w:right w:val="none" w:color="FFFFFF" w:sz="0"/>
            </w:tcBorders>
            <w:shd w:fill="F4F6F7" w:val="clear"/>
            <w:tcMar>
              <w:top w:type="dxa" w:w="100"/>
              <w:left w:type="dxa" w:w="240"/>
              <w:bottom w:type="dxa" w:w="40"/>
              <w:right w:type="dxa" w:w="240"/>
            </w:tcMar>
          </w:tcPr>
          <w:p>
            <w:pPr>
              <w:spacing w:before="0" w:after="0"/>
            </w:pPr>
            <w:r>
              <w:rPr>
                <w:rFonts w:ascii="Arial" w:cs="Arial" w:eastAsia="Arial" w:hAnsi="Arial"/>
                <w:b/>
                <w:bCs/>
                <w:caps w:val="false"/>
                <w:color w:val="1A3A5C"/>
                <w:sz w:val="24"/>
                <w:szCs w:val="24"/>
              </w:rPr>
              <w:t xml:space="preserve">Secondary sectors: Consumer Goods · Professional Services · Healthcare</w:t>
            </w:r>
          </w:p>
        </w:tc>
      </w:tr>
    </w:tbl>
    <w:p>
      <w:pPr>
        <w:spacing w:before="12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none" w:color="FFFFFF" w:sz="0"/>
              <w:bottom w:val="none" w:color="FFFFFF" w:sz="0"/>
              <w:right w:val="none" w:color="FFFFFF" w:sz="0"/>
            </w:tcBorders>
            <w:shd w:fill="0D7377" w:val="clear"/>
            <w:tcMar>
              <w:top w:type="dxa" w:w="120"/>
              <w:left w:type="dxa" w:w="240"/>
              <w:bottom w:type="dxa" w:w="100"/>
              <w:right w:type="dxa" w:w="240"/>
            </w:tcMar>
          </w:tcPr>
          <w:p>
            <w:pPr>
              <w:spacing w:before="0" w:after="30"/>
            </w:pPr>
            <w:r>
              <w:rPr>
                <w:rFonts w:ascii="Arial" w:cs="Arial" w:eastAsia="Arial" w:hAnsi="Arial"/>
                <w:b/>
                <w:bCs/>
                <w:caps/>
                <w:color w:val="FFFFFF"/>
                <w:sz w:val="20"/>
                <w:szCs w:val="20"/>
              </w:rPr>
              <w:t xml:space="preserve">WHAT MAKES US DIFFERENT</w:t>
            </w:r>
          </w:p>
          <w:p>
            <w:pPr>
              <w:spacing w:before="0" w:after="0"/>
            </w:pPr>
            <w:r>
              <w:rPr>
                <w:rFonts w:ascii="Arial" w:cs="Arial" w:eastAsia="Arial" w:hAnsi="Arial"/>
                <w:b/>
                <w:bCs/>
                <w:caps w:val="false"/>
                <w:color w:val="FFFFFF"/>
                <w:sz w:val="28"/>
                <w:szCs w:val="28"/>
              </w:rPr>
              <w:t xml:space="preserve">We go through the client door. Not the HR door.</w:t>
            </w:r>
          </w:p>
        </w:tc>
      </w:tr>
      <w:tr>
        <w:tc>
          <w:tcPr>
            <w:tcW w:type="dxa" w:w="95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pBdr>
                <w:bottom w:val="single" w:color="BFC9CA" w:sz="4"/>
              </w:pBdr>
              <w:spacing w:before="60" w:after="60"/>
            </w:pPr>
            <w:r>
              <w:rPr>
                <w:rFonts w:ascii="Arial" w:cs="Arial" w:eastAsia="Arial" w:hAnsi="Arial"/>
                <w:b w:val="false"/>
                <w:bCs w:val="false"/>
                <w:caps w:val="false"/>
                <w:color w:val="2C3E50"/>
                <w:sz w:val="4"/>
                <w:szCs w:val="4"/>
              </w:rPr>
              <w:t xml:space="preserve"/>
            </w:r>
          </w:p>
        </w:tc>
      </w:tr>
      <w:tr>
        <w:tc>
          <w:tcPr>
            <w:tcW w:type="dxa" w:w="9500"/>
            <w:tcBorders>
              <w:top w:val="none" w:color="FFFFFF" w:sz="0"/>
              <w:left w:val="none" w:color="FFFFFF" w:sz="0"/>
              <w:bottom w:val="none" w:color="FFFFFF" w:sz="0"/>
              <w:right w:val="none" w:color="FFFFFF" w:sz="0"/>
            </w:tcBorders>
            <w:shd w:fill="FFFFFF" w:val="clear"/>
            <w:tcMar>
              <w:top w:type="dxa" w:w="100"/>
              <w:left w:type="dxa" w:w="240"/>
              <w:bottom w:type="dxa" w:w="40"/>
              <w:right w:type="dxa" w:w="240"/>
            </w:tcMar>
          </w:tcPr>
          <w:p>
            <w:pPr>
              <w:spacing w:before="0" w:after="0"/>
            </w:pPr>
            <w:r>
              <w:rPr>
                <w:rFonts w:ascii="Arial" w:cs="Arial" w:eastAsia="Arial" w:hAnsi="Arial"/>
                <w:b/>
                <w:bCs/>
                <w:caps w:val="false"/>
                <w:color w:val="1A3A5C"/>
                <w:sz w:val="24"/>
                <w:szCs w:val="24"/>
              </w:rPr>
              <w:t xml:space="preserve">1.  We make the business case, not the moral case.</w:t>
            </w:r>
          </w:p>
        </w:tc>
      </w:tr>
      <w:tr>
        <w:tc>
          <w:tcPr>
            <w:tcW w:type="dxa" w:w="9500"/>
            <w:tcBorders>
              <w:top w:val="none" w:color="FFFFFF" w:sz="0"/>
              <w:left w:val="none" w:color="FFFFFF" w:sz="0"/>
              <w:bottom w:val="none" w:color="FFFFFF" w:sz="0"/>
              <w:right w:val="none" w:color="FFFFFF" w:sz="0"/>
            </w:tcBorders>
            <w:shd w:fill="FFFFFF" w:val="clear"/>
            <w:tcMar>
              <w:top w:type="dxa" w:w="50"/>
              <w:left w:type="dxa" w:w="240"/>
              <w:bottom w:type="dxa" w:w="50"/>
              <w:right w:type="dxa" w:w="240"/>
            </w:tcMar>
          </w:tcPr>
          <w:p>
            <w:pPr>
              <w:spacing w:before="0" w:after="0"/>
            </w:pPr>
            <w:r>
              <w:rPr>
                <w:rFonts w:ascii="Arial" w:cs="Arial" w:eastAsia="Arial" w:hAnsi="Arial"/>
                <w:b w:val="false"/>
                <w:bCs w:val="false"/>
                <w:caps w:val="false"/>
                <w:color w:val="2C3E50"/>
                <w:sz w:val="22"/>
                <w:szCs w:val="22"/>
              </w:rPr>
              <w:t xml:space="preserve">We do not come with values. We come with revenue numbers. Underserved markets are a commercial opportunity with a calculable cost of inaction. We quantify it, and we close it.</w:t>
            </w:r>
          </w:p>
        </w:tc>
      </w:tr>
      <w:tr>
        <w:tc>
          <w:tcPr>
            <w:tcW w:type="dxa" w:w="95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pBdr>
                <w:bottom w:val="single" w:color="BFC9CA" w:sz="4"/>
              </w:pBdr>
              <w:spacing w:before="60" w:after="60"/>
            </w:pPr>
            <w:r>
              <w:rPr>
                <w:rFonts w:ascii="Arial" w:cs="Arial" w:eastAsia="Arial" w:hAnsi="Arial"/>
                <w:b w:val="false"/>
                <w:bCs w:val="false"/>
                <w:caps w:val="false"/>
                <w:color w:val="2C3E50"/>
                <w:sz w:val="4"/>
                <w:szCs w:val="4"/>
              </w:rPr>
              <w:t xml:space="preserve"/>
            </w:r>
          </w:p>
        </w:tc>
      </w:tr>
      <w:tr>
        <w:tc>
          <w:tcPr>
            <w:tcW w:type="dxa" w:w="9500"/>
            <w:tcBorders>
              <w:top w:val="none" w:color="FFFFFF" w:sz="0"/>
              <w:left w:val="none" w:color="FFFFFF" w:sz="0"/>
              <w:bottom w:val="none" w:color="FFFFFF" w:sz="0"/>
              <w:right w:val="none" w:color="FFFFFF" w:sz="0"/>
            </w:tcBorders>
            <w:shd w:fill="FFFFFF" w:val="clear"/>
            <w:tcMar>
              <w:top w:type="dxa" w:w="100"/>
              <w:left w:type="dxa" w:w="240"/>
              <w:bottom w:type="dxa" w:w="40"/>
              <w:right w:type="dxa" w:w="240"/>
            </w:tcMar>
          </w:tcPr>
          <w:p>
            <w:pPr>
              <w:spacing w:before="0" w:after="0"/>
            </w:pPr>
            <w:r>
              <w:rPr>
                <w:rFonts w:ascii="Arial" w:cs="Arial" w:eastAsia="Arial" w:hAnsi="Arial"/>
                <w:b/>
                <w:bCs/>
                <w:caps w:val="false"/>
                <w:color w:val="1A3A5C"/>
                <w:sz w:val="24"/>
                <w:szCs w:val="24"/>
              </w:rPr>
              <w:t xml:space="preserve">2.  We work the client side.</w:t>
            </w:r>
          </w:p>
        </w:tc>
      </w:tr>
      <w:tr>
        <w:tc>
          <w:tcPr>
            <w:tcW w:type="dxa" w:w="9500"/>
            <w:tcBorders>
              <w:top w:val="none" w:color="FFFFFF" w:sz="0"/>
              <w:left w:val="none" w:color="FFFFFF" w:sz="0"/>
              <w:bottom w:val="none" w:color="FFFFFF" w:sz="0"/>
              <w:right w:val="none" w:color="FFFFFF" w:sz="0"/>
            </w:tcBorders>
            <w:shd w:fill="FFFFFF" w:val="clear"/>
            <w:tcMar>
              <w:top w:type="dxa" w:w="50"/>
              <w:left w:type="dxa" w:w="240"/>
              <w:bottom w:type="dxa" w:w="50"/>
              <w:right w:type="dxa" w:w="240"/>
            </w:tcMar>
          </w:tcPr>
          <w:p>
            <w:pPr>
              <w:spacing w:before="0" w:after="0"/>
            </w:pPr>
            <w:r>
              <w:rPr>
                <w:rFonts w:ascii="Arial" w:cs="Arial" w:eastAsia="Arial" w:hAnsi="Arial"/>
                <w:b w:val="false"/>
                <w:bCs w:val="false"/>
                <w:caps w:val="false"/>
                <w:color w:val="2C3E50"/>
                <w:sz w:val="22"/>
                <w:szCs w:val="22"/>
              </w:rPr>
              <w:t xml:space="preserve">Every other inclusion firm helps companies hire and retain diverse people internally. We help companies reach, serve, and grow revenue from diverse clients externally. This is an almost entirely unoccupied space.</w:t>
            </w:r>
          </w:p>
        </w:tc>
      </w:tr>
      <w:tr>
        <w:tc>
          <w:tcPr>
            <w:tcW w:type="dxa" w:w="95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pBdr>
                <w:bottom w:val="single" w:color="BFC9CA" w:sz="4"/>
              </w:pBdr>
              <w:spacing w:before="60" w:after="60"/>
            </w:pPr>
            <w:r>
              <w:rPr>
                <w:rFonts w:ascii="Arial" w:cs="Arial" w:eastAsia="Arial" w:hAnsi="Arial"/>
                <w:b w:val="false"/>
                <w:bCs w:val="false"/>
                <w:caps w:val="false"/>
                <w:color w:val="2C3E50"/>
                <w:sz w:val="4"/>
                <w:szCs w:val="4"/>
              </w:rPr>
              <w:t xml:space="preserve"/>
            </w:r>
          </w:p>
        </w:tc>
      </w:tr>
      <w:tr>
        <w:tc>
          <w:tcPr>
            <w:tcW w:type="dxa" w:w="9500"/>
            <w:tcBorders>
              <w:top w:val="none" w:color="FFFFFF" w:sz="0"/>
              <w:left w:val="none" w:color="FFFFFF" w:sz="0"/>
              <w:bottom w:val="none" w:color="FFFFFF" w:sz="0"/>
              <w:right w:val="none" w:color="FFFFFF" w:sz="0"/>
            </w:tcBorders>
            <w:shd w:fill="FFFFFF" w:val="clear"/>
            <w:tcMar>
              <w:top w:type="dxa" w:w="100"/>
              <w:left w:type="dxa" w:w="240"/>
              <w:bottom w:type="dxa" w:w="40"/>
              <w:right w:type="dxa" w:w="240"/>
            </w:tcMar>
          </w:tcPr>
          <w:p>
            <w:pPr>
              <w:spacing w:before="0" w:after="0"/>
            </w:pPr>
            <w:r>
              <w:rPr>
                <w:rFonts w:ascii="Arial" w:cs="Arial" w:eastAsia="Arial" w:hAnsi="Arial"/>
                <w:b/>
                <w:bCs/>
                <w:caps w:val="false"/>
                <w:color w:val="1A3A5C"/>
                <w:sz w:val="24"/>
                <w:szCs w:val="24"/>
              </w:rPr>
              <w:t xml:space="preserve">3.  We deliver at world-class scale.</w:t>
            </w:r>
          </w:p>
        </w:tc>
      </w:tr>
      <w:tr>
        <w:tc>
          <w:tcPr>
            <w:tcW w:type="dxa" w:w="9500"/>
            <w:tcBorders>
              <w:top w:val="none" w:color="FFFFFF" w:sz="0"/>
              <w:left w:val="none" w:color="FFFFFF" w:sz="0"/>
              <w:bottom w:val="none" w:color="FFFFFF" w:sz="0"/>
              <w:right w:val="none" w:color="FFFFFF" w:sz="0"/>
            </w:tcBorders>
            <w:shd w:fill="FFFFFF" w:val="clear"/>
            <w:tcMar>
              <w:top w:type="dxa" w:w="50"/>
              <w:left w:type="dxa" w:w="240"/>
              <w:bottom w:type="dxa" w:w="50"/>
              <w:right w:type="dxa" w:w="240"/>
            </w:tcMar>
          </w:tcPr>
          <w:p>
            <w:pPr>
              <w:spacing w:before="0" w:after="0"/>
            </w:pPr>
            <w:r>
              <w:rPr>
                <w:rFonts w:ascii="Arial" w:cs="Arial" w:eastAsia="Arial" w:hAnsi="Arial"/>
                <w:b w:val="false"/>
                <w:bCs w:val="false"/>
                <w:caps w:val="false"/>
                <w:color w:val="2C3E50"/>
                <w:sz w:val="22"/>
                <w:szCs w:val="22"/>
              </w:rPr>
              <w:t xml:space="preserve">Our methodology is evidence-based. Our delivery network spans 60+ countries via the World Bank. Our founders bring international credibility at the level of ministers, royalty, and global C-suites.</w:t>
            </w:r>
          </w:p>
        </w:tc>
      </w:tr>
    </w:tbl>
    <w:p>
      <w:pPr>
        <w:spacing w:before="12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none" w:color="FFFFFF" w:sz="0"/>
              <w:bottom w:val="none" w:color="FFFFFF" w:sz="0"/>
              <w:right w:val="none" w:color="FFFFFF" w:sz="0"/>
            </w:tcBorders>
            <w:shd w:fill="FEF3CD" w:val="clear"/>
            <w:tcMar>
              <w:top w:type="dxa" w:w="0"/>
              <w:left w:type="dxa" w:w="0"/>
              <w:bottom w:type="dxa" w:w="0"/>
              <w:right w:type="dxa" w:w="0"/>
            </w:tcMar>
          </w:tcPr>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none" w:color="FFFFFF" w:sz="0"/>
                    <w:bottom w:val="none" w:color="FFFFFF" w:sz="0"/>
                    <w:right w:val="none" w:color="FFFFFF" w:sz="0"/>
                  </w:tcBorders>
                  <w:shd w:fill="C09A0A" w:val="clear"/>
                  <w:tcMar>
                    <w:top w:type="dxa" w:w="100"/>
                    <w:left w:type="dxa" w:w="240"/>
                    <w:bottom w:type="dxa" w:w="100"/>
                    <w:right w:type="dxa" w:w="240"/>
                  </w:tcMar>
                </w:tcPr>
                <w:p>
                  <w:r>
                    <w:rPr>
                      <w:rFonts w:ascii="Arial" w:cs="Arial" w:eastAsia="Arial" w:hAnsi="Arial"/>
                      <w:b/>
                      <w:bCs/>
                      <w:caps/>
                      <w:color w:val="FFFFFF"/>
                      <w:sz w:val="20"/>
                      <w:szCs w:val="20"/>
                    </w:rPr>
                    <w:t xml:space="preserve">WHY NOW</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900"/>
            </w:tblGrid>
            <w:tr>
              <w:tc>
                <w:tcPr>
                  <w:tcW w:type="dxa" w:w="2200"/>
                  <w:tcBorders>
                    <w:top w:val="none" w:color="FFFFFF" w:sz="0"/>
                    <w:left w:val="none" w:color="FFFFFF" w:sz="0"/>
                    <w:bottom w:val="none" w:color="FFFFFF" w:sz="0"/>
                    <w:right w:val="single" w:color="BFC9CA" w:sz="4"/>
                  </w:tcBorders>
                  <w:shd w:fill="FEF3CD" w:val="clear"/>
                  <w:tcMar>
                    <w:top w:type="dxa" w:w="120"/>
                    <w:left w:type="dxa" w:w="200"/>
                    <w:bottom w:type="dxa" w:w="120"/>
                    <w:right w:type="dxa" w:w="200"/>
                  </w:tcMar>
                </w:tcPr>
                <w:p>
                  <w:pPr>
                    <w:spacing w:before="0" w:after="60"/>
                  </w:pPr>
                  <w:r>
                    <w:rPr>
                      <w:rFonts w:ascii="Arial" w:cs="Arial" w:eastAsia="Arial" w:hAnsi="Arial"/>
                      <w:b/>
                      <w:bCs/>
                      <w:caps w:val="false"/>
                      <w:color w:val="1A3A5C"/>
                      <w:sz w:val="21"/>
                      <w:szCs w:val="21"/>
                    </w:rPr>
                    <w:t xml:space="preserve">The Great Wealth Transfer</w:t>
                  </w:r>
                </w:p>
                <w:p>
                  <w:pPr>
                    <w:spacing w:before="0" w:after="0"/>
                  </w:pPr>
                  <w:r>
                    <w:rPr>
                      <w:rFonts w:ascii="Arial" w:cs="Arial" w:eastAsia="Arial" w:hAnsi="Arial"/>
                      <w:b w:val="false"/>
                      <w:bCs w:val="false"/>
                      <w:caps w:val="false"/>
                      <w:color w:val="2C3E50"/>
                      <w:sz w:val="19"/>
                      <w:szCs w:val="19"/>
                    </w:rPr>
                    <w:t xml:space="preserve">Baby boomers are transferring the largest concentration of private wealth in history — predominantly to women who outlive them.</w:t>
                  </w:r>
                </w:p>
              </w:tc>
              <w:tc>
                <w:tcPr>
                  <w:tcW w:type="dxa" w:w="2200"/>
                  <w:tcBorders>
                    <w:top w:val="none" w:color="FFFFFF" w:sz="0"/>
                    <w:left w:val="single" w:color="BFC9CA" w:sz="4"/>
                    <w:bottom w:val="none" w:color="FFFFFF" w:sz="0"/>
                    <w:right w:val="single" w:color="BFC9CA" w:sz="4"/>
                  </w:tcBorders>
                  <w:shd w:fill="FEF3CD" w:val="clear"/>
                  <w:tcMar>
                    <w:top w:type="dxa" w:w="120"/>
                    <w:left w:type="dxa" w:w="200"/>
                    <w:bottom w:type="dxa" w:w="120"/>
                    <w:right w:type="dxa" w:w="200"/>
                  </w:tcMar>
                </w:tcPr>
                <w:p>
                  <w:pPr>
                    <w:spacing w:before="0" w:after="60"/>
                  </w:pPr>
                  <w:r>
                    <w:rPr>
                      <w:rFonts w:ascii="Arial" w:cs="Arial" w:eastAsia="Arial" w:hAnsi="Arial"/>
                      <w:b/>
                      <w:bCs/>
                      <w:caps w:val="false"/>
                      <w:color w:val="1A3A5C"/>
                      <w:sz w:val="21"/>
                      <w:szCs w:val="21"/>
                    </w:rPr>
                    <w:t xml:space="preserve">Demographic = Commercial Shift</w:t>
                  </w:r>
                </w:p>
                <w:p>
                  <w:pPr>
                    <w:spacing w:before="0" w:after="0"/>
                  </w:pPr>
                  <w:r>
                    <w:rPr>
                      <w:rFonts w:ascii="Arial" w:cs="Arial" w:eastAsia="Arial" w:hAnsi="Arial"/>
                      <w:b w:val="false"/>
                      <w:bCs w:val="false"/>
                      <w:caps w:val="false"/>
                      <w:color w:val="2C3E50"/>
                      <w:sz w:val="19"/>
                      <w:szCs w:val="19"/>
                    </w:rPr>
                    <w:t xml:space="preserve">Women and diverse cultural groups are the fastest-growing segments of purchasing power globally.</w:t>
                  </w:r>
                </w:p>
              </w:tc>
              <w:tc>
                <w:tcPr>
                  <w:tcW w:type="dxa" w:w="2200"/>
                  <w:tcBorders>
                    <w:top w:val="none" w:color="FFFFFF" w:sz="0"/>
                    <w:left w:val="single" w:color="BFC9CA" w:sz="4"/>
                    <w:bottom w:val="none" w:color="FFFFFF" w:sz="0"/>
                    <w:right w:val="single" w:color="BFC9CA" w:sz="4"/>
                  </w:tcBorders>
                  <w:shd w:fill="FEF3CD" w:val="clear"/>
                  <w:tcMar>
                    <w:top w:type="dxa" w:w="120"/>
                    <w:left w:type="dxa" w:w="200"/>
                    <w:bottom w:type="dxa" w:w="120"/>
                    <w:right w:type="dxa" w:w="200"/>
                  </w:tcMar>
                </w:tcPr>
                <w:p>
                  <w:pPr>
                    <w:spacing w:before="0" w:after="60"/>
                  </w:pPr>
                  <w:r>
                    <w:rPr>
                      <w:rFonts w:ascii="Arial" w:cs="Arial" w:eastAsia="Arial" w:hAnsi="Arial"/>
                      <w:b/>
                      <w:bCs/>
                      <w:caps w:val="false"/>
                      <w:color w:val="1A3A5C"/>
                      <w:sz w:val="21"/>
                      <w:szCs w:val="21"/>
                    </w:rPr>
                    <w:t xml:space="preserve">DEI Fatigue = Our Opening</w:t>
                  </w:r>
                </w:p>
                <w:p>
                  <w:pPr>
                    <w:spacing w:before="0" w:after="0"/>
                  </w:pPr>
                  <w:r>
                    <w:rPr>
                      <w:rFonts w:ascii="Arial" w:cs="Arial" w:eastAsia="Arial" w:hAnsi="Arial"/>
                      <w:b w:val="false"/>
                      <w:bCs w:val="false"/>
                      <w:caps w:val="false"/>
                      <w:color w:val="2C3E50"/>
                      <w:sz w:val="19"/>
                      <w:szCs w:val="19"/>
                    </w:rPr>
                    <w:t xml:space="preserve">The backlash against HR-driven DEI is real. Boards want commercial results. We are the only firm positioned to deliver them.</w:t>
                  </w:r>
                </w:p>
              </w:tc>
              <w:tc>
                <w:tcPr>
                  <w:tcW w:type="dxa" w:w="2900"/>
                  <w:tcBorders>
                    <w:top w:val="none" w:color="FFFFFF" w:sz="0"/>
                    <w:left w:val="single" w:color="BFC9CA" w:sz="4"/>
                    <w:bottom w:val="none" w:color="FFFFFF" w:sz="0"/>
                    <w:right w:val="none" w:color="FFFFFF" w:sz="0"/>
                  </w:tcBorders>
                  <w:shd w:fill="FEF3CD" w:val="clear"/>
                  <w:tcMar>
                    <w:top w:type="dxa" w:w="120"/>
                    <w:left w:type="dxa" w:w="200"/>
                    <w:bottom w:type="dxa" w:w="120"/>
                    <w:right w:type="dxa" w:w="200"/>
                  </w:tcMar>
                </w:tcPr>
                <w:p>
                  <w:pPr>
                    <w:spacing w:before="0" w:after="60"/>
                  </w:pPr>
                  <w:r>
                    <w:rPr>
                      <w:rFonts w:ascii="Arial" w:cs="Arial" w:eastAsia="Arial" w:hAnsi="Arial"/>
                      <w:b/>
                      <w:bCs/>
                      <w:caps w:val="false"/>
                      <w:color w:val="1A3A5C"/>
                      <w:sz w:val="21"/>
                      <w:szCs w:val="21"/>
                    </w:rPr>
                    <w:t xml:space="preserve">World Bank Mandate</w:t>
                  </w:r>
                </w:p>
                <w:p>
                  <w:pPr>
                    <w:spacing w:before="0" w:after="0"/>
                  </w:pPr>
                  <w:r>
                    <w:rPr>
                      <w:rFonts w:ascii="Arial" w:cs="Arial" w:eastAsia="Arial" w:hAnsi="Arial"/>
                      <w:b w:val="false"/>
                      <w:bCs w:val="false"/>
                      <w:caps w:val="false"/>
                      <w:color w:val="2C3E50"/>
                      <w:sz w:val="19"/>
                      <w:szCs w:val="19"/>
                    </w:rPr>
                    <w:t xml:space="preserve">60 countries. 4 years. This signals that inclusive client practice is no longer niche — it is infrastructure.</w:t>
                  </w:r>
                </w:p>
              </w:tc>
            </w:tr>
          </w:tbl>
          <w:p/>
        </w:tc>
      </w:tr>
    </w:tbl>
    <w:p>
      <w:r>
        <w:br w:type="page"/>
      </w:r>
    </w:p>
    <w:p>
      <w:pPr>
        <w:pBdr>
          <w:bottom w:val="single" w:color="1A3A5C" w:sz="8"/>
        </w:pBdr>
        <w:shd w:fill="0D7377" w:val="clear"/>
        <w:spacing w:before="0" w:after="0"/>
        <w:jc w:val="center"/>
      </w:pPr>
      <w:r>
        <w:rPr>
          <w:rFonts w:ascii="Arial" w:cs="Arial" w:eastAsia="Arial" w:hAnsi="Arial"/>
          <w:b/>
          <w:bCs/>
          <w:caps/>
          <w:color w:val="FFFFFF"/>
          <w:sz w:val="30"/>
          <w:szCs w:val="30"/>
        </w:rPr>
        <w:t xml:space="preserve">GO-TO-MARKET SKETCH</w:t>
      </w:r>
    </w:p>
    <w:p>
      <w:pPr>
        <w:spacing w:before="80" w:after="0"/>
        <w:jc w:val="center"/>
      </w:pPr>
      <w:r>
        <w:rPr>
          <w:rFonts w:ascii="Arial" w:cs="Arial" w:eastAsia="Arial" w:hAnsi="Arial"/>
          <w:b w:val="false"/>
          <w:bCs w:val="false"/>
          <w:caps w:val="false"/>
          <w:color w:val="808B96"/>
          <w:sz w:val="22"/>
          <w:szCs w:val="22"/>
        </w:rPr>
        <w:t xml:space="preserve">First 10 corporate clients beyond the World Bank  |  90-day window</w:t>
      </w:r>
    </w:p>
    <w:p>
      <w:pPr>
        <w:spacing w:before="12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C09A0A" w:sz="32"/>
              <w:bottom w:val="none" w:color="FFFFFF" w:sz="0"/>
              <w:right w:val="none" w:color="FFFFFF" w:sz="0"/>
            </w:tcBorders>
            <w:shd w:fill="FEF3CD" w:val="clear"/>
            <w:tcMar>
              <w:top w:type="dxa" w:w="100"/>
              <w:left w:type="dxa" w:w="220"/>
              <w:bottom w:type="dxa" w:w="100"/>
              <w:right w:type="dxa" w:w="220"/>
            </w:tcMar>
          </w:tcPr>
          <w:p>
            <w:pPr>
              <w:spacing w:before="0" w:after="60"/>
            </w:pPr>
            <w:r>
              <w:rPr>
                <w:rFonts w:ascii="Arial" w:cs="Arial" w:eastAsia="Arial" w:hAnsi="Arial"/>
                <w:b/>
                <w:bCs/>
                <w:caps w:val="false"/>
                <w:color w:val="1A3A5C"/>
                <w:sz w:val="24"/>
                <w:szCs w:val="24"/>
              </w:rPr>
              <w:t xml:space="preserve">PRIMARY TARGET SECTOR: Financial Services</w:t>
            </w:r>
          </w:p>
          <w:p>
            <w:pPr>
              <w:spacing w:before="0" w:after="60"/>
            </w:pPr>
            <w:r>
              <w:rPr>
                <w:rFonts w:ascii="Arial" w:cs="Arial" w:eastAsia="Arial" w:hAnsi="Arial"/>
                <w:b w:val="false"/>
                <w:bCs w:val="false"/>
                <w:caps w:val="false"/>
                <w:color w:val="2C3E50"/>
                <w:sz w:val="21"/>
                <w:szCs w:val="21"/>
              </w:rPr>
              <w:t xml:space="preserve">Banks · Wealth Managers · Insurers · Private Equity with retail exposure</w:t>
            </w:r>
          </w:p>
          <w:p>
            <w:pPr>
              <w:spacing w:before="0" w:after="0"/>
            </w:pPr>
            <w:r>
              <w:rPr>
                <w:rFonts w:ascii="Arial" w:cs="Arial" w:eastAsia="Arial" w:hAnsi="Arial"/>
                <w:b w:val="false"/>
                <w:bCs w:val="false"/>
                <w:caps w:val="false"/>
                <w:color w:val="2C3E50"/>
                <w:sz w:val="20"/>
                <w:szCs w:val="20"/>
              </w:rPr>
              <w:t xml:space="preserve">WHY FIRST: The wealth transfer argument opens the CFO conversation, not just the CSR conversation. This is the sector with the highest cost of inaction and the clearest commercial brief.</w:t>
            </w:r>
          </w:p>
        </w:tc>
      </w:tr>
    </w:tbl>
    <w:p>
      <w:pPr>
        <w:spacing w:before="140" w:after="0"/>
      </w:pPr>
      <w:r>
        <w:rPr>
          <w:rFonts w:ascii="Arial" w:cs="Arial" w:eastAsia="Arial" w:hAnsi="Arial"/>
          <w:b w:val="false"/>
          <w:bCs w:val="false"/>
          <w:caps w:val="false"/>
          <w:color w:val="2C3E50"/>
          <w:sz w:val="4"/>
          <w:szCs w:val="4"/>
        </w:rPr>
        <w:t xml:space="preserve"/>
      </w:r>
    </w:p>
    <w:p>
      <w:pPr>
        <w:spacing w:before="0" w:after="100"/>
      </w:pPr>
      <w:r>
        <w:rPr>
          <w:rFonts w:ascii="Arial" w:cs="Arial" w:eastAsia="Arial" w:hAnsi="Arial"/>
          <w:b/>
          <w:bCs/>
          <w:caps w:val="false"/>
          <w:color w:val="1A3A5C"/>
          <w:sz w:val="24"/>
          <w:szCs w:val="24"/>
        </w:rPr>
        <w:t xml:space="preserve">FOUR ENTRY CHANNELS — Run Simultaneously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0D7377" w:sz="24"/>
              <w:bottom w:val="none" w:color="FFFFFF" w:sz="0"/>
              <w:right w:val="none" w:color="FFFFFF" w:sz="0"/>
            </w:tcBorders>
            <w:shd w:fill="F4F6F7" w:val="clear"/>
            <w:tcMar>
              <w:top w:type="dxa" w:w="100"/>
              <w:left w:type="dxa" w:w="200"/>
              <w:bottom w:type="dxa" w:w="100"/>
              <w:right w:type="dxa" w:w="200"/>
            </w:tcMar>
          </w:tcPr>
          <w:p>
            <w:pPr>
              <w:spacing w:before="0" w:after="60"/>
            </w:pPr>
            <w:r>
              <w:rPr>
                <w:rFonts w:ascii="Arial" w:cs="Arial" w:eastAsia="Arial" w:hAnsi="Arial"/>
                <w:b/>
                <w:bCs/>
                <w:caps w:val="false"/>
                <w:color w:val="1A3A5C"/>
                <w:sz w:val="23"/>
                <w:szCs w:val="23"/>
              </w:rPr>
              <w:t xml:space="preserve">1.  Chantal’s Network — Direct Executive Access</w:t>
            </w:r>
            <w:r>
              <w:rPr>
                <w:rFonts w:ascii="Arial" w:cs="Arial" w:eastAsia="Arial" w:hAnsi="Arial"/>
                <w:b w:val="false"/>
                <w:bCs w:val="false"/>
                <w:caps w:val="false"/>
                <w:color w:val="0D7377"/>
                <w:sz w:val="19"/>
                <w:szCs w:val="19"/>
              </w:rPr>
              <w:t xml:space="preserve">   30 days → 5 meetings</w:t>
            </w:r>
          </w:p>
          <w:p>
            <w:pPr>
              <w:spacing w:before="0" w:after="40"/>
            </w:pPr>
            <w:r>
              <w:rPr>
                <w:rFonts w:ascii="Arial" w:cs="Arial" w:eastAsia="Arial" w:hAnsi="Arial"/>
                <w:b w:val="false"/>
                <w:bCs w:val="false"/>
                <w:caps w:val="false"/>
                <w:color w:val="2C3E50"/>
                <w:sz w:val="21"/>
                <w:szCs w:val="21"/>
              </w:rPr>
              <w:t xml:space="preserve">The fastest path to a first conversation. Chantal’s relationships at C-suite, ministerial, and royal level open doors that no marketing budget can.</w:t>
            </w:r>
          </w:p>
          <w:p>
            <w:pPr>
              <w:spacing w:before="0" w:after="40"/>
            </w:pPr>
            <w:r>
              <w:rPr>
                <w:rFonts w:ascii="Arial" w:cs="Arial" w:eastAsia="Arial" w:hAnsi="Arial"/>
                <w:b w:val="false"/>
                <w:bCs w:val="false"/>
                <w:caps w:val="false"/>
                <w:color w:val="2C3E50"/>
                <w:sz w:val="21"/>
                <w:szCs w:val="21"/>
              </w:rPr>
              <w:t xml:space="preserve">Action: Identify 15 target organisations from Chantal’s existing network. Draft a personal outreach from Chantal — not a brochure, a conversation starter.</w:t>
            </w:r>
          </w:p>
          <w:p>
            <w:pPr>
              <w:spacing w:before="0" w:after="40"/>
            </w:pPr>
            <w:r>
              <w:rPr>
                <w:rFonts w:ascii="Arial" w:cs="Arial" w:eastAsia="Arial" w:hAnsi="Arial"/>
                <w:b w:val="false"/>
                <w:bCs w:val="false"/>
                <w:caps w:val="false"/>
                <w:color w:val="2C3E50"/>
                <w:sz w:val="21"/>
                <w:szCs w:val="21"/>
              </w:rPr>
              <w:t xml:space="preserve">Target: 5 first meetings within 30 days.</w:t>
            </w:r>
          </w:p>
        </w:tc>
      </w:tr>
    </w:tbl>
    <w:p>
      <w:pPr>
        <w:spacing w:before="10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0D7377" w:sz="24"/>
              <w:bottom w:val="none" w:color="FFFFFF" w:sz="0"/>
              <w:right w:val="none" w:color="FFFFFF" w:sz="0"/>
            </w:tcBorders>
            <w:shd w:fill="F4F6F7" w:val="clear"/>
            <w:tcMar>
              <w:top w:type="dxa" w:w="100"/>
              <w:left w:type="dxa" w:w="200"/>
              <w:bottom w:type="dxa" w:w="100"/>
              <w:right w:type="dxa" w:w="200"/>
            </w:tcMar>
          </w:tcPr>
          <w:p>
            <w:pPr>
              <w:spacing w:before="0" w:after="60"/>
            </w:pPr>
            <w:r>
              <w:rPr>
                <w:rFonts w:ascii="Arial" w:cs="Arial" w:eastAsia="Arial" w:hAnsi="Arial"/>
                <w:b/>
                <w:bCs/>
                <w:caps w:val="false"/>
                <w:color w:val="1A3A5C"/>
                <w:sz w:val="23"/>
                <w:szCs w:val="23"/>
              </w:rPr>
              <w:t xml:space="preserve">2.  World Bank as Credibility Signal + Warm Introductions</w:t>
            </w:r>
            <w:r>
              <w:rPr>
                <w:rFonts w:ascii="Arial" w:cs="Arial" w:eastAsia="Arial" w:hAnsi="Arial"/>
                <w:b w:val="false"/>
                <w:bCs w:val="false"/>
                <w:caps w:val="false"/>
                <w:color w:val="0D7377"/>
                <w:sz w:val="19"/>
                <w:szCs w:val="19"/>
              </w:rPr>
              <w:t xml:space="preserve">   60 days → warm pipeline</w:t>
            </w:r>
          </w:p>
          <w:p>
            <w:pPr>
              <w:spacing w:before="0" w:after="40"/>
            </w:pPr>
            <w:r>
              <w:rPr>
                <w:rFonts w:ascii="Arial" w:cs="Arial" w:eastAsia="Arial" w:hAnsi="Arial"/>
                <w:b w:val="false"/>
                <w:bCs w:val="false"/>
                <w:caps w:val="false"/>
                <w:color w:val="2C3E50"/>
                <w:sz w:val="21"/>
                <w:szCs w:val="21"/>
              </w:rPr>
              <w:t xml:space="preserve">The World Bank mandate is not just a contract — it is a reference that transforms the sales conversation. Use it explicitly.</w:t>
            </w:r>
          </w:p>
          <w:p>
            <w:pPr>
              <w:spacing w:before="0" w:after="40"/>
            </w:pPr>
            <w:r>
              <w:rPr>
                <w:rFonts w:ascii="Arial" w:cs="Arial" w:eastAsia="Arial" w:hAnsi="Arial"/>
                <w:b w:val="false"/>
                <w:bCs w:val="false"/>
                <w:caps w:val="false"/>
                <w:color w:val="2C3E50"/>
                <w:sz w:val="21"/>
                <w:szCs w:val="21"/>
              </w:rPr>
              <w:t xml:space="preserve">Action: Ask the World Bank for introductions to their corporate partners, financial institutions, and stakeholder organisations in target markets.</w:t>
            </w:r>
          </w:p>
          <w:p>
            <w:pPr>
              <w:spacing w:before="0" w:after="40"/>
            </w:pPr>
            <w:r>
              <w:rPr>
                <w:rFonts w:ascii="Arial" w:cs="Arial" w:eastAsia="Arial" w:hAnsi="Arial"/>
                <w:b w:val="false"/>
                <w:bCs w:val="false"/>
                <w:caps w:val="false"/>
                <w:color w:val="2C3E50"/>
                <w:sz w:val="21"/>
                <w:szCs w:val="21"/>
              </w:rPr>
              <w:t xml:space="preserve">Target: 3 warm introductions per country in the first priority markets.</w:t>
            </w:r>
          </w:p>
        </w:tc>
      </w:tr>
    </w:tbl>
    <w:p>
      <w:pPr>
        <w:spacing w:before="10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0D7377" w:sz="24"/>
              <w:bottom w:val="none" w:color="FFFFFF" w:sz="0"/>
              <w:right w:val="none" w:color="FFFFFF" w:sz="0"/>
            </w:tcBorders>
            <w:shd w:fill="F4F6F7" w:val="clear"/>
            <w:tcMar>
              <w:top w:type="dxa" w:w="100"/>
              <w:left w:type="dxa" w:w="200"/>
              <w:bottom w:type="dxa" w:w="100"/>
              <w:right w:type="dxa" w:w="200"/>
            </w:tcMar>
          </w:tcPr>
          <w:p>
            <w:pPr>
              <w:spacing w:before="0" w:after="60"/>
            </w:pPr>
            <w:r>
              <w:rPr>
                <w:rFonts w:ascii="Arial" w:cs="Arial" w:eastAsia="Arial" w:hAnsi="Arial"/>
                <w:b/>
                <w:bCs/>
                <w:caps w:val="false"/>
                <w:color w:val="1A3A5C"/>
                <w:sz w:val="23"/>
                <w:szCs w:val="23"/>
              </w:rPr>
              <w:t xml:space="preserve">3.  Keynote Speaking + Thought Leadership</w:t>
            </w:r>
            <w:r>
              <w:rPr>
                <w:rFonts w:ascii="Arial" w:cs="Arial" w:eastAsia="Arial" w:hAnsi="Arial"/>
                <w:b w:val="false"/>
                <w:bCs w:val="false"/>
                <w:caps w:val="false"/>
                <w:color w:val="0D7377"/>
                <w:sz w:val="19"/>
                <w:szCs w:val="19"/>
              </w:rPr>
              <w:t xml:space="preserve">   60 days → inbound leads</w:t>
            </w:r>
          </w:p>
          <w:p>
            <w:pPr>
              <w:spacing w:before="0" w:after="40"/>
            </w:pPr>
            <w:r>
              <w:rPr>
                <w:rFonts w:ascii="Arial" w:cs="Arial" w:eastAsia="Arial" w:hAnsi="Arial"/>
                <w:b w:val="false"/>
                <w:bCs w:val="false"/>
                <w:caps w:val="false"/>
                <w:color w:val="2C3E50"/>
                <w:sz w:val="21"/>
                <w:szCs w:val="21"/>
              </w:rPr>
              <w:t xml:space="preserve">Britt’s speaker capability + Chantal’s authority + your positioning = a speaking proposition that gets booked at financial services and C-suite events.</w:t>
            </w:r>
          </w:p>
          <w:p>
            <w:pPr>
              <w:spacing w:before="0" w:after="40"/>
            </w:pPr>
            <w:r>
              <w:rPr>
                <w:rFonts w:ascii="Arial" w:cs="Arial" w:eastAsia="Arial" w:hAnsi="Arial"/>
                <w:b w:val="false"/>
                <w:bCs w:val="false"/>
                <w:caps w:val="false"/>
                <w:color w:val="2C3E50"/>
                <w:sz w:val="21"/>
                <w:szCs w:val="21"/>
              </w:rPr>
              <w:t xml:space="preserve">Action: Identify 5 flagship conferences in the next 6 months (banking summits, wealth management forums, international business events). Submit speaker proposals now.</w:t>
            </w:r>
          </w:p>
          <w:p>
            <w:pPr>
              <w:spacing w:before="0" w:after="40"/>
            </w:pPr>
            <w:r>
              <w:rPr>
                <w:rFonts w:ascii="Arial" w:cs="Arial" w:eastAsia="Arial" w:hAnsi="Arial"/>
                <w:b w:val="false"/>
                <w:bCs w:val="false"/>
                <w:caps w:val="false"/>
                <w:color w:val="2C3E50"/>
                <w:sz w:val="21"/>
                <w:szCs w:val="21"/>
              </w:rPr>
              <w:t xml:space="preserve">Target: 3 keynote slots booked within 60 days. Each slot generates 3+ qualified leads.</w:t>
            </w:r>
          </w:p>
        </w:tc>
      </w:tr>
    </w:tbl>
    <w:p>
      <w:pPr>
        <w:spacing w:before="10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0D7377" w:sz="24"/>
              <w:bottom w:val="none" w:color="FFFFFF" w:sz="0"/>
              <w:right w:val="none" w:color="FFFFFF" w:sz="0"/>
            </w:tcBorders>
            <w:shd w:fill="F4F6F7" w:val="clear"/>
            <w:tcMar>
              <w:top w:type="dxa" w:w="100"/>
              <w:left w:type="dxa" w:w="200"/>
              <w:bottom w:type="dxa" w:w="100"/>
              <w:right w:type="dxa" w:w="200"/>
            </w:tcMar>
          </w:tcPr>
          <w:p>
            <w:pPr>
              <w:spacing w:before="0" w:after="60"/>
            </w:pPr>
            <w:r>
              <w:rPr>
                <w:rFonts w:ascii="Arial" w:cs="Arial" w:eastAsia="Arial" w:hAnsi="Arial"/>
                <w:b/>
                <w:bCs/>
                <w:caps w:val="false"/>
                <w:color w:val="1A3A5C"/>
                <w:sz w:val="23"/>
                <w:szCs w:val="23"/>
              </w:rPr>
              <w:t xml:space="preserve">4.  Flagship Research Report — ‘The Trillion-Euro Blind Spot’</w:t>
            </w:r>
            <w:r>
              <w:rPr>
                <w:rFonts w:ascii="Arial" w:cs="Arial" w:eastAsia="Arial" w:hAnsi="Arial"/>
                <w:b w:val="false"/>
                <w:bCs w:val="false"/>
                <w:caps w:val="false"/>
                <w:color w:val="0D7377"/>
                <w:sz w:val="19"/>
                <w:szCs w:val="19"/>
              </w:rPr>
              <w:t xml:space="preserve">   60 days → market authority</w:t>
            </w:r>
          </w:p>
          <w:p>
            <w:pPr>
              <w:spacing w:before="0" w:after="40"/>
            </w:pPr>
            <w:r>
              <w:rPr>
                <w:rFonts w:ascii="Arial" w:cs="Arial" w:eastAsia="Arial" w:hAnsi="Arial"/>
                <w:b w:val="false"/>
                <w:bCs w:val="false"/>
                <w:caps w:val="false"/>
                <w:color w:val="2C3E50"/>
                <w:sz w:val="21"/>
                <w:szCs w:val="21"/>
              </w:rPr>
              <w:t xml:space="preserve">Publish the business case. Quantify the cost of ignoring women and diverse cultural clients in financial services. Send it to 50 CEOs. Let the data open the door.</w:t>
            </w:r>
          </w:p>
          <w:p>
            <w:pPr>
              <w:spacing w:before="0" w:after="40"/>
            </w:pPr>
            <w:r>
              <w:rPr>
                <w:rFonts w:ascii="Arial" w:cs="Arial" w:eastAsia="Arial" w:hAnsi="Arial"/>
                <w:b w:val="false"/>
                <w:bCs w:val="false"/>
                <w:caps w:val="false"/>
                <w:color w:val="2C3E50"/>
                <w:sz w:val="21"/>
                <w:szCs w:val="21"/>
              </w:rPr>
              <w:t xml:space="preserve">The wealth transfer angle is not yet in any competitor’s narrative. Publishing it first establishes Unlockt as the definitive voice on the commercial case for inclusion.</w:t>
            </w:r>
          </w:p>
          <w:p>
            <w:pPr>
              <w:spacing w:before="0" w:after="40"/>
            </w:pPr>
            <w:r>
              <w:rPr>
                <w:rFonts w:ascii="Arial" w:cs="Arial" w:eastAsia="Arial" w:hAnsi="Arial"/>
                <w:b w:val="false"/>
                <w:bCs w:val="false"/>
                <w:caps w:val="false"/>
                <w:color w:val="2C3E50"/>
                <w:sz w:val="21"/>
                <w:szCs w:val="21"/>
              </w:rPr>
              <w:t xml:space="preserve">Action: Commission or compile the data. Design a sharp, visual report (2-4 pages). Launch via Chantal’s LinkedIn + direct CEO distribution within 60 days.</w:t>
            </w:r>
          </w:p>
        </w:tc>
      </w:tr>
    </w:tbl>
    <w:p>
      <w:pPr>
        <w:spacing w:before="140" w:after="0"/>
      </w:pPr>
      <w:r>
        <w:rPr>
          <w:rFonts w:ascii="Arial" w:cs="Arial" w:eastAsia="Arial" w:hAnsi="Arial"/>
          <w:b w:val="false"/>
          <w:bCs w:val="false"/>
          <w:caps w:val="false"/>
          <w:color w:val="2C3E50"/>
          <w:sz w:val="4"/>
          <w:szCs w:val="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50"/>
        <w:gridCol w:w="3250"/>
      </w:tblGrid>
      <w:tr>
        <w:tc>
          <w:tcPr>
            <w:tcW w:type="dxa" w:w="300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jc w:val="center"/>
            </w:pPr>
            <w:r>
              <w:rPr>
                <w:rFonts w:ascii="Arial" w:cs="Arial" w:eastAsia="Arial" w:hAnsi="Arial"/>
                <w:b/>
                <w:bCs/>
                <w:caps/>
                <w:color w:val="FFFFFF"/>
                <w:sz w:val="22"/>
                <w:szCs w:val="22"/>
              </w:rPr>
              <w:t xml:space="preserve">DAY 30</w:t>
            </w:r>
          </w:p>
        </w:tc>
        <w:tc>
          <w:tcPr>
            <w:tcW w:type="dxa" w:w="3250"/>
            <w:tcBorders>
              <w:top w:val="none" w:color="FFFFFF" w:sz="0"/>
              <w:left w:val="single" w:color="BFC9CA" w:sz="4"/>
              <w:bottom w:val="none" w:color="FFFFFF" w:sz="0"/>
              <w:right w:val="none" w:color="FFFFFF" w:sz="0"/>
            </w:tcBorders>
            <w:shd w:fill="1A3A5C" w:val="clear"/>
            <w:tcMar>
              <w:top w:type="dxa" w:w="100"/>
              <w:left w:type="dxa" w:w="180"/>
              <w:bottom w:type="dxa" w:w="100"/>
              <w:right w:type="dxa" w:w="180"/>
            </w:tcMar>
          </w:tcPr>
          <w:p>
            <w:pPr>
              <w:jc w:val="center"/>
            </w:pPr>
            <w:r>
              <w:rPr>
                <w:rFonts w:ascii="Arial" w:cs="Arial" w:eastAsia="Arial" w:hAnsi="Arial"/>
                <w:b/>
                <w:bCs/>
                <w:caps/>
                <w:color w:val="FFFFFF"/>
                <w:sz w:val="22"/>
                <w:szCs w:val="22"/>
              </w:rPr>
              <w:t xml:space="preserve">DAY 60</w:t>
            </w:r>
          </w:p>
        </w:tc>
        <w:tc>
          <w:tcPr>
            <w:tcW w:type="dxa" w:w="3250"/>
            <w:tcBorders>
              <w:top w:val="none" w:color="FFFFFF" w:sz="0"/>
              <w:left w:val="single" w:color="BFC9CA" w:sz="4"/>
              <w:bottom w:val="none" w:color="FFFFFF" w:sz="0"/>
              <w:right w:val="none" w:color="FFFFFF" w:sz="0"/>
            </w:tcBorders>
            <w:shd w:fill="1A3A5C" w:val="clear"/>
            <w:tcMar>
              <w:top w:type="dxa" w:w="100"/>
              <w:left w:type="dxa" w:w="180"/>
              <w:bottom w:type="dxa" w:w="100"/>
              <w:right w:type="dxa" w:w="180"/>
            </w:tcMar>
          </w:tcPr>
          <w:p>
            <w:pPr>
              <w:jc w:val="center"/>
            </w:pPr>
            <w:r>
              <w:rPr>
                <w:rFonts w:ascii="Arial" w:cs="Arial" w:eastAsia="Arial" w:hAnsi="Arial"/>
                <w:b/>
                <w:bCs/>
                <w:caps/>
                <w:color w:val="FFFFFF"/>
                <w:sz w:val="22"/>
                <w:szCs w:val="22"/>
              </w:rPr>
              <w:t xml:space="preserve">DAY 90</w:t>
            </w:r>
          </w:p>
        </w:tc>
      </w:tr>
      <w:tr>
        <w:tc>
          <w:tcPr>
            <w:tcW w:type="dxa" w:w="3000"/>
            <w:tcBorders>
              <w:top w:val="none" w:color="FFFFFF" w:sz="0"/>
              <w:left w:val="none" w:color="FFFFFF" w:sz="0"/>
              <w:bottom w:val="none" w:color="FFFFFF" w:sz="0"/>
              <w:right w:val="none" w:color="FFFFFF" w:sz="0"/>
            </w:tcBorders>
            <w:shd w:fill="F4F6F7"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5 C-suite meetings booked from Chantal’s network</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Speaker proposals submitted to 5 conferences</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Research report data commissioned</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World Bank intro requests sent</w:t>
            </w:r>
          </w:p>
        </w:tc>
        <w:tc>
          <w:tcPr>
            <w:tcW w:type="dxa" w:w="3250"/>
            <w:tcBorders>
              <w:top w:val="none" w:color="FFFFFF" w:sz="0"/>
              <w:left w:val="single" w:color="BFC9CA" w:sz="4"/>
              <w:bottom w:val="none" w:color="FFFFFF" w:sz="0"/>
              <w:right w:val="none" w:color="FFFFFF" w:sz="0"/>
            </w:tcBorders>
            <w:shd w:fill="D0EBEC"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First 2 paid client conversations</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Research report published + CEO distribution</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3 keynote slots confirmed</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3+ World Bank warm introductions received</w:t>
            </w:r>
          </w:p>
        </w:tc>
        <w:tc>
          <w:tcPr>
            <w:tcW w:type="dxa" w:w="3250"/>
            <w:tcBorders>
              <w:top w:val="none" w:color="FFFFFF" w:sz="0"/>
              <w:left w:val="single" w:color="BFC9CA" w:sz="4"/>
              <w:bottom w:val="none" w:color="FFFFFF" w:sz="0"/>
              <w:right w:val="none" w:color="FFFFFF" w:sz="0"/>
            </w:tcBorders>
            <w:shd w:fill="D4E6F1"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First retainer or engagement signed</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Pipeline of 10 qualified prospects</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Unlockt positioned as the go-to voice on inclusive commercial growth</w:t>
            </w:r>
          </w:p>
          <w:p>
            <w:pPr>
              <w:pStyle w:val="ListParagraph"/>
              <w:numPr>
                <w:ilvl w:val="0"/>
                <w:numId w:val="2"/>
              </w:numPr>
              <w:spacing w:before="40" w:after="40"/>
            </w:pPr>
            <w:r>
              <w:rPr>
                <w:rFonts w:ascii="Arial" w:cs="Arial" w:eastAsia="Arial" w:hAnsi="Arial"/>
                <w:b w:val="false"/>
                <w:bCs w:val="false"/>
                <w:caps w:val="false"/>
                <w:color w:val="2C3E50"/>
                <w:sz w:val="19"/>
                <w:szCs w:val="19"/>
              </w:rPr>
              <w:t xml:space="preserve">Second country market activated</w:t>
            </w:r>
          </w:p>
        </w:tc>
      </w:tr>
    </w:tbl>
    <w:p>
      <w:pPr>
        <w:spacing w:before="160" w:after="0"/>
      </w:pPr>
      <w:r>
        <w:rPr>
          <w:rFonts w:ascii="Arial" w:cs="Arial" w:eastAsia="Arial" w:hAnsi="Arial"/>
          <w:b w:val="false"/>
          <w:bCs w:val="false"/>
          <w:caps w:val="false"/>
          <w:color w:val="2C3E50"/>
          <w:sz w:val="4"/>
          <w:szCs w:val="4"/>
        </w:rPr>
        <w:t xml:space="preserve"/>
      </w:r>
    </w:p>
    <w:p>
      <w:pPr>
        <w:pBdr>
          <w:top w:val="single" w:color="0D7377" w:sz="4" w:space="6"/>
          <w:bottom w:val="single" w:color="0D7377" w:sz="4" w:space="6"/>
        </w:pBdr>
        <w:spacing w:before="140" w:after="140"/>
        <w:ind w:left="300" w:right="300"/>
        <w:jc w:val="center"/>
      </w:pPr>
      <w:r>
        <w:rPr>
          <w:rFonts w:ascii="Arial" w:cs="Arial" w:eastAsia="Arial" w:hAnsi="Arial"/>
          <w:b/>
          <w:bCs/>
          <w:caps w:val="false"/>
          <w:color w:val="1A3A5C"/>
          <w:sz w:val="24"/>
          <w:szCs w:val="24"/>
        </w:rPr>
        <w:t xml:space="preserve">The women inheriting the world’s wealth need firms that understand them. We are that firm. And we move now.</w:t>
      </w:r>
    </w:p>
    <w:sectPr>
      <w:headerReference w:type="default" r:id="rId6"/>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before="0" w:after="80"/>
    </w:pPr>
    <w:r>
      <w:rPr>
        <w:rFonts w:ascii="Arial" w:cs="Arial" w:eastAsia="Arial" w:hAnsi="Arial"/>
        <w:b/>
        <w:bCs/>
        <w:caps/>
        <w:color w:val="1A3A5C"/>
        <w:sz w:val="18"/>
        <w:szCs w:val="18"/>
      </w:rPr>
      <w:t xml:space="preserve">UNLOCKT</w:t>
    </w:r>
    <w:r>
      <w:rPr>
        <w:rFonts w:ascii="Arial" w:cs="Arial" w:eastAsia="Arial" w:hAnsi="Arial"/>
        <w:b w:val="false"/>
        <w:bCs w:val="false"/>
        <w:caps w:val="false"/>
        <w:color w:val="808B96"/>
        <w:sz w:val="18"/>
        <w:szCs w:val="18"/>
      </w:rPr>
      <w:t xml:space="preserve">   |   Positioning Statement &amp; Go-to-Market   |   Confidential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2026-03-31T07:50:40.387Z</dcterms:created>
  <dcterms:modified xsi:type="dcterms:W3CDTF">2026-03-31T07:50:40.388Z</dcterms:modified>
</cp:coreProperties>
</file>

<file path=docProps/custom.xml><?xml version="1.0" encoding="utf-8"?>
<Properties xmlns="http://schemas.openxmlformats.org/officeDocument/2006/custom-properties" xmlns:vt="http://schemas.openxmlformats.org/officeDocument/2006/docPropsVTypes"/>
</file>