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4"/>
      </w:tblGrid>
      <w:tr>
        <w:tc>
          <w:tcPr>
            <w:tcW w:type="dxa" w:w="10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BEC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aps/>
                <w:color w:val="1A3A5C"/>
                <w:sz w:val="20"/>
                <w:szCs w:val="20"/>
              </w:rPr>
              <w:t xml:space="preserve">THE LARGEST WEALTH TRANSFER IN HISTORY IS HAPPENING RIGHT NOW. </w:t>
            </w: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Most financial institutions are not ready. We make them ready — and we prove the business case.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4"/>
      </w:tblGrid>
      <w:tr>
        <w:tc>
          <w:tcPr>
            <w:tcW w:type="dxa" w:w="10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aps/>
                <w:color w:val="0D7377"/>
                <w:sz w:val="18"/>
                <w:szCs w:val="18"/>
              </w:rPr>
              <w:t xml:space="preserve">OUR METHODOLOGY</w:t>
            </w:r>
          </w:p>
        </w:tc>
      </w:tr>
    </w:tbl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200"/>
              <w:left w:type="dxa" w:w="180"/>
              <w:bottom w:type="dxa" w:w="22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9A0A"/>
                <w:sz w:val="48"/>
                <w:szCs w:val="48"/>
              </w:rPr>
              <w:t xml:space="preserve">01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DIAGNOSE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D0EBEC"/>
                <w:sz w:val="18"/>
                <w:szCs w:val="18"/>
              </w:rPr>
              <w:t xml:space="preserve">Gender Lens Framework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Identify where financial institutions are leaving money on the table — through gender data analysis, funnel gaps, product-fit audits and client behaviour mapping.</w:t>
            </w:r>
          </w:p>
          <w:p>
            <w:r>
              <w:rPr>
                <w:rFonts w:ascii="Arial" w:cs="Arial" w:eastAsia="Arial" w:hAnsi="Arial"/>
                <w:b/>
                <w:bCs/>
                <w:caps/>
                <w:color w:val="C09A0A"/>
                <w:sz w:val="15"/>
                <w:szCs w:val="15"/>
              </w:rPr>
              <w:t xml:space="preserve">OUTPUT  </w:t>
            </w:r>
            <w:r>
              <w:rPr>
                <w:rFonts w:ascii="Arial" w:cs="Arial" w:eastAsia="Arial" w:hAnsi="Arial"/>
                <w:i/>
                <w:iCs/>
                <w:color w:val="D0EBEC"/>
                <w:sz w:val="15"/>
                <w:szCs w:val="15"/>
              </w:rPr>
              <w:t xml:space="preserve">Opportunity map with quantified business potential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200"/>
              <w:left w:type="dxa" w:w="180"/>
              <w:bottom w:type="dxa" w:w="22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9A0A"/>
                <w:sz w:val="48"/>
                <w:szCs w:val="48"/>
              </w:rPr>
              <w:t xml:space="preserve">02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STRATEGISE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D0EBEC"/>
                <w:sz w:val="18"/>
                <w:szCs w:val="18"/>
              </w:rPr>
              <w:t xml:space="preserve">Opportunity Map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Turn data into an executive-ready strategy. We build a fact-based business case that makes the commercial argument impossible to ignore.</w:t>
            </w:r>
          </w:p>
          <w:p>
            <w:r>
              <w:rPr>
                <w:rFonts w:ascii="Arial" w:cs="Arial" w:eastAsia="Arial" w:hAnsi="Arial"/>
                <w:b/>
                <w:bCs/>
                <w:caps/>
                <w:color w:val="C09A0A"/>
                <w:sz w:val="15"/>
                <w:szCs w:val="15"/>
              </w:rPr>
              <w:t xml:space="preserve">OUTPUT  </w:t>
            </w:r>
            <w:r>
              <w:rPr>
                <w:rFonts w:ascii="Arial" w:cs="Arial" w:eastAsia="Arial" w:hAnsi="Arial"/>
                <w:i/>
                <w:iCs/>
                <w:color w:val="D0EBEC"/>
                <w:sz w:val="15"/>
                <w:szCs w:val="15"/>
              </w:rPr>
              <w:t xml:space="preserve">Investment-grade strategy &amp; business case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200"/>
              <w:left w:type="dxa" w:w="180"/>
              <w:bottom w:type="dxa" w:w="22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9A0A"/>
                <w:sz w:val="48"/>
                <w:szCs w:val="48"/>
              </w:rPr>
              <w:t xml:space="preserve">03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BUILD &amp; TEST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D0EBEC"/>
                <w:sz w:val="18"/>
                <w:szCs w:val="18"/>
              </w:rPr>
              <w:t xml:space="preserve">Academy + Pilots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Train internal teams, build certified practitioners and pilot improved products, propositions and processes in a safe-to-fail environment.</w:t>
            </w:r>
          </w:p>
          <w:p>
            <w:r>
              <w:rPr>
                <w:rFonts w:ascii="Arial" w:cs="Arial" w:eastAsia="Arial" w:hAnsi="Arial"/>
                <w:b/>
                <w:bCs/>
                <w:caps/>
                <w:color w:val="C09A0A"/>
                <w:sz w:val="15"/>
                <w:szCs w:val="15"/>
              </w:rPr>
              <w:t xml:space="preserve">OUTPUT  </w:t>
            </w:r>
            <w:r>
              <w:rPr>
                <w:rFonts w:ascii="Arial" w:cs="Arial" w:eastAsia="Arial" w:hAnsi="Arial"/>
                <w:i/>
                <w:iCs/>
                <w:color w:val="D0EBEC"/>
                <w:sz w:val="15"/>
                <w:szCs w:val="15"/>
              </w:rPr>
              <w:t xml:space="preserve">Validated solutions + certified practitioners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200"/>
              <w:left w:type="dxa" w:w="180"/>
              <w:bottom w:type="dxa" w:w="22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9A0A"/>
                <w:sz w:val="48"/>
                <w:szCs w:val="48"/>
              </w:rPr>
              <w:t xml:space="preserve">04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MEASURE &amp; SCALE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D0EBEC"/>
                <w:sz w:val="18"/>
                <w:szCs w:val="18"/>
              </w:rPr>
              <w:t xml:space="preserve">Embed &amp; Grow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Embed proven interventions across the organisation. Measure impact rigorously and build the case for scaling — internally and as a market signal.</w:t>
            </w:r>
          </w:p>
          <w:p>
            <w:r>
              <w:rPr>
                <w:rFonts w:ascii="Arial" w:cs="Arial" w:eastAsia="Arial" w:hAnsi="Arial"/>
                <w:b/>
                <w:bCs/>
                <w:caps/>
                <w:color w:val="C09A0A"/>
                <w:sz w:val="15"/>
                <w:szCs w:val="15"/>
              </w:rPr>
              <w:t xml:space="preserve">OUTPUT  </w:t>
            </w:r>
            <w:r>
              <w:rPr>
                <w:rFonts w:ascii="Arial" w:cs="Arial" w:eastAsia="Arial" w:hAnsi="Arial"/>
                <w:i/>
                <w:iCs/>
                <w:color w:val="D0EBEC"/>
                <w:sz w:val="15"/>
                <w:szCs w:val="15"/>
              </w:rPr>
              <w:t xml:space="preserve">Proven impact + scaling strategy</w:t>
            </w:r>
          </w:p>
        </w:tc>
      </w:tr>
    </w:tbl>
    <w:p>
      <w:pPr>
        <w:spacing w:after="140" w:before="140"/>
      </w:pPr>
      <w:r>
        <w:rPr>
          <w:rFonts w:ascii="Arial" w:cs="Arial" w:eastAsia="Arial" w:hAnsi="Arial"/>
        </w:rPr>
        <w:t xml:space="preserve"/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4"/>
      </w:tblGrid>
      <w:tr>
        <w:tc>
          <w:tcPr>
            <w:tcW w:type="dxa" w:w="10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aps/>
                <w:color w:val="0D7377"/>
                <w:sz w:val="18"/>
                <w:szCs w:val="18"/>
              </w:rPr>
              <w:t xml:space="preserve">SERVICES &amp; REVENUE STREAMS</w:t>
            </w:r>
          </w:p>
        </w:tc>
      </w:tr>
    </w:tbl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4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SERVICE</w:t>
            </w:r>
          </w:p>
        </w:tc>
        <w:tc>
          <w:tcPr>
            <w:tcW w:type="dxa" w:w="80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WHAT IT DELIVERS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BE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Readiness Scan</w:t>
            </w:r>
          </w:p>
        </w:tc>
        <w:tc>
          <w:tcPr>
            <w:tcW w:type="dxa" w:w="80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B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3A5C"/>
                <w:sz w:val="17"/>
                <w:szCs w:val="17"/>
              </w:rPr>
              <w:t xml:space="preserve">Entry-level diagnostic: zero measurement, bias audit, readiness rating (A–D). AI-enabled.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Advisory Trajectory</w:t>
            </w:r>
          </w:p>
        </w:tc>
        <w:tc>
          <w:tcPr>
            <w:tcW w:type="dxa" w:w="80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3A5C"/>
                <w:sz w:val="17"/>
                <w:szCs w:val="17"/>
              </w:rPr>
              <w:t xml:space="preserve">Bespoke engagement across employee &amp; org, data, marcom, ecosystems and propositions.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BE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Academy &amp; Certification</w:t>
            </w:r>
          </w:p>
        </w:tc>
        <w:tc>
          <w:tcPr>
            <w:tcW w:type="dxa" w:w="80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B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3A5C"/>
                <w:sz w:val="17"/>
                <w:szCs w:val="17"/>
              </w:rPr>
              <w:t xml:space="preserve">Train and certify internal practitioners (Associate → Advisor → Fellow). Builds lasting capability.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Membership Community</w:t>
            </w:r>
          </w:p>
        </w:tc>
        <w:tc>
          <w:tcPr>
            <w:tcW w:type="dxa" w:w="80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3A5C"/>
                <w:sz w:val="17"/>
                <w:szCs w:val="17"/>
              </w:rPr>
              <w:t xml:space="preserve">Peer learning, tools and benchmarks for certified organisations. Subscription model.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BE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Platform (yr 2/3)</w:t>
            </w:r>
          </w:p>
        </w:tc>
        <w:tc>
          <w:tcPr>
            <w:tcW w:type="dxa" w:w="80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B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3A5C"/>
                <w:sz w:val="17"/>
                <w:szCs w:val="17"/>
              </w:rPr>
              <w:t xml:space="preserve">Digital layer: content, allyship tracks, AI-assisted advisory. Scales without headcount.</w:t>
            </w:r>
          </w:p>
        </w:tc>
      </w:tr>
    </w:tbl>
    <w:p>
      <w:pPr>
        <w:spacing w:after="140" w:before="140"/>
      </w:pPr>
      <w:r>
        <w:rPr>
          <w:rFonts w:ascii="Arial" w:cs="Arial" w:eastAsia="Arial" w:hAnsi="Arial"/>
        </w:rPr>
        <w:t xml:space="preserve"/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4"/>
      </w:tblGrid>
      <w:tr>
        <w:tc>
          <w:tcPr>
            <w:tcW w:type="dxa" w:w="10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aps/>
                <w:color w:val="0D7377"/>
                <w:sz w:val="18"/>
                <w:szCs w:val="18"/>
              </w:rPr>
              <w:t xml:space="preserve">WHO WE SERVE</w:t>
            </w:r>
          </w:p>
        </w:tc>
      </w:tr>
    </w:tbl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1"/>
        <w:gridCol w:w="3401"/>
        <w:gridCol w:w="3401"/>
      </w:tblGrid>
      <w:tr>
        <w:tc>
          <w:tcPr>
            <w:tcW w:type="dxa" w:w="34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8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Financial Institutions</w:t>
            </w:r>
          </w:p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Banks, asset managers, insurers and intermediaries who are leaving revenue on the table by underserving women clients.</w:t>
            </w:r>
          </w:p>
        </w:tc>
        <w:tc>
          <w:tcPr>
            <w:tcW w:type="dxa" w:w="34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International Organisations</w:t>
            </w:r>
          </w:p>
          <w:p>
            <w:r>
              <w:rPr>
                <w:rFonts w:ascii="Arial" w:cs="Arial" w:eastAsia="Arial" w:hAnsi="Arial"/>
                <w:color w:val="D0EBEC"/>
                <w:sz w:val="16"/>
                <w:szCs w:val="16"/>
              </w:rPr>
              <w:t xml:space="preserve">World Bank, EIB, Financial Alliance for Women — deploying our methodology across 60+ countries.</w:t>
            </w:r>
          </w:p>
        </w:tc>
        <w:tc>
          <w:tcPr>
            <w:tcW w:type="dxa" w:w="34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8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Regulators &amp; Policy</w:t>
            </w:r>
          </w:p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Supervisors and policy makers turning awareness of gender lens finance into binding guidance and market standards.</w:t>
            </w:r>
          </w:p>
        </w:tc>
      </w:tr>
    </w:tbl>
    <w:p>
      <w:pPr>
        <w:spacing w:after="140" w:before="140"/>
      </w:pPr>
      <w:r>
        <w:rPr>
          <w:rFonts w:ascii="Arial" w:cs="Arial" w:eastAsia="Arial" w:hAnsi="Arial"/>
        </w:rPr>
        <w:t xml:space="preserve"/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2"/>
        <w:gridCol w:w="4591"/>
      </w:tblGrid>
      <w:tr>
        <w:tc>
          <w:tcPr>
            <w:tcW w:type="dxa" w:w="56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80"/>
              <w:left w:type="dxa" w:w="200"/>
              <w:bottom w:type="dxa" w:w="18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C09A0A"/>
                <w:sz w:val="17"/>
                <w:szCs w:val="17"/>
              </w:rPr>
              <w:t xml:space="preserve">WHAT MAKES US DIFFERENT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• Fact-based, financial-grade business cases — not DEI awareness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• Exclusive focus on financial institutions (deep sector expertise)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• World Bank mandate: proven at 60-country scale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• Network of ministers, royalty and C-suite — we open doors others can't</w:t>
            </w:r>
          </w:p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• Lean model: certified partner network, no overhead empire</w:t>
            </w:r>
          </w:p>
        </w:tc>
        <w:tc>
          <w:tcPr>
            <w:tcW w:type="dxa" w:w="4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8" w:val="clear"/>
            <w:tcMar>
              <w:top w:type="dxa" w:w="180"/>
              <w:left w:type="dxa" w:w="20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aps/>
                <w:color w:val="1A3A5C"/>
                <w:sz w:val="17"/>
                <w:szCs w:val="17"/>
              </w:rPr>
              <w:t xml:space="preserve">DELIBERATE SCOPE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We focus exclusively on financial institutions. We do not do general culture change, broad DEI programmes or HR consultancy. Our edge is precision.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aps/>
                <w:color w:val="0D7377"/>
                <w:sz w:val="17"/>
                <w:szCs w:val="17"/>
              </w:rPr>
              <w:t xml:space="preserve">SUCCESS IN YEAR 3</w:t>
            </w:r>
          </w:p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Match our current salaries at 50% of the time — while building the most influential gender-lens finance network in the world.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5"/>
        <w:szCs w:val="15"/>
      </w:rPr>
      <w:t xml:space="preserve">© Unlockt 2025  ·  unlocktpotential.com  ·  A Global Movement in Gender-Lens Finance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04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122"/>
      <w:gridCol w:w="4081"/>
    </w:tblGrid>
    <w:tr>
      <w:tc>
        <w:tcPr>
          <w:tcW w:type="dxa" w:w="612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3A5C" w:val="clear"/>
          <w:tcMar>
            <w:top w:type="dxa" w:w="160"/>
            <w:left w:type="dxa" w:w="220"/>
            <w:bottom w:type="dxa" w:w="16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aps/>
              <w:color w:val="FFFFFF"/>
              <w:sz w:val="28"/>
              <w:szCs w:val="28"/>
            </w:rPr>
            <w:t xml:space="preserve">UNLOCKT  </w:t>
          </w:r>
          <w:r>
            <w:rPr>
              <w:rFonts w:ascii="Arial" w:cs="Arial" w:eastAsia="Arial" w:hAnsi="Arial"/>
              <w:i/>
              <w:iCs/>
              <w:color w:val="D0EBEC"/>
              <w:sz w:val="24"/>
              <w:szCs w:val="24"/>
            </w:rPr>
            <w:t xml:space="preserve">Gender Capital Lab™</w:t>
          </w:r>
        </w:p>
      </w:tc>
      <w:tc>
        <w:tcPr>
          <w:tcW w:type="dxa" w:w="408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7377" w:val="clear"/>
          <w:tcMar>
            <w:top w:type="dxa" w:w="160"/>
            <w:left w:type="dxa" w:w="180"/>
            <w:bottom w:type="dxa" w:w="160"/>
            <w:right w:type="dxa" w:w="18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FFFFFF"/>
              <w:sz w:val="17"/>
              <w:szCs w:val="17"/>
            </w:rPr>
            <w:t xml:space="preserve">Helping financial institutions grow from awareness to action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2026-04-08T12:32:55.518Z</dcterms:created>
  <dcterms:modified xsi:type="dcterms:W3CDTF">2026-04-08T12:32:55.519Z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