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3460"/>
          <w:sz w:val="48"/>
        </w:rPr>
        <w:t>LRN Windows Services</w:t>
      </w:r>
    </w:p>
    <w:p>
      <w:pPr>
        <w:spacing w:after="40"/>
      </w:pPr>
      <w:r>
        <w:rPr>
          <w:color w:val="556677"/>
          <w:sz w:val="28"/>
        </w:rPr>
        <w:t>Usage, Data Flows and Rationalisation Audit</w:t>
      </w:r>
    </w:p>
    <w:p>
      <w:pPr>
        <w:spacing w:after="80"/>
      </w:pPr>
      <w:r>
        <w:rPr>
          <w:b w:val="0"/>
          <w:i w:val="0"/>
          <w:color w:val="556677"/>
          <w:sz w:val="18"/>
        </w:rPr>
        <w:t>Version 2  ·  Server: ReportEngine  ·  audit date 23 September 2026  ·  repository at commit 8ec2858</w:t>
      </w:r>
    </w:p>
    <w:p>
      <w:pPr>
        <w:spacing w:after="240"/>
      </w:pPr>
      <w:r>
        <w:rPr>
          <w:b w:val="0"/>
          <w:i/>
          <w:color w:val="92400E"/>
          <w:sz w:val="18"/>
        </w:rPr>
        <w:t>Version 2 adds the per-service source and output reference (Part B) and the full SharePoint folder mapping (Part C), and corrects two statements in version 1.</w:t>
      </w:r>
    </w:p>
    <w:p>
      <w:pPr>
        <w:spacing w:after="240"/>
        <w:pBdr>
          <w:bottom w:val="single" w:sz="12" w:color="0E3460"/>
        </w:pBdr>
      </w:pPr>
    </w:p>
    <w:p>
      <w:pPr>
        <w:pStyle w:val="Heading1"/>
      </w:pPr>
      <w:r>
        <w:t>1. Purpose, method and corrections</w:t>
      </w:r>
    </w:p>
    <w:p>
      <w:pPr>
        <w:spacing w:after="120"/>
      </w:pPr>
      <w:r>
        <w:rPr>
          <w:b w:val="0"/>
          <w:i w:val="0"/>
          <w:sz w:val="20"/>
        </w:rPr>
        <w:t>This document answers: what each LRN service reads, what it writes and where, which folders move between the server and SharePoint in each direction, and which processes can be switched off. It compares what is deployed under C:\Services against what exists in LabMetricsDashboard.sln.</w:t>
      </w:r>
    </w:p>
    <w:p>
      <w:pPr>
        <w:spacing w:after="60"/>
      </w:pPr>
      <w:r>
        <w:rPr>
          <w:b/>
          <w:i w:val="0"/>
          <w:sz w:val="20"/>
        </w:rPr>
        <w:t>Evidence used</w:t>
      </w:r>
    </w:p>
    <w:p>
      <w:pPr>
        <w:pStyle w:val="ListBullet"/>
        <w:spacing w:after="60"/>
      </w:pPr>
      <w:r>
        <w:rPr>
          <w:b/>
          <w:sz w:val="20"/>
        </w:rPr>
        <w:t xml:space="preserve">Service registry — </w:t>
      </w:r>
      <w:r>
        <w:rPr>
          <w:sz w:val="20"/>
        </w:rPr>
        <w:t>registered Windows Services and binary paths from Win32_Service.</w:t>
      </w:r>
    </w:p>
    <w:p>
      <w:pPr>
        <w:pStyle w:val="ListBullet"/>
        <w:spacing w:after="60"/>
      </w:pPr>
      <w:r>
        <w:rPr>
          <w:b/>
          <w:sz w:val="20"/>
        </w:rPr>
        <w:t xml:space="preserve">Deployment folders — </w:t>
      </w:r>
      <w:r>
        <w:rPr>
          <w:sz w:val="20"/>
        </w:rPr>
        <w:t>all 37 folders under C:\Services mapped to their entry-point executable or script.</w:t>
      </w:r>
    </w:p>
    <w:p>
      <w:pPr>
        <w:pStyle w:val="ListBullet"/>
        <w:spacing w:after="60"/>
      </w:pPr>
      <w:r>
        <w:rPr>
          <w:b/>
          <w:sz w:val="20"/>
        </w:rPr>
        <w:t xml:space="preserve">Live configuration — </w:t>
      </w:r>
      <w:r>
        <w:rPr>
          <w:sz w:val="20"/>
        </w:rPr>
        <w:t>appsettings.json read from the deployed folders, not the repository. Where they differ the deployed copy is treated as the truth.</w:t>
      </w:r>
    </w:p>
    <w:p>
      <w:pPr>
        <w:pStyle w:val="ListBullet"/>
        <w:spacing w:after="60"/>
      </w:pPr>
      <w:r>
        <w:rPr>
          <w:b/>
          <w:sz w:val="20"/>
        </w:rPr>
        <w:t xml:space="preserve">Actual file inventory — </w:t>
      </w:r>
      <w:r>
        <w:rPr>
          <w:sz w:val="20"/>
        </w:rPr>
        <w:t>every folder under LRN-Input, LRN-Output and LRN-Masters counted by file type and last-written date. This is what distinguishes a configured path from a working one.</w:t>
      </w:r>
    </w:p>
    <w:p>
      <w:pPr>
        <w:pStyle w:val="ListBullet"/>
        <w:spacing w:after="60"/>
      </w:pPr>
      <w:r>
        <w:rPr>
          <w:b/>
          <w:sz w:val="20"/>
        </w:rPr>
        <w:t xml:space="preserve">Source code — </w:t>
      </w:r>
      <w:r>
        <w:rPr>
          <w:sz w:val="20"/>
        </w:rPr>
        <w:t>bulk-copy destinations, mapper JSON target tables and queue tables read from source.</w:t>
      </w:r>
    </w:p>
    <w:p>
      <w:pPr>
        <w:pStyle w:val="Heading2"/>
      </w:pPr>
      <w:r>
        <w:t>1.1 Corrections to version 1</w:t>
      </w:r>
    </w:p>
    <w:tbl>
      <w:tblPr>
        <w:tblStyle w:val="TableGrid"/>
        <w:tblW w:type="auto" w:w="0"/>
        <w:jc w:val="center"/>
        <w:tblLayout w:type="fixed"/>
        <w:tblLook w:firstColumn="1" w:firstRow="1" w:lastColumn="0" w:lastRow="0" w:noHBand="0" w:noVBand="1" w:val="04A0"/>
      </w:tblPr>
      <w:tblGrid>
        <w:gridCol w:w="360"/>
        <w:gridCol w:w="2880"/>
        <w:gridCol w:w="2736"/>
        <w:gridCol w:w="4320"/>
      </w:tblGrid>
      <w:tr>
        <w:tc>
          <w:tcPr>
            <w:tcW w:type="dxa" w:w="360"/>
            <w:shd w:val="clear" w:fill="0E3460"/>
          </w:tcPr>
          <w:p>
            <w:pPr>
              <w:spacing w:after="40" w:before="40"/>
            </w:pPr>
            <w:r/>
            <w:r>
              <w:rPr>
                <w:b/>
                <w:color w:val="FFFFFF"/>
                <w:sz w:val="16"/>
              </w:rPr>
              <w:t>#</w:t>
            </w:r>
          </w:p>
        </w:tc>
        <w:tc>
          <w:tcPr>
            <w:tcW w:type="dxa" w:w="2880"/>
            <w:shd w:val="clear" w:fill="0E3460"/>
          </w:tcPr>
          <w:p>
            <w:pPr>
              <w:spacing w:after="40" w:before="40"/>
            </w:pPr>
            <w:r/>
            <w:r>
              <w:rPr>
                <w:b/>
                <w:color w:val="FFFFFF"/>
                <w:sz w:val="16"/>
              </w:rPr>
              <w:t>Version 1 said</w:t>
            </w:r>
          </w:p>
        </w:tc>
        <w:tc>
          <w:tcPr>
            <w:tcW w:type="dxa" w:w="2736"/>
            <w:shd w:val="clear" w:fill="0E3460"/>
          </w:tcPr>
          <w:p>
            <w:pPr>
              <w:spacing w:after="40" w:before="40"/>
            </w:pPr>
            <w:r/>
            <w:r>
              <w:rPr>
                <w:b/>
                <w:color w:val="FFFFFF"/>
                <w:sz w:val="16"/>
              </w:rPr>
              <w:t>Correct position</w:t>
            </w:r>
          </w:p>
        </w:tc>
        <w:tc>
          <w:tcPr>
            <w:tcW w:type="dxa" w:w="4320"/>
            <w:shd w:val="clear" w:fill="0E3460"/>
          </w:tcPr>
          <w:p>
            <w:pPr>
              <w:spacing w:after="40" w:before="40"/>
            </w:pPr>
            <w:r/>
            <w:r>
              <w:rPr>
                <w:b/>
                <w:color w:val="FFFFFF"/>
                <w:sz w:val="16"/>
              </w:rPr>
              <w:t>Evidence</w:t>
            </w:r>
          </w:p>
        </w:tc>
      </w:tr>
      <w:tr>
        <w:tc>
          <w:tcPr>
            <w:tcW w:type="dxa" w:w="360"/>
          </w:tcPr>
          <w:p>
            <w:pPr>
              <w:spacing w:after="40" w:before="40"/>
            </w:pPr>
            <w:r/>
            <w:r>
              <w:rPr>
                <w:b w:val="0"/>
                <w:sz w:val="16"/>
              </w:rPr>
              <w:t>1</w:t>
            </w:r>
          </w:p>
        </w:tc>
        <w:tc>
          <w:tcPr>
            <w:tcW w:type="dxa" w:w="2880"/>
          </w:tcPr>
          <w:p>
            <w:pPr>
              <w:spacing w:after="40" w:before="40"/>
            </w:pPr>
            <w:r/>
            <w:r>
              <w:rPr>
                <w:b w:val="0"/>
                <w:sz w:val="16"/>
              </w:rPr>
              <w:t>LRN.DenialAnalysisProcessor writes output files per lab</w:t>
            </w:r>
          </w:p>
        </w:tc>
        <w:tc>
          <w:tcPr>
            <w:tcW w:type="dxa" w:w="2736"/>
          </w:tcPr>
          <w:p>
            <w:pPr>
              <w:spacing w:after="40" w:before="40"/>
            </w:pPr>
            <w:r/>
            <w:r>
              <w:rPr>
                <w:b/>
                <w:color w:val="9B1C1C"/>
                <w:sz w:val="16"/>
              </w:rPr>
              <w:t>It writes no output files at all</w:t>
            </w:r>
          </w:p>
        </w:tc>
        <w:tc>
          <w:tcPr>
            <w:tcW w:type="dxa" w:w="4320"/>
          </w:tcPr>
          <w:p>
            <w:pPr>
              <w:spacing w:after="40" w:before="40"/>
            </w:pPr>
            <w:r/>
            <w:r>
              <w:rPr>
                <w:b w:val="0"/>
                <w:sz w:val="16"/>
              </w:rPr>
              <w:t>GenerateOutputFiles=false and UploadOutputsToSharePoint=false in the deployed config. DenialDatabaseWorker.cs:443 calls this a pure SQL copy. The DenialDatabase output folder holds 4 xlsx last written 2026-04-14.</w:t>
            </w:r>
          </w:p>
        </w:tc>
      </w:tr>
      <w:tr>
        <w:tc>
          <w:tcPr>
            <w:tcW w:type="dxa" w:w="360"/>
            <w:shd w:val="clear" w:fill="F2F6FA"/>
          </w:tcPr>
          <w:p>
            <w:pPr>
              <w:spacing w:after="40" w:before="40"/>
            </w:pPr>
            <w:r/>
            <w:r>
              <w:rPr>
                <w:b w:val="0"/>
                <w:sz w:val="16"/>
              </w:rPr>
              <w:t>2</w:t>
            </w:r>
          </w:p>
        </w:tc>
        <w:tc>
          <w:tcPr>
            <w:tcW w:type="dxa" w:w="2880"/>
            <w:shd w:val="clear" w:fill="F2F6FA"/>
          </w:tcPr>
          <w:p>
            <w:pPr>
              <w:spacing w:after="40" w:before="40"/>
            </w:pPr>
            <w:r/>
            <w:r>
              <w:rPr>
                <w:b w:val="0"/>
                <w:sz w:val="16"/>
              </w:rPr>
              <w:t>LRN.AverageImport.Worker output is consumed by the Uploader's Averages path</w:t>
            </w:r>
          </w:p>
        </w:tc>
        <w:tc>
          <w:tcPr>
            <w:tcW w:type="dxa" w:w="2736"/>
            <w:shd w:val="clear" w:fill="F2F6FA"/>
          </w:tcPr>
          <w:p>
            <w:pPr>
              <w:spacing w:after="40" w:before="40"/>
            </w:pPr>
            <w:r/>
            <w:r>
              <w:rPr>
                <w:b/>
                <w:color w:val="9B1C1C"/>
                <w:sz w:val="16"/>
              </w:rPr>
              <w:t>It writes no files; it is database to database</w:t>
            </w:r>
          </w:p>
        </w:tc>
        <w:tc>
          <w:tcPr>
            <w:tcW w:type="dxa" w:w="4320"/>
            <w:shd w:val="clear" w:fill="F2F6FA"/>
          </w:tcPr>
          <w:p>
            <w:pPr>
              <w:spacing w:after="40" w:before="40"/>
            </w:pPr>
            <w:r/>
            <w:r>
              <w:rPr>
                <w:b w:val="0"/>
                <w:sz w:val="16"/>
              </w:rPr>
              <w:t>ImportService.cs:77,82 bulk-copies into CPTAverage and PanelAverage. The Averages CSVs are produced by a different pipeline.</w:t>
            </w:r>
          </w:p>
        </w:tc>
      </w:tr>
    </w:tbl>
    <w:p>
      <w:pPr>
        <w:spacing w:after="80"/>
      </w:pPr>
    </w:p>
    <w:tbl>
      <w:tblPr>
        <w:tblStyle w:val="TableGrid"/>
        <w:tblW w:type="auto" w:w="0"/>
        <w:tblLayout w:type="fixed"/>
        <w:tblLook w:firstColumn="1" w:firstRow="1" w:lastColumn="0" w:lastRow="0" w:noHBand="0" w:noVBand="1" w:val="04A0"/>
      </w:tblPr>
      <w:tblGrid>
        <w:gridCol w:w="10224"/>
      </w:tblGrid>
      <w:tr>
        <w:tc>
          <w:tcPr>
            <w:tcW w:type="dxa" w:w="10224"/>
            <w:shd w:val="clear" w:fill="FFF4E5"/>
          </w:tcPr>
          <w:p>
            <w:pPr>
              <w:spacing w:after="60"/>
            </w:pPr>
            <w:r/>
            <w:r>
              <w:rPr>
                <w:b/>
                <w:color w:val="92400E"/>
                <w:sz w:val="20"/>
              </w:rPr>
              <w:t>Evidence gap, unchanged from version 1</w:t>
            </w:r>
          </w:p>
          <w:p>
            <w:pPr>
              <w:spacing w:after="40"/>
            </w:pPr>
            <w:r>
              <w:rPr>
                <w:sz w:val="19"/>
              </w:rPr>
              <w:t>Scheduled tasks still could not be enumerated. Six Python automation folders write logs daily with no registered Windows Service behind them, so something triggers them. Confirm the Task Scheduler library as an administrator before decommissioning anything in Part E.</w:t>
            </w:r>
          </w:p>
        </w:tc>
      </w:tr>
    </w:tbl>
    <w:p>
      <w:pPr>
        <w:spacing w:after="80"/>
      </w:pPr>
    </w:p>
    <w:p>
      <w:r>
        <w:br w:type="page"/>
      </w:r>
    </w:p>
    <w:p>
      <w:pPr>
        <w:pStyle w:val="Heading1"/>
      </w:pPr>
      <w:r>
        <w:t>2. Part A — Registered services and the estate</w:t>
      </w:r>
    </w:p>
    <w:tbl>
      <w:tblPr>
        <w:tblStyle w:val="TableGrid"/>
        <w:tblW w:type="auto" w:w="0"/>
        <w:jc w:val="center"/>
        <w:tblLayout w:type="fixed"/>
        <w:tblLook w:firstColumn="1" w:firstRow="1" w:lastColumn="0" w:lastRow="0" w:noHBand="0" w:noVBand="1" w:val="04A0"/>
      </w:tblPr>
      <w:tblGrid>
        <w:gridCol w:w="3888"/>
        <w:gridCol w:w="1296"/>
        <w:gridCol w:w="5040"/>
      </w:tblGrid>
      <w:tr>
        <w:tc>
          <w:tcPr>
            <w:tcW w:type="dxa" w:w="3888"/>
            <w:shd w:val="clear" w:fill="0E3460"/>
          </w:tcPr>
          <w:p>
            <w:pPr>
              <w:spacing w:after="40" w:before="40"/>
            </w:pPr>
            <w:r/>
            <w:r>
              <w:rPr>
                <w:b/>
                <w:color w:val="FFFFFF"/>
                <w:sz w:val="16"/>
              </w:rPr>
              <w:t>Measure</w:t>
            </w:r>
          </w:p>
        </w:tc>
        <w:tc>
          <w:tcPr>
            <w:tcW w:type="dxa" w:w="1296"/>
            <w:shd w:val="clear" w:fill="0E3460"/>
          </w:tcPr>
          <w:p>
            <w:pPr>
              <w:spacing w:after="40" w:before="40"/>
            </w:pPr>
            <w:r/>
            <w:r>
              <w:rPr>
                <w:b/>
                <w:color w:val="FFFFFF"/>
                <w:sz w:val="16"/>
              </w:rPr>
              <w:t>Count</w:t>
            </w:r>
          </w:p>
        </w:tc>
        <w:tc>
          <w:tcPr>
            <w:tcW w:type="dxa" w:w="5040"/>
            <w:shd w:val="clear" w:fill="0E3460"/>
          </w:tcPr>
          <w:p>
            <w:pPr>
              <w:spacing w:after="40" w:before="40"/>
            </w:pPr>
            <w:r/>
            <w:r>
              <w:rPr>
                <w:b/>
                <w:color w:val="FFFFFF"/>
                <w:sz w:val="16"/>
              </w:rPr>
              <w:t>Comment</w:t>
            </w:r>
          </w:p>
        </w:tc>
      </w:tr>
      <w:tr>
        <w:tc>
          <w:tcPr>
            <w:tcW w:type="dxa" w:w="3888"/>
          </w:tcPr>
          <w:p>
            <w:pPr>
              <w:spacing w:after="40" w:before="40"/>
            </w:pPr>
            <w:r/>
            <w:r>
              <w:rPr>
                <w:b w:val="0"/>
                <w:sz w:val="16"/>
              </w:rPr>
              <w:t>Folders under C:\Services</w:t>
            </w:r>
          </w:p>
        </w:tc>
        <w:tc>
          <w:tcPr>
            <w:tcW w:type="dxa" w:w="1296"/>
          </w:tcPr>
          <w:p>
            <w:pPr>
              <w:spacing w:after="40" w:before="40"/>
            </w:pPr>
            <w:r/>
            <w:r>
              <w:rPr>
                <w:b w:val="0"/>
                <w:sz w:val="16"/>
              </w:rPr>
              <w:t>37</w:t>
            </w:r>
          </w:p>
        </w:tc>
        <w:tc>
          <w:tcPr>
            <w:tcW w:type="dxa" w:w="5040"/>
          </w:tcPr>
          <w:p>
            <w:pPr>
              <w:spacing w:after="40" w:before="40"/>
            </w:pPr>
            <w:r/>
            <w:r>
              <w:rPr>
                <w:b w:val="0"/>
                <w:sz w:val="16"/>
              </w:rPr>
              <w:t>The deployment surface</w:t>
            </w:r>
          </w:p>
        </w:tc>
      </w:tr>
      <w:tr>
        <w:tc>
          <w:tcPr>
            <w:tcW w:type="dxa" w:w="3888"/>
            <w:shd w:val="clear" w:fill="F2F6FA"/>
          </w:tcPr>
          <w:p>
            <w:pPr>
              <w:spacing w:after="40" w:before="40"/>
            </w:pPr>
            <w:r/>
            <w:r>
              <w:rPr>
                <w:b w:val="0"/>
                <w:sz w:val="16"/>
              </w:rPr>
              <w:t>Registered Windows Services (LRN-related)</w:t>
            </w:r>
          </w:p>
        </w:tc>
        <w:tc>
          <w:tcPr>
            <w:tcW w:type="dxa" w:w="1296"/>
            <w:shd w:val="clear" w:fill="F2F6FA"/>
          </w:tcPr>
          <w:p>
            <w:pPr>
              <w:spacing w:after="40" w:before="40"/>
            </w:pPr>
            <w:r/>
            <w:r>
              <w:rPr>
                <w:b w:val="0"/>
                <w:sz w:val="16"/>
              </w:rPr>
              <w:t>12</w:t>
            </w:r>
          </w:p>
        </w:tc>
        <w:tc>
          <w:tcPr>
            <w:tcW w:type="dxa" w:w="5040"/>
            <w:shd w:val="clear" w:fill="F2F6FA"/>
          </w:tcPr>
          <w:p>
            <w:pPr>
              <w:spacing w:after="40" w:before="40"/>
            </w:pPr>
            <w:r/>
            <w:r>
              <w:rPr>
                <w:b w:val="0"/>
                <w:sz w:val="16"/>
              </w:rPr>
              <w:t>11 running, 1 disabled</w:t>
            </w:r>
          </w:p>
        </w:tc>
      </w:tr>
      <w:tr>
        <w:tc>
          <w:tcPr>
            <w:tcW w:type="dxa" w:w="3888"/>
          </w:tcPr>
          <w:p>
            <w:pPr>
              <w:spacing w:after="40" w:before="40"/>
            </w:pPr>
            <w:r/>
            <w:r>
              <w:rPr>
                <w:b w:val="0"/>
                <w:sz w:val="16"/>
              </w:rPr>
              <w:t>...backed by a solution project</w:t>
            </w:r>
          </w:p>
        </w:tc>
        <w:tc>
          <w:tcPr>
            <w:tcW w:type="dxa" w:w="1296"/>
          </w:tcPr>
          <w:p>
            <w:pPr>
              <w:spacing w:after="40" w:before="40"/>
            </w:pPr>
            <w:r/>
            <w:r>
              <w:rPr>
                <w:b/>
                <w:color w:val="0F6B45"/>
                <w:sz w:val="16"/>
              </w:rPr>
              <w:t>9</w:t>
            </w:r>
          </w:p>
        </w:tc>
        <w:tc>
          <w:tcPr>
            <w:tcW w:type="dxa" w:w="5040"/>
          </w:tcPr>
          <w:p>
            <w:pPr>
              <w:spacing w:after="40" w:before="40"/>
            </w:pPr>
            <w:r/>
            <w:r>
              <w:rPr>
                <w:b w:val="0"/>
                <w:sz w:val="16"/>
              </w:rPr>
              <w:t>The supported set</w:t>
            </w:r>
          </w:p>
        </w:tc>
      </w:tr>
      <w:tr>
        <w:tc>
          <w:tcPr>
            <w:tcW w:type="dxa" w:w="3888"/>
            <w:shd w:val="clear" w:fill="F2F6FA"/>
          </w:tcPr>
          <w:p>
            <w:pPr>
              <w:spacing w:after="40" w:before="40"/>
            </w:pPr>
            <w:r/>
            <w:r>
              <w:rPr>
                <w:b w:val="0"/>
                <w:sz w:val="16"/>
              </w:rPr>
              <w:t>...with no project in the solution</w:t>
            </w:r>
          </w:p>
        </w:tc>
        <w:tc>
          <w:tcPr>
            <w:tcW w:type="dxa" w:w="1296"/>
            <w:shd w:val="clear" w:fill="F2F6FA"/>
          </w:tcPr>
          <w:p>
            <w:pPr>
              <w:spacing w:after="40" w:before="40"/>
            </w:pPr>
            <w:r/>
            <w:r>
              <w:rPr>
                <w:b/>
                <w:color w:val="9B1C1C"/>
                <w:sz w:val="16"/>
              </w:rPr>
              <w:t>3</w:t>
            </w:r>
          </w:p>
        </w:tc>
        <w:tc>
          <w:tcPr>
            <w:tcW w:type="dxa" w:w="5040"/>
            <w:shd w:val="clear" w:fill="F2F6FA"/>
          </w:tcPr>
          <w:p>
            <w:pPr>
              <w:spacing w:after="40" w:before="40"/>
            </w:pPr>
            <w:r/>
            <w:r>
              <w:rPr>
                <w:b w:val="0"/>
                <w:sz w:val="16"/>
              </w:rPr>
              <w:t>Binary-only, no source found</w:t>
            </w:r>
          </w:p>
        </w:tc>
      </w:tr>
      <w:tr>
        <w:tc>
          <w:tcPr>
            <w:tcW w:type="dxa" w:w="3888"/>
          </w:tcPr>
          <w:p>
            <w:pPr>
              <w:spacing w:after="40" w:before="40"/>
            </w:pPr>
            <w:r/>
            <w:r>
              <w:rPr>
                <w:b w:val="0"/>
                <w:sz w:val="16"/>
              </w:rPr>
              <w:t>C:\Services folders backing a registered service</w:t>
            </w:r>
          </w:p>
        </w:tc>
        <w:tc>
          <w:tcPr>
            <w:tcW w:type="dxa" w:w="1296"/>
          </w:tcPr>
          <w:p>
            <w:pPr>
              <w:spacing w:after="40" w:before="40"/>
            </w:pPr>
            <w:r/>
            <w:r>
              <w:rPr>
                <w:b/>
                <w:color w:val="9B1C1C"/>
                <w:sz w:val="16"/>
              </w:rPr>
              <w:t>8</w:t>
            </w:r>
          </w:p>
        </w:tc>
        <w:tc>
          <w:tcPr>
            <w:tcW w:type="dxa" w:w="5040"/>
          </w:tcPr>
          <w:p>
            <w:pPr>
              <w:spacing w:after="40" w:before="40"/>
            </w:pPr>
            <w:r/>
            <w:r>
              <w:rPr>
                <w:b w:val="0"/>
                <w:sz w:val="16"/>
              </w:rPr>
              <w:t>The other 29 are not services</w:t>
            </w:r>
          </w:p>
        </w:tc>
      </w:tr>
      <w:tr>
        <w:tc>
          <w:tcPr>
            <w:tcW w:type="dxa" w:w="3888"/>
            <w:shd w:val="clear" w:fill="F2F6FA"/>
          </w:tcPr>
          <w:p>
            <w:pPr>
              <w:spacing w:after="40" w:before="40"/>
            </w:pPr>
            <w:r/>
            <w:r>
              <w:rPr>
                <w:b w:val="0"/>
                <w:sz w:val="16"/>
              </w:rPr>
              <w:t>Folders with no service and no log output</w:t>
            </w:r>
          </w:p>
        </w:tc>
        <w:tc>
          <w:tcPr>
            <w:tcW w:type="dxa" w:w="1296"/>
            <w:shd w:val="clear" w:fill="F2F6FA"/>
          </w:tcPr>
          <w:p>
            <w:pPr>
              <w:spacing w:after="40" w:before="40"/>
            </w:pPr>
            <w:r/>
            <w:r>
              <w:rPr>
                <w:b/>
                <w:color w:val="9B1C1C"/>
                <w:sz w:val="16"/>
              </w:rPr>
              <w:t>20</w:t>
            </w:r>
          </w:p>
        </w:tc>
        <w:tc>
          <w:tcPr>
            <w:tcW w:type="dxa" w:w="5040"/>
            <w:shd w:val="clear" w:fill="F2F6FA"/>
          </w:tcPr>
          <w:p>
            <w:pPr>
              <w:spacing w:after="40" w:before="40"/>
            </w:pPr>
            <w:r/>
            <w:r>
              <w:rPr>
                <w:b w:val="0"/>
                <w:sz w:val="16"/>
              </w:rPr>
              <w:t>Dormant, primary removal candidates</w:t>
            </w:r>
          </w:p>
        </w:tc>
      </w:tr>
      <w:tr>
        <w:tc>
          <w:tcPr>
            <w:tcW w:type="dxa" w:w="3888"/>
          </w:tcPr>
          <w:p>
            <w:pPr>
              <w:spacing w:after="40" w:before="40"/>
            </w:pPr>
            <w:r/>
            <w:r>
              <w:rPr>
                <w:b w:val="0"/>
                <w:sz w:val="16"/>
              </w:rPr>
              <w:t>Python automation folders</w:t>
            </w:r>
          </w:p>
        </w:tc>
        <w:tc>
          <w:tcPr>
            <w:tcW w:type="dxa" w:w="1296"/>
          </w:tcPr>
          <w:p>
            <w:pPr>
              <w:spacing w:after="40" w:before="40"/>
            </w:pPr>
            <w:r/>
            <w:r>
              <w:rPr>
                <w:b w:val="0"/>
                <w:sz w:val="16"/>
              </w:rPr>
              <w:t>10</w:t>
            </w:r>
          </w:p>
        </w:tc>
        <w:tc>
          <w:tcPr>
            <w:tcW w:type="dxa" w:w="5040"/>
          </w:tcPr>
          <w:p>
            <w:pPr>
              <w:spacing w:after="40" w:before="40"/>
            </w:pPr>
            <w:r/>
            <w:r>
              <w:rPr>
                <w:b w:val="0"/>
                <w:sz w:val="16"/>
              </w:rPr>
              <w:t>None exist in the solution</w:t>
            </w:r>
          </w:p>
        </w:tc>
      </w:tr>
      <w:tr>
        <w:tc>
          <w:tcPr>
            <w:tcW w:type="dxa" w:w="3888"/>
            <w:shd w:val="clear" w:fill="F2F6FA"/>
          </w:tcPr>
          <w:p>
            <w:pPr>
              <w:spacing w:after="40" w:before="40"/>
            </w:pPr>
            <w:r/>
            <w:r>
              <w:rPr>
                <w:b w:val="0"/>
                <w:sz w:val="16"/>
              </w:rPr>
              <w:t>Solution projects with no deployment</w:t>
            </w:r>
          </w:p>
        </w:tc>
        <w:tc>
          <w:tcPr>
            <w:tcW w:type="dxa" w:w="1296"/>
            <w:shd w:val="clear" w:fill="F2F6FA"/>
          </w:tcPr>
          <w:p>
            <w:pPr>
              <w:spacing w:after="40" w:before="40"/>
            </w:pPr>
            <w:r/>
            <w:r>
              <w:rPr>
                <w:b/>
                <w:color w:val="9B1C1C"/>
                <w:sz w:val="16"/>
              </w:rPr>
              <w:t>2</w:t>
            </w:r>
          </w:p>
        </w:tc>
        <w:tc>
          <w:tcPr>
            <w:tcW w:type="dxa" w:w="5040"/>
            <w:shd w:val="clear" w:fill="F2F6FA"/>
          </w:tcPr>
          <w:p>
            <w:pPr>
              <w:spacing w:after="40" w:before="40"/>
            </w:pPr>
            <w:r/>
            <w:r>
              <w:rPr>
                <w:b w:val="0"/>
                <w:sz w:val="16"/>
              </w:rPr>
              <w:t>LRN.AzBlobSync, RcmWatcherService</w:t>
            </w:r>
          </w:p>
        </w:tc>
      </w:tr>
    </w:tbl>
    <w:p>
      <w:pPr>
        <w:spacing w:after="80"/>
      </w:pPr>
    </w:p>
    <w:tbl>
      <w:tblPr>
        <w:tblStyle w:val="TableGrid"/>
        <w:tblW w:type="auto" w:w="0"/>
        <w:jc w:val="center"/>
        <w:tblLayout w:type="fixed"/>
        <w:tblLook w:firstColumn="1" w:firstRow="1" w:lastColumn="0" w:lastRow="0" w:noHBand="0" w:noVBand="1" w:val="04A0"/>
      </w:tblPr>
      <w:tblGrid>
        <w:gridCol w:w="2736"/>
        <w:gridCol w:w="1008"/>
        <w:gridCol w:w="3312"/>
        <w:gridCol w:w="3168"/>
      </w:tblGrid>
      <w:tr>
        <w:tc>
          <w:tcPr>
            <w:tcW w:type="dxa" w:w="2736"/>
            <w:shd w:val="clear" w:fill="0E3460"/>
          </w:tcPr>
          <w:p>
            <w:pPr>
              <w:spacing w:after="40" w:before="40"/>
            </w:pPr>
            <w:r/>
            <w:r>
              <w:rPr>
                <w:b/>
                <w:color w:val="FFFFFF"/>
                <w:sz w:val="16"/>
              </w:rPr>
              <w:t>Windows Service</w:t>
            </w:r>
          </w:p>
        </w:tc>
        <w:tc>
          <w:tcPr>
            <w:tcW w:type="dxa" w:w="1008"/>
            <w:shd w:val="clear" w:fill="0E3460"/>
          </w:tcPr>
          <w:p>
            <w:pPr>
              <w:spacing w:after="40" w:before="40"/>
            </w:pPr>
            <w:r/>
            <w:r>
              <w:rPr>
                <w:b/>
                <w:color w:val="FFFFFF"/>
                <w:sz w:val="16"/>
              </w:rPr>
              <w:t>State</w:t>
            </w:r>
          </w:p>
        </w:tc>
        <w:tc>
          <w:tcPr>
            <w:tcW w:type="dxa" w:w="3312"/>
            <w:shd w:val="clear" w:fill="0E3460"/>
          </w:tcPr>
          <w:p>
            <w:pPr>
              <w:spacing w:after="40" w:before="40"/>
            </w:pPr>
            <w:r/>
            <w:r>
              <w:rPr>
                <w:b/>
                <w:color w:val="FFFFFF"/>
                <w:sz w:val="16"/>
              </w:rPr>
              <w:t>Runs from</w:t>
            </w:r>
          </w:p>
        </w:tc>
        <w:tc>
          <w:tcPr>
            <w:tcW w:type="dxa" w:w="3168"/>
            <w:shd w:val="clear" w:fill="0E3460"/>
          </w:tcPr>
          <w:p>
            <w:pPr>
              <w:spacing w:after="40" w:before="40"/>
            </w:pPr>
            <w:r/>
            <w:r>
              <w:rPr>
                <w:b/>
                <w:color w:val="FFFFFF"/>
                <w:sz w:val="16"/>
              </w:rPr>
              <w:t>Solution project</w:t>
            </w:r>
          </w:p>
        </w:tc>
      </w:tr>
      <w:tr>
        <w:tc>
          <w:tcPr>
            <w:tcW w:type="dxa" w:w="2736"/>
          </w:tcPr>
          <w:p>
            <w:pPr>
              <w:spacing w:after="40" w:before="40"/>
            </w:pPr>
            <w:r/>
            <w:r>
              <w:rPr>
                <w:b w:val="0"/>
                <w:sz w:val="16"/>
              </w:rPr>
              <w:t>LRN.MasterFileProcessor</w:t>
            </w:r>
          </w:p>
        </w:tc>
        <w:tc>
          <w:tcPr>
            <w:tcW w:type="dxa" w:w="1008"/>
          </w:tcPr>
          <w:p>
            <w:pPr>
              <w:spacing w:after="40" w:before="40"/>
            </w:pPr>
            <w:r/>
            <w:r>
              <w:rPr>
                <w:b/>
                <w:color w:val="0F6B45"/>
                <w:sz w:val="16"/>
              </w:rPr>
              <w:t>Running</w:t>
            </w:r>
          </w:p>
        </w:tc>
        <w:tc>
          <w:tcPr>
            <w:tcW w:type="dxa" w:w="3312"/>
          </w:tcPr>
          <w:p>
            <w:pPr>
              <w:spacing w:after="40" w:before="40"/>
            </w:pPr>
            <w:r/>
            <w:r>
              <w:rPr>
                <w:b w:val="0"/>
                <w:sz w:val="16"/>
              </w:rPr>
              <w:t>C:\Services\LRN.MasterFileProcessor</w:t>
            </w:r>
          </w:p>
        </w:tc>
        <w:tc>
          <w:tcPr>
            <w:tcW w:type="dxa" w:w="3168"/>
          </w:tcPr>
          <w:p>
            <w:pPr>
              <w:spacing w:after="40" w:before="40"/>
            </w:pPr>
            <w:r/>
            <w:r>
              <w:rPr>
                <w:b w:val="0"/>
                <w:sz w:val="16"/>
              </w:rPr>
              <w:t>LRN.MasterFileProcessorWorker</w:t>
            </w:r>
          </w:p>
        </w:tc>
      </w:tr>
      <w:tr>
        <w:tc>
          <w:tcPr>
            <w:tcW w:type="dxa" w:w="2736"/>
            <w:shd w:val="clear" w:fill="F2F6FA"/>
          </w:tcPr>
          <w:p>
            <w:pPr>
              <w:spacing w:after="40" w:before="40"/>
            </w:pPr>
            <w:r/>
            <w:r>
              <w:rPr>
                <w:b w:val="0"/>
                <w:sz w:val="16"/>
              </w:rPr>
              <w:t>LRN - Master File Sync</w:t>
            </w:r>
          </w:p>
        </w:tc>
        <w:tc>
          <w:tcPr>
            <w:tcW w:type="dxa" w:w="1008"/>
            <w:shd w:val="clear" w:fill="F2F6FA"/>
          </w:tcPr>
          <w:p>
            <w:pPr>
              <w:spacing w:after="40" w:before="40"/>
            </w:pPr>
            <w:r/>
            <w:r>
              <w:rPr>
                <w:b/>
                <w:color w:val="0F6B45"/>
                <w:sz w:val="16"/>
              </w:rPr>
              <w:t>Running</w:t>
            </w:r>
          </w:p>
        </w:tc>
        <w:tc>
          <w:tcPr>
            <w:tcW w:type="dxa" w:w="3312"/>
            <w:shd w:val="clear" w:fill="F2F6FA"/>
          </w:tcPr>
          <w:p>
            <w:pPr>
              <w:spacing w:after="40" w:before="40"/>
            </w:pPr>
            <w:r/>
            <w:r>
              <w:rPr>
                <w:b w:val="0"/>
                <w:sz w:val="16"/>
              </w:rPr>
              <w:t>C:\Services\LRN.MasterSyncronizer</w:t>
            </w:r>
          </w:p>
        </w:tc>
        <w:tc>
          <w:tcPr>
            <w:tcW w:type="dxa" w:w="3168"/>
            <w:shd w:val="clear" w:fill="F2F6FA"/>
          </w:tcPr>
          <w:p>
            <w:pPr>
              <w:spacing w:after="40" w:before="40"/>
            </w:pPr>
            <w:r/>
            <w:r>
              <w:rPr>
                <w:b w:val="0"/>
                <w:sz w:val="16"/>
              </w:rPr>
              <w:t>Services\LRN.SharePointSynchronizer</w:t>
            </w:r>
          </w:p>
        </w:tc>
      </w:tr>
      <w:tr>
        <w:tc>
          <w:tcPr>
            <w:tcW w:type="dxa" w:w="2736"/>
          </w:tcPr>
          <w:p>
            <w:pPr>
              <w:spacing w:after="40" w:before="40"/>
            </w:pPr>
            <w:r/>
            <w:r>
              <w:rPr>
                <w:b w:val="0"/>
                <w:sz w:val="16"/>
              </w:rPr>
              <w:t>LRN - Share Point Uploader</w:t>
            </w:r>
          </w:p>
        </w:tc>
        <w:tc>
          <w:tcPr>
            <w:tcW w:type="dxa" w:w="1008"/>
          </w:tcPr>
          <w:p>
            <w:pPr>
              <w:spacing w:after="40" w:before="40"/>
            </w:pPr>
            <w:r/>
            <w:r>
              <w:rPr>
                <w:b/>
                <w:color w:val="0F6B45"/>
                <w:sz w:val="16"/>
              </w:rPr>
              <w:t>Running</w:t>
            </w:r>
          </w:p>
        </w:tc>
        <w:tc>
          <w:tcPr>
            <w:tcW w:type="dxa" w:w="3312"/>
          </w:tcPr>
          <w:p>
            <w:pPr>
              <w:spacing w:after="40" w:before="40"/>
            </w:pPr>
            <w:r/>
            <w:r>
              <w:rPr>
                <w:b w:val="0"/>
                <w:sz w:val="16"/>
              </w:rPr>
              <w:t>C:\Services\LRN.SharePointUploader</w:t>
            </w:r>
          </w:p>
        </w:tc>
        <w:tc>
          <w:tcPr>
            <w:tcW w:type="dxa" w:w="3168"/>
          </w:tcPr>
          <w:p>
            <w:pPr>
              <w:spacing w:after="40" w:before="40"/>
            </w:pPr>
            <w:r/>
            <w:r>
              <w:rPr>
                <w:b w:val="0"/>
                <w:sz w:val="16"/>
              </w:rPr>
              <w:t>Services\LRN.SharePointUploader</w:t>
            </w:r>
          </w:p>
        </w:tc>
      </w:tr>
      <w:tr>
        <w:tc>
          <w:tcPr>
            <w:tcW w:type="dxa" w:w="2736"/>
            <w:shd w:val="clear" w:fill="F2F6FA"/>
          </w:tcPr>
          <w:p>
            <w:pPr>
              <w:spacing w:after="40" w:before="40"/>
            </w:pPr>
            <w:r/>
            <w:r>
              <w:rPr>
                <w:b w:val="0"/>
                <w:sz w:val="16"/>
              </w:rPr>
              <w:t>LRN.DenialAnalysisProcessor</w:t>
            </w:r>
          </w:p>
        </w:tc>
        <w:tc>
          <w:tcPr>
            <w:tcW w:type="dxa" w:w="1008"/>
            <w:shd w:val="clear" w:fill="F2F6FA"/>
          </w:tcPr>
          <w:p>
            <w:pPr>
              <w:spacing w:after="40" w:before="40"/>
            </w:pPr>
            <w:r/>
            <w:r>
              <w:rPr>
                <w:b/>
                <w:color w:val="0F6B45"/>
                <w:sz w:val="16"/>
              </w:rPr>
              <w:t>Running</w:t>
            </w:r>
          </w:p>
        </w:tc>
        <w:tc>
          <w:tcPr>
            <w:tcW w:type="dxa" w:w="3312"/>
            <w:shd w:val="clear" w:fill="F2F6FA"/>
          </w:tcPr>
          <w:p>
            <w:pPr>
              <w:spacing w:after="40" w:before="40"/>
            </w:pPr>
            <w:r/>
            <w:r>
              <w:rPr>
                <w:b w:val="0"/>
                <w:sz w:val="16"/>
              </w:rPr>
              <w:t>C:\Services\LRN.DenialAnalysisProcessor</w:t>
            </w:r>
          </w:p>
        </w:tc>
        <w:tc>
          <w:tcPr>
            <w:tcW w:type="dxa" w:w="3168"/>
            <w:shd w:val="clear" w:fill="F2F6FA"/>
          </w:tcPr>
          <w:p>
            <w:pPr>
              <w:spacing w:after="40" w:before="40"/>
            </w:pPr>
            <w:r/>
            <w:r>
              <w:rPr>
                <w:b w:val="0"/>
                <w:sz w:val="16"/>
              </w:rPr>
              <w:t>LRN.DenialDatabaseWorker</w:t>
            </w:r>
          </w:p>
        </w:tc>
      </w:tr>
      <w:tr>
        <w:tc>
          <w:tcPr>
            <w:tcW w:type="dxa" w:w="2736"/>
          </w:tcPr>
          <w:p>
            <w:pPr>
              <w:spacing w:after="40" w:before="40"/>
            </w:pPr>
            <w:r/>
            <w:r>
              <w:rPr>
                <w:b w:val="0"/>
                <w:sz w:val="16"/>
              </w:rPr>
              <w:t>LRN.AverageImport.Worker</w:t>
            </w:r>
          </w:p>
        </w:tc>
        <w:tc>
          <w:tcPr>
            <w:tcW w:type="dxa" w:w="1008"/>
          </w:tcPr>
          <w:p>
            <w:pPr>
              <w:spacing w:after="40" w:before="40"/>
            </w:pPr>
            <w:r/>
            <w:r>
              <w:rPr>
                <w:b/>
                <w:color w:val="0F6B45"/>
                <w:sz w:val="16"/>
              </w:rPr>
              <w:t>Running</w:t>
            </w:r>
          </w:p>
        </w:tc>
        <w:tc>
          <w:tcPr>
            <w:tcW w:type="dxa" w:w="3312"/>
          </w:tcPr>
          <w:p>
            <w:pPr>
              <w:spacing w:after="40" w:before="40"/>
            </w:pPr>
            <w:r/>
            <w:r>
              <w:rPr>
                <w:b w:val="0"/>
                <w:sz w:val="16"/>
              </w:rPr>
              <w:t>C:\Services\LRN.AnalysisWorker</w:t>
            </w:r>
          </w:p>
        </w:tc>
        <w:tc>
          <w:tcPr>
            <w:tcW w:type="dxa" w:w="3168"/>
          </w:tcPr>
          <w:p>
            <w:pPr>
              <w:spacing w:after="40" w:before="40"/>
            </w:pPr>
            <w:r/>
            <w:r>
              <w:rPr>
                <w:b w:val="0"/>
                <w:sz w:val="16"/>
              </w:rPr>
              <w:t>LRN.AveragesImport.Worker</w:t>
            </w:r>
          </w:p>
        </w:tc>
      </w:tr>
      <w:tr>
        <w:tc>
          <w:tcPr>
            <w:tcW w:type="dxa" w:w="2736"/>
            <w:shd w:val="clear" w:fill="F2F6FA"/>
          </w:tcPr>
          <w:p>
            <w:pPr>
              <w:spacing w:after="40" w:before="40"/>
            </w:pPr>
            <w:r/>
            <w:r>
              <w:rPr>
                <w:b w:val="0"/>
                <w:sz w:val="16"/>
              </w:rPr>
              <w:t>LRN.PayerPolicyInsranceSync</w:t>
            </w:r>
          </w:p>
        </w:tc>
        <w:tc>
          <w:tcPr>
            <w:tcW w:type="dxa" w:w="1008"/>
            <w:shd w:val="clear" w:fill="F2F6FA"/>
          </w:tcPr>
          <w:p>
            <w:pPr>
              <w:spacing w:after="40" w:before="40"/>
            </w:pPr>
            <w:r/>
            <w:r>
              <w:rPr>
                <w:b/>
                <w:color w:val="0F6B45"/>
                <w:sz w:val="16"/>
              </w:rPr>
              <w:t>Running</w:t>
            </w:r>
          </w:p>
        </w:tc>
        <w:tc>
          <w:tcPr>
            <w:tcW w:type="dxa" w:w="3312"/>
            <w:shd w:val="clear" w:fill="F2F6FA"/>
          </w:tcPr>
          <w:p>
            <w:pPr>
              <w:spacing w:after="40" w:before="40"/>
            </w:pPr>
            <w:r/>
            <w:r>
              <w:rPr>
                <w:b w:val="0"/>
                <w:sz w:val="16"/>
              </w:rPr>
              <w:t>C:\Services\LRN.PayerPolicyMapper</w:t>
            </w:r>
          </w:p>
        </w:tc>
        <w:tc>
          <w:tcPr>
            <w:tcW w:type="dxa" w:w="3168"/>
            <w:shd w:val="clear" w:fill="F2F6FA"/>
          </w:tcPr>
          <w:p>
            <w:pPr>
              <w:spacing w:after="40" w:before="40"/>
            </w:pPr>
            <w:r/>
            <w:r>
              <w:rPr>
                <w:b w:val="0"/>
                <w:sz w:val="16"/>
              </w:rPr>
              <w:t>LRN.PayerPolicyMapper</w:t>
            </w:r>
          </w:p>
        </w:tc>
      </w:tr>
      <w:tr>
        <w:tc>
          <w:tcPr>
            <w:tcW w:type="dxa" w:w="2736"/>
          </w:tcPr>
          <w:p>
            <w:pPr>
              <w:spacing w:after="40" w:before="40"/>
            </w:pPr>
            <w:r/>
            <w:r>
              <w:rPr>
                <w:b w:val="0"/>
                <w:sz w:val="16"/>
              </w:rPr>
              <w:t>LRN.FileCleaner</w:t>
            </w:r>
          </w:p>
        </w:tc>
        <w:tc>
          <w:tcPr>
            <w:tcW w:type="dxa" w:w="1008"/>
          </w:tcPr>
          <w:p>
            <w:pPr>
              <w:spacing w:after="40" w:before="40"/>
            </w:pPr>
            <w:r/>
            <w:r>
              <w:rPr>
                <w:b/>
                <w:color w:val="0F6B45"/>
                <w:sz w:val="16"/>
              </w:rPr>
              <w:t>Running</w:t>
            </w:r>
          </w:p>
        </w:tc>
        <w:tc>
          <w:tcPr>
            <w:tcW w:type="dxa" w:w="3312"/>
          </w:tcPr>
          <w:p>
            <w:pPr>
              <w:spacing w:after="40" w:before="40"/>
            </w:pPr>
            <w:r/>
            <w:r>
              <w:rPr>
                <w:b w:val="0"/>
                <w:sz w:val="16"/>
              </w:rPr>
              <w:t>C:\Services\LRN.FileCleaner</w:t>
            </w:r>
          </w:p>
        </w:tc>
        <w:tc>
          <w:tcPr>
            <w:tcW w:type="dxa" w:w="3168"/>
          </w:tcPr>
          <w:p>
            <w:pPr>
              <w:spacing w:after="40" w:before="40"/>
            </w:pPr>
            <w:r/>
            <w:r>
              <w:rPr>
                <w:b w:val="0"/>
                <w:sz w:val="16"/>
              </w:rPr>
              <w:t>Services\FolderRetentionCleanupWorker</w:t>
            </w:r>
          </w:p>
        </w:tc>
      </w:tr>
      <w:tr>
        <w:tc>
          <w:tcPr>
            <w:tcW w:type="dxa" w:w="2736"/>
            <w:shd w:val="clear" w:fill="F2F6FA"/>
          </w:tcPr>
          <w:p>
            <w:pPr>
              <w:spacing w:after="40" w:before="40"/>
            </w:pPr>
            <w:r/>
            <w:r>
              <w:rPr>
                <w:b w:val="0"/>
                <w:sz w:val="16"/>
              </w:rPr>
              <w:t>LRN - Report Generation Worker</w:t>
            </w:r>
          </w:p>
        </w:tc>
        <w:tc>
          <w:tcPr>
            <w:tcW w:type="dxa" w:w="1008"/>
            <w:shd w:val="clear" w:fill="F2F6FA"/>
          </w:tcPr>
          <w:p>
            <w:pPr>
              <w:spacing w:after="40" w:before="40"/>
            </w:pPr>
            <w:r/>
            <w:r>
              <w:rPr>
                <w:b/>
                <w:color w:val="0F6B45"/>
                <w:sz w:val="16"/>
              </w:rPr>
              <w:t>Running</w:t>
            </w:r>
          </w:p>
        </w:tc>
        <w:tc>
          <w:tcPr>
            <w:tcW w:type="dxa" w:w="3312"/>
            <w:shd w:val="clear" w:fill="F2F6FA"/>
          </w:tcPr>
          <w:p>
            <w:pPr>
              <w:spacing w:after="40" w:before="40"/>
            </w:pPr>
            <w:r/>
            <w:r>
              <w:rPr>
                <w:b w:val="0"/>
                <w:sz w:val="16"/>
              </w:rPr>
              <w:t>C:\LRN-Files\...\ReportWorker</w:t>
            </w:r>
          </w:p>
        </w:tc>
        <w:tc>
          <w:tcPr>
            <w:tcW w:type="dxa" w:w="3168"/>
            <w:shd w:val="clear" w:fill="F2F6FA"/>
          </w:tcPr>
          <w:p>
            <w:pPr>
              <w:spacing w:after="40" w:before="40"/>
            </w:pPr>
            <w:r/>
            <w:r>
              <w:rPr>
                <w:b w:val="0"/>
                <w:sz w:val="16"/>
              </w:rPr>
              <w:t>LRN.ReportWorker</w:t>
            </w:r>
          </w:p>
        </w:tc>
      </w:tr>
      <w:tr>
        <w:tc>
          <w:tcPr>
            <w:tcW w:type="dxa" w:w="2736"/>
          </w:tcPr>
          <w:p>
            <w:pPr>
              <w:spacing w:after="40" w:before="40"/>
            </w:pPr>
            <w:r/>
            <w:r>
              <w:rPr>
                <w:b w:val="0"/>
                <w:sz w:val="16"/>
              </w:rPr>
              <w:t>LRN - CPU Monitor</w:t>
            </w:r>
          </w:p>
        </w:tc>
        <w:tc>
          <w:tcPr>
            <w:tcW w:type="dxa" w:w="1008"/>
          </w:tcPr>
          <w:p>
            <w:pPr>
              <w:spacing w:after="40" w:before="40"/>
            </w:pPr>
            <w:r/>
            <w:r>
              <w:rPr>
                <w:b/>
                <w:color w:val="0F6B45"/>
                <w:sz w:val="16"/>
              </w:rPr>
              <w:t>Running</w:t>
            </w:r>
          </w:p>
        </w:tc>
        <w:tc>
          <w:tcPr>
            <w:tcW w:type="dxa" w:w="3312"/>
          </w:tcPr>
          <w:p>
            <w:pPr>
              <w:spacing w:after="40" w:before="40"/>
            </w:pPr>
            <w:r/>
            <w:r>
              <w:rPr>
                <w:b w:val="0"/>
                <w:sz w:val="16"/>
              </w:rPr>
              <w:t>C:\LRN-Files\...\CpuMonitor</w:t>
            </w:r>
          </w:p>
        </w:tc>
        <w:tc>
          <w:tcPr>
            <w:tcW w:type="dxa" w:w="3168"/>
          </w:tcPr>
          <w:p>
            <w:pPr>
              <w:spacing w:after="40" w:before="40"/>
            </w:pPr>
            <w:r/>
            <w:r>
              <w:rPr>
                <w:b w:val="0"/>
                <w:sz w:val="16"/>
              </w:rPr>
              <w:t>Services\LRN.CpuMonitor</w:t>
            </w:r>
          </w:p>
        </w:tc>
      </w:tr>
      <w:tr>
        <w:tc>
          <w:tcPr>
            <w:tcW w:type="dxa" w:w="2736"/>
            <w:shd w:val="clear" w:fill="F2F6FA"/>
          </w:tcPr>
          <w:p>
            <w:pPr>
              <w:spacing w:after="40" w:before="40"/>
            </w:pPr>
            <w:r/>
            <w:r>
              <w:rPr>
                <w:b w:val="0"/>
                <w:sz w:val="16"/>
              </w:rPr>
              <w:t>PayerPolicyFileIngestionService</w:t>
            </w:r>
          </w:p>
        </w:tc>
        <w:tc>
          <w:tcPr>
            <w:tcW w:type="dxa" w:w="1008"/>
            <w:shd w:val="clear" w:fill="F2F6FA"/>
          </w:tcPr>
          <w:p>
            <w:pPr>
              <w:spacing w:after="40" w:before="40"/>
            </w:pPr>
            <w:r/>
            <w:r>
              <w:rPr>
                <w:b/>
                <w:color w:val="0F6B45"/>
                <w:sz w:val="16"/>
              </w:rPr>
              <w:t>Running</w:t>
            </w:r>
          </w:p>
        </w:tc>
        <w:tc>
          <w:tcPr>
            <w:tcW w:type="dxa" w:w="3312"/>
            <w:shd w:val="clear" w:fill="F2F6FA"/>
          </w:tcPr>
          <w:p>
            <w:pPr>
              <w:spacing w:after="40" w:before="40"/>
            </w:pPr>
            <w:r/>
            <w:r>
              <w:rPr>
                <w:b w:val="0"/>
                <w:sz w:val="16"/>
              </w:rPr>
              <w:t>C:\LRN-Files\...\PayerPolicy...</w:t>
            </w:r>
          </w:p>
        </w:tc>
        <w:tc>
          <w:tcPr>
            <w:tcW w:type="dxa" w:w="3168"/>
            <w:shd w:val="clear" w:fill="F2F6FA"/>
          </w:tcPr>
          <w:p>
            <w:pPr>
              <w:spacing w:after="40" w:before="40"/>
            </w:pPr>
            <w:r/>
            <w:r>
              <w:rPr>
                <w:b/>
                <w:color w:val="9B1C1C"/>
                <w:sz w:val="16"/>
              </w:rPr>
              <w:t>not in solution</w:t>
            </w:r>
          </w:p>
        </w:tc>
      </w:tr>
      <w:tr>
        <w:tc>
          <w:tcPr>
            <w:tcW w:type="dxa" w:w="2736"/>
          </w:tcPr>
          <w:p>
            <w:pPr>
              <w:spacing w:after="40" w:before="40"/>
            </w:pPr>
            <w:r/>
            <w:r>
              <w:rPr>
                <w:b w:val="0"/>
                <w:sz w:val="16"/>
              </w:rPr>
              <w:t>PayerPolicy PolicyDownloadWorker</w:t>
            </w:r>
          </w:p>
        </w:tc>
        <w:tc>
          <w:tcPr>
            <w:tcW w:type="dxa" w:w="1008"/>
          </w:tcPr>
          <w:p>
            <w:pPr>
              <w:spacing w:after="40" w:before="40"/>
            </w:pPr>
            <w:r/>
            <w:r>
              <w:rPr>
                <w:b/>
                <w:color w:val="0F6B45"/>
                <w:sz w:val="16"/>
              </w:rPr>
              <w:t>Running</w:t>
            </w:r>
          </w:p>
        </w:tc>
        <w:tc>
          <w:tcPr>
            <w:tcW w:type="dxa" w:w="3312"/>
          </w:tcPr>
          <w:p>
            <w:pPr>
              <w:spacing w:after="40" w:before="40"/>
            </w:pPr>
            <w:r/>
            <w:r>
              <w:rPr>
                <w:b w:val="0"/>
                <w:sz w:val="16"/>
              </w:rPr>
              <w:t>C:\LRN-Files\...\PolicyDownloadWorker</w:t>
            </w:r>
          </w:p>
        </w:tc>
        <w:tc>
          <w:tcPr>
            <w:tcW w:type="dxa" w:w="3168"/>
          </w:tcPr>
          <w:p>
            <w:pPr>
              <w:spacing w:after="40" w:before="40"/>
            </w:pPr>
            <w:r/>
            <w:r>
              <w:rPr>
                <w:b/>
                <w:color w:val="9B1C1C"/>
                <w:sz w:val="16"/>
              </w:rPr>
              <w:t>not in solution</w:t>
            </w:r>
          </w:p>
        </w:tc>
      </w:tr>
      <w:tr>
        <w:tc>
          <w:tcPr>
            <w:tcW w:type="dxa" w:w="2736"/>
            <w:shd w:val="clear" w:fill="F2F6FA"/>
          </w:tcPr>
          <w:p>
            <w:pPr>
              <w:spacing w:after="40" w:before="40"/>
            </w:pPr>
            <w:r/>
            <w:r>
              <w:rPr>
                <w:b w:val="0"/>
                <w:sz w:val="16"/>
              </w:rPr>
              <w:t>SqlServiceWatcherLRN</w:t>
            </w:r>
          </w:p>
        </w:tc>
        <w:tc>
          <w:tcPr>
            <w:tcW w:type="dxa" w:w="1008"/>
            <w:shd w:val="clear" w:fill="F2F6FA"/>
          </w:tcPr>
          <w:p>
            <w:pPr>
              <w:spacing w:after="40" w:before="40"/>
            </w:pPr>
            <w:r/>
            <w:r>
              <w:rPr>
                <w:b w:val="0"/>
                <w:color w:val="556677"/>
                <w:sz w:val="16"/>
              </w:rPr>
              <w:t>Disabled</w:t>
            </w:r>
          </w:p>
        </w:tc>
        <w:tc>
          <w:tcPr>
            <w:tcW w:type="dxa" w:w="3312"/>
            <w:shd w:val="clear" w:fill="F2F6FA"/>
          </w:tcPr>
          <w:p>
            <w:pPr>
              <w:spacing w:after="40" w:before="40"/>
            </w:pPr>
            <w:r/>
            <w:r>
              <w:rPr>
                <w:b w:val="0"/>
                <w:sz w:val="16"/>
              </w:rPr>
              <w:t>C:\Services\SQLWatcher_Service</w:t>
            </w:r>
          </w:p>
        </w:tc>
        <w:tc>
          <w:tcPr>
            <w:tcW w:type="dxa" w:w="3168"/>
            <w:shd w:val="clear" w:fill="F2F6FA"/>
          </w:tcPr>
          <w:p>
            <w:pPr>
              <w:spacing w:after="40" w:before="40"/>
            </w:pPr>
            <w:r/>
            <w:r>
              <w:rPr>
                <w:b/>
                <w:color w:val="9B1C1C"/>
                <w:sz w:val="16"/>
              </w:rPr>
              <w:t>not in solution</w:t>
            </w:r>
          </w:p>
        </w:tc>
      </w:tr>
    </w:tbl>
    <w:p>
      <w:pPr>
        <w:spacing w:after="80"/>
      </w:pPr>
    </w:p>
    <w:p>
      <w:pPr>
        <w:spacing w:after="120"/>
      </w:pPr>
      <w:r>
        <w:rPr>
          <w:b w:val="0"/>
          <w:i/>
          <w:color w:val="556677"/>
          <w:sz w:val="18"/>
        </w:rPr>
        <w:t>Two running services, Report Generation Worker and CPU Monitor, sit under C:\LRN-Files\ApplicationFolder rather than C:\Services. An inventory that only walks C:\Services will miss them. LRN.AzBlobSync and RcmWatcherService exist in the solution but have no registered service.</w:t>
      </w:r>
    </w:p>
    <w:p>
      <w:r>
        <w:br w:type="page"/>
      </w:r>
    </w:p>
    <w:p>
      <w:pPr>
        <w:pStyle w:val="Heading1"/>
      </w:pPr>
      <w:r>
        <w:t>3. Part B — Source and output for each service</w:t>
      </w:r>
    </w:p>
    <w:p>
      <w:pPr>
        <w:spacing w:after="160"/>
      </w:pPr>
      <w:r>
        <w:rPr>
          <w:b w:val="0"/>
          <w:i w:val="0"/>
          <w:sz w:val="20"/>
        </w:rPr>
        <w:t>For each service: what it reads, what it writes, and in what format. "Server output" means a file created on the local disk; "SQL target" means a table written by bulk copy.</w:t>
      </w:r>
    </w:p>
    <w:p>
      <w:pPr>
        <w:pStyle w:val="Heading2"/>
      </w:pPr>
      <w:r>
        <w:t>3.1 LRN.MasterFileProcessor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LRN.MasterFileProcessorWorker (net8.0)</w:t>
            </w:r>
          </w:p>
        </w:tc>
      </w:tr>
      <w:tr>
        <w:tc>
          <w:tcPr>
            <w:tcW w:type="dxa" w:w="1944"/>
          </w:tcPr>
          <w:p>
            <w:pPr>
              <w:spacing w:after="40" w:before="40"/>
            </w:pPr>
            <w:r/>
            <w:r>
              <w:rPr>
                <w:b/>
                <w:color w:val="0E3460"/>
                <w:sz w:val="16"/>
              </w:rPr>
              <w:t>Trigger</w:t>
            </w:r>
          </w:p>
        </w:tc>
        <w:tc>
          <w:tcPr>
            <w:tcW w:type="dxa" w:w="8280"/>
          </w:tcPr>
          <w:p>
            <w:pPr>
              <w:spacing w:after="40" w:before="40"/>
            </w:pPr>
            <w:r/>
            <w:r>
              <w:rPr>
                <w:b w:val="0"/>
                <w:sz w:val="16"/>
              </w:rPr>
              <w:t>Internal timer, PollSeconds = 1200 (20 min)</w:t>
            </w:r>
          </w:p>
        </w:tc>
      </w:tr>
      <w:tr>
        <w:tc>
          <w:tcPr>
            <w:tcW w:type="dxa" w:w="1944"/>
          </w:tcPr>
          <w:p>
            <w:pPr>
              <w:spacing w:after="40" w:before="40"/>
            </w:pPr>
            <w:r/>
            <w:r>
              <w:rPr>
                <w:b/>
                <w:color w:val="0E3460"/>
                <w:sz w:val="16"/>
              </w:rPr>
              <w:t>Primary source</w:t>
            </w:r>
          </w:p>
        </w:tc>
        <w:tc>
          <w:tcPr>
            <w:tcW w:type="dxa" w:w="8280"/>
          </w:tcPr>
          <w:p>
            <w:pPr>
              <w:spacing w:after="40" w:before="40"/>
            </w:pPr>
            <w:r/>
            <w:r>
              <w:rPr>
                <w:b w:val="0"/>
                <w:sz w:val="16"/>
              </w:rPr>
              <w:t>SharePoint per-lab master workbook (.xlsx), 13 labs configured</w:t>
            </w:r>
          </w:p>
        </w:tc>
      </w:tr>
      <w:tr>
        <w:tc>
          <w:tcPr>
            <w:tcW w:type="dxa" w:w="1944"/>
          </w:tcPr>
          <w:p>
            <w:pPr>
              <w:spacing w:after="40" w:before="40"/>
            </w:pPr>
            <w:r/>
            <w:r>
              <w:rPr>
                <w:b/>
                <w:color w:val="0E3460"/>
                <w:sz w:val="16"/>
              </w:rPr>
              <w:t>Source pattern</w:t>
            </w:r>
          </w:p>
        </w:tc>
        <w:tc>
          <w:tcPr>
            <w:tcW w:type="dxa" w:w="8280"/>
          </w:tcPr>
          <w:p>
            <w:pPr>
              <w:spacing w:after="40" w:before="40"/>
            </w:pPr>
            <w:r/>
            <w:r>
              <w:rPr>
                <w:b w:val="0"/>
                <w:sz w:val="16"/>
              </w:rPr>
              <w:t>2. Internal LRN Client Folders/&lt;Lab&gt;/Reporting/02.Master Files/&lt;pattern&gt;.xlsx</w:t>
            </w:r>
          </w:p>
        </w:tc>
      </w:tr>
      <w:tr>
        <w:tc>
          <w:tcPr>
            <w:tcW w:type="dxa" w:w="1944"/>
          </w:tcPr>
          <w:p>
            <w:pPr>
              <w:spacing w:after="40" w:before="40"/>
            </w:pPr>
            <w:r/>
            <w:r>
              <w:rPr>
                <w:b/>
                <w:color w:val="0E3460"/>
                <w:sz w:val="16"/>
              </w:rPr>
              <w:t>Second source</w:t>
            </w:r>
          </w:p>
        </w:tc>
        <w:tc>
          <w:tcPr>
            <w:tcW w:type="dxa" w:w="8280"/>
          </w:tcPr>
          <w:p>
            <w:pPr>
              <w:spacing w:after="40" w:before="40"/>
            </w:pPr>
            <w:r/>
            <w:r>
              <w:rPr>
                <w:b w:val="0"/>
                <w:sz w:val="16"/>
              </w:rPr>
              <w:t>LIMS master workbook per lab, pattern *LIMS* (Cove uses *Cove_TruemedIT LIMS*)</w:t>
            </w:r>
          </w:p>
        </w:tc>
      </w:tr>
      <w:tr>
        <w:tc>
          <w:tcPr>
            <w:tcW w:type="dxa" w:w="1944"/>
          </w:tcPr>
          <w:p>
            <w:pPr>
              <w:spacing w:after="40" w:before="40"/>
            </w:pPr>
            <w:r/>
            <w:r>
              <w:rPr>
                <w:b/>
                <w:color w:val="0E3460"/>
                <w:sz w:val="16"/>
              </w:rPr>
              <w:t>Reference files</w:t>
            </w:r>
          </w:p>
        </w:tc>
        <w:tc>
          <w:tcPr>
            <w:tcW w:type="dxa" w:w="8280"/>
          </w:tcPr>
          <w:p>
            <w:pPr>
              <w:spacing w:after="40" w:before="40"/>
            </w:pPr>
            <w:r/>
            <w:r>
              <w:rPr>
                <w:b w:val="0"/>
                <w:sz w:val="16"/>
              </w:rPr>
              <w:t>Consolidated_Lab_Insurance Master_v1.7.xlsx from LRN-Masters\Lab Insurance Master; Panel mapping xlsx for Augustus and NorthWest from LRN-Masters\PanelMapping</w:t>
            </w:r>
          </w:p>
        </w:tc>
      </w:tr>
      <w:tr>
        <w:tc>
          <w:tcPr>
            <w:tcW w:type="dxa" w:w="1944"/>
          </w:tcPr>
          <w:p>
            <w:pPr>
              <w:spacing w:after="40" w:before="40"/>
            </w:pPr>
            <w:r/>
            <w:r>
              <w:rPr>
                <w:b/>
                <w:color w:val="0E3460"/>
                <w:sz w:val="16"/>
              </w:rPr>
              <w:t>Watch folder</w:t>
            </w:r>
          </w:p>
        </w:tc>
        <w:tc>
          <w:tcPr>
            <w:tcW w:type="dxa" w:w="8280"/>
          </w:tcPr>
          <w:p>
            <w:pPr>
              <w:spacing w:after="40" w:before="40"/>
            </w:pPr>
            <w:r/>
            <w:r>
              <w:rPr>
                <w:b w:val="0"/>
                <w:sz w:val="16"/>
              </w:rPr>
              <w:t>C:\LRN-Files\Automation\LRN-Input  (KeepDownloadedFiles = true)</w:t>
            </w:r>
          </w:p>
        </w:tc>
      </w:tr>
      <w:tr>
        <w:tc>
          <w:tcPr>
            <w:tcW w:type="dxa" w:w="1944"/>
          </w:tcPr>
          <w:p>
            <w:pPr>
              <w:spacing w:after="40" w:before="40"/>
            </w:pPr>
            <w:r/>
            <w:r>
              <w:rPr>
                <w:b/>
                <w:color w:val="0E3460"/>
                <w:sz w:val="16"/>
              </w:rPr>
              <w:t>Error folder</w:t>
            </w:r>
          </w:p>
        </w:tc>
        <w:tc>
          <w:tcPr>
            <w:tcW w:type="dxa" w:w="8280"/>
          </w:tcPr>
          <w:p>
            <w:pPr>
              <w:spacing w:after="40" w:before="40"/>
            </w:pPr>
            <w:r/>
            <w:r>
              <w:rPr>
                <w:b w:val="0"/>
                <w:sz w:val="16"/>
              </w:rPr>
              <w:t>C:\LRN-Files\Automation\Error</w:t>
            </w:r>
          </w:p>
        </w:tc>
      </w:tr>
      <w:tr>
        <w:tc>
          <w:tcPr>
            <w:tcW w:type="dxa" w:w="1944"/>
          </w:tcPr>
          <w:p>
            <w:pPr>
              <w:spacing w:after="40" w:before="40"/>
            </w:pPr>
            <w:r/>
            <w:r>
              <w:rPr>
                <w:b/>
                <w:color w:val="0E3460"/>
                <w:sz w:val="16"/>
              </w:rPr>
              <w:t>Server output</w:t>
            </w:r>
          </w:p>
        </w:tc>
        <w:tc>
          <w:tcPr>
            <w:tcW w:type="dxa" w:w="8280"/>
          </w:tcPr>
          <w:p>
            <w:pPr>
              <w:spacing w:after="40" w:before="40"/>
            </w:pPr>
            <w:r/>
            <w:r>
              <w:rPr>
                <w:b/>
                <w:color w:val="9B1C1C"/>
                <w:sz w:val="16"/>
              </w:rPr>
              <w:t>Line-level and claim-level CSV per lab, plus Mode and Median XLSX</w:t>
            </w:r>
          </w:p>
        </w:tc>
      </w:tr>
      <w:tr>
        <w:tc>
          <w:tcPr>
            <w:tcW w:type="dxa" w:w="1944"/>
          </w:tcPr>
          <w:p>
            <w:pPr>
              <w:spacing w:after="40" w:before="40"/>
            </w:pPr>
            <w:r/>
            <w:r>
              <w:rPr>
                <w:b/>
                <w:color w:val="0E3460"/>
                <w:sz w:val="16"/>
              </w:rPr>
              <w:t>Output root</w:t>
            </w:r>
          </w:p>
        </w:tc>
        <w:tc>
          <w:tcPr>
            <w:tcW w:type="dxa" w:w="8280"/>
          </w:tcPr>
          <w:p>
            <w:pPr>
              <w:spacing w:after="40" w:before="40"/>
            </w:pPr>
            <w:r/>
            <w:r>
              <w:rPr>
                <w:b w:val="0"/>
                <w:sz w:val="16"/>
              </w:rPr>
              <w:t>C:\LRN-Files\Automation  (Mode and Median under LRN-Output\Mode and \Median)</w:t>
            </w:r>
          </w:p>
        </w:tc>
      </w:tr>
      <w:tr>
        <w:tc>
          <w:tcPr>
            <w:tcW w:type="dxa" w:w="1944"/>
          </w:tcPr>
          <w:p>
            <w:pPr>
              <w:spacing w:after="40" w:before="40"/>
            </w:pPr>
            <w:r/>
            <w:r>
              <w:rPr>
                <w:b/>
                <w:color w:val="0E3460"/>
                <w:sz w:val="16"/>
              </w:rPr>
              <w:t>SQL targets</w:t>
            </w:r>
          </w:p>
        </w:tc>
        <w:tc>
          <w:tcPr>
            <w:tcW w:type="dxa" w:w="8280"/>
          </w:tcPr>
          <w:p>
            <w:pPr>
              <w:spacing w:after="40" w:before="40"/>
            </w:pPr>
            <w:r/>
            <w:r>
              <w:rPr>
                <w:b w:val="0"/>
                <w:sz w:val="16"/>
              </w:rPr>
              <w:t>dbo.LIMSMaster (truncate then bulk load, batch 50,000); dbo.BillingFrequency (disabled); dbo.LRN_Run_Log, dbo.LRN_Step_Log, dbo.LRN_Error_Log; RunId from dbo.sp_LRN_NextRunId</w:t>
            </w:r>
          </w:p>
        </w:tc>
      </w:tr>
      <w:tr>
        <w:tc>
          <w:tcPr>
            <w:tcW w:type="dxa" w:w="1944"/>
          </w:tcPr>
          <w:p>
            <w:pPr>
              <w:spacing w:after="40" w:before="40"/>
            </w:pPr>
            <w:r/>
            <w:r>
              <w:rPr>
                <w:b/>
                <w:color w:val="0E3460"/>
                <w:sz w:val="16"/>
              </w:rPr>
              <w:t>Process log</w:t>
            </w:r>
          </w:p>
        </w:tc>
        <w:tc>
          <w:tcPr>
            <w:tcW w:type="dxa" w:w="8280"/>
          </w:tcPr>
          <w:p>
            <w:pPr>
              <w:spacing w:after="40" w:before="40"/>
            </w:pPr>
            <w:r/>
            <w:r>
              <w:rPr>
                <w:b w:val="0"/>
                <w:sz w:val="16"/>
              </w:rPr>
              <w:t>LRN_Process_Logs*.xlsx, workbook mode, uploaded on each write</w:t>
            </w:r>
          </w:p>
        </w:tc>
      </w:tr>
      <w:tr>
        <w:tc>
          <w:tcPr>
            <w:tcW w:type="dxa" w:w="1944"/>
          </w:tcPr>
          <w:p>
            <w:pPr>
              <w:spacing w:after="40" w:before="40"/>
            </w:pPr>
            <w:r/>
            <w:r>
              <w:rPr>
                <w:b/>
                <w:color w:val="0E3460"/>
                <w:sz w:val="16"/>
              </w:rPr>
              <w:t>Uploads to SP</w:t>
            </w:r>
          </w:p>
        </w:tc>
        <w:tc>
          <w:tcPr>
            <w:tcW w:type="dxa" w:w="8280"/>
          </w:tcPr>
          <w:p>
            <w:pPr>
              <w:spacing w:after="40" w:before="40"/>
            </w:pPr>
            <w:r/>
            <w:r>
              <w:rPr>
                <w:b/>
                <w:color w:val="9B1C1C"/>
                <w:sz w:val="16"/>
              </w:rPr>
              <w:t>Yes → outputs, process log, Mode and Median. See Part C.</w:t>
            </w:r>
          </w:p>
        </w:tc>
      </w:tr>
      <w:tr>
        <w:tc>
          <w:tcPr>
            <w:tcW w:type="dxa" w:w="1944"/>
          </w:tcPr>
          <w:p>
            <w:pPr>
              <w:spacing w:after="40" w:before="40"/>
            </w:pPr>
            <w:r/>
            <w:r>
              <w:rPr>
                <w:b/>
                <w:color w:val="0E3460"/>
                <w:sz w:val="16"/>
              </w:rPr>
              <w:t>Derived reports</w:t>
            </w:r>
          </w:p>
        </w:tc>
        <w:tc>
          <w:tcPr>
            <w:tcW w:type="dxa" w:w="8280"/>
          </w:tcPr>
          <w:p>
            <w:pPr>
              <w:spacing w:after="40" w:before="40"/>
            </w:pPr>
            <w:r/>
            <w:r>
              <w:rPr>
                <w:b w:val="0"/>
                <w:sz w:val="16"/>
              </w:rPr>
              <w:t>Clinic Summary (all labs); Sales Rep Summary (Cove, Elixir only)</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Core. Keep. Heaviest file producer in the estate.</w:t>
            </w:r>
          </w:p>
        </w:tc>
      </w:tr>
    </w:tbl>
    <w:p>
      <w:pPr>
        <w:spacing w:after="80"/>
      </w:pPr>
    </w:p>
    <w:p>
      <w:pPr>
        <w:spacing w:after="60"/>
      </w:pPr>
      <w:r>
        <w:rPr>
          <w:b w:val="0"/>
          <w:i w:val="0"/>
          <w:sz w:val="18"/>
        </w:rPr>
        <w:t>The 13 configured labs, each with its own schema JSON and lab database connection key:</w:t>
      </w:r>
    </w:p>
    <w:p>
      <w:pPr>
        <w:spacing w:after="120"/>
        <w:ind w:left="317"/>
      </w:pPr>
      <w:r>
        <w:rPr>
          <w:rFonts w:ascii="Consolas" w:hAnsi="Consolas"/>
          <w:sz w:val="17"/>
        </w:rPr>
        <w:t>Beech_Tree(10)  Inhealth_DTR(2)  Cove(4)  PCR_Dx_AL(6)  PCR_Dx_CO(7)  Certus(18)  Elixir(16)</w:t>
        <w:br/>
        <w:t>Phi Life(12)  Rising Tides(9)  Augustus Labs(24)  PCR Labs of America(13)  NorthWest(23)  VariantX(25)</w:t>
      </w:r>
    </w:p>
    <w:p>
      <w:pPr>
        <w:pStyle w:val="Heading2"/>
      </w:pPr>
      <w:r>
        <w:t>3.2 LRN.DenialAnalysisProcessor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LRN.DenialDatabaseWorker (net8.0)</w:t>
            </w:r>
          </w:p>
        </w:tc>
      </w:tr>
      <w:tr>
        <w:tc>
          <w:tcPr>
            <w:tcW w:type="dxa" w:w="1944"/>
          </w:tcPr>
          <w:p>
            <w:pPr>
              <w:spacing w:after="40" w:before="40"/>
            </w:pPr>
            <w:r/>
            <w:r>
              <w:rPr>
                <w:b/>
                <w:color w:val="0E3460"/>
                <w:sz w:val="16"/>
              </w:rPr>
              <w:t>Primary source</w:t>
            </w:r>
          </w:p>
        </w:tc>
        <w:tc>
          <w:tcPr>
            <w:tcW w:type="dxa" w:w="8280"/>
          </w:tcPr>
          <w:p>
            <w:pPr>
              <w:spacing w:after="40" w:before="40"/>
            </w:pPr>
            <w:r/>
            <w:r>
              <w:rPr>
                <w:b/>
                <w:color w:val="9B1C1C"/>
                <w:sz w:val="16"/>
              </w:rPr>
              <w:t>SQL, not files — [&lt;LabDatabase&gt;].dbo.PayerValidationReport where PayStatus = 'Denied'</w:t>
            </w:r>
          </w:p>
        </w:tc>
      </w:tr>
      <w:tr>
        <w:tc>
          <w:tcPr>
            <w:tcW w:type="dxa" w:w="1944"/>
          </w:tcPr>
          <w:p>
            <w:pPr>
              <w:spacing w:after="40" w:before="40"/>
            </w:pPr>
            <w:r/>
            <w:r>
              <w:rPr>
                <w:b/>
                <w:color w:val="0E3460"/>
                <w:sz w:val="16"/>
              </w:rPr>
              <w:t>Second source</w:t>
            </w:r>
          </w:p>
        </w:tc>
        <w:tc>
          <w:tcPr>
            <w:tcW w:type="dxa" w:w="8280"/>
          </w:tcPr>
          <w:p>
            <w:pPr>
              <w:spacing w:after="40" w:before="40"/>
            </w:pPr>
            <w:r/>
            <w:r>
              <w:rPr>
                <w:b w:val="0"/>
                <w:sz w:val="16"/>
              </w:rPr>
              <w:t>dbo.LineLevelData in the same lab database</w:t>
            </w:r>
          </w:p>
        </w:tc>
      </w:tr>
      <w:tr>
        <w:tc>
          <w:tcPr>
            <w:tcW w:type="dxa" w:w="1944"/>
          </w:tcPr>
          <w:p>
            <w:pPr>
              <w:spacing w:after="40" w:before="40"/>
            </w:pPr>
            <w:r/>
            <w:r>
              <w:rPr>
                <w:b/>
                <w:color w:val="0E3460"/>
                <w:sz w:val="16"/>
              </w:rPr>
              <w:t>File input</w:t>
            </w:r>
          </w:p>
        </w:tc>
        <w:tc>
          <w:tcPr>
            <w:tcW w:type="dxa" w:w="8280"/>
          </w:tcPr>
          <w:p>
            <w:pPr>
              <w:spacing w:after="40" w:before="40"/>
            </w:pPr>
            <w:r/>
            <w:r>
              <w:rPr>
                <w:b w:val="0"/>
                <w:sz w:val="16"/>
              </w:rPr>
              <w:t>PayerPolicy validation CSV per lab from LRN-Output\PayerPolicy_Validation_Report\&lt;Lab&gt;</w:t>
            </w:r>
          </w:p>
        </w:tc>
      </w:tr>
      <w:tr>
        <w:tc>
          <w:tcPr>
            <w:tcW w:type="dxa" w:w="1944"/>
          </w:tcPr>
          <w:p>
            <w:pPr>
              <w:spacing w:after="40" w:before="40"/>
            </w:pPr>
            <w:r/>
            <w:r>
              <w:rPr>
                <w:b/>
                <w:color w:val="0E3460"/>
                <w:sz w:val="16"/>
              </w:rPr>
              <w:t>Mapper files</w:t>
            </w:r>
          </w:p>
        </w:tc>
        <w:tc>
          <w:tcPr>
            <w:tcW w:type="dxa" w:w="8280"/>
          </w:tcPr>
          <w:p>
            <w:pPr>
              <w:spacing w:after="40" w:before="40"/>
            </w:pPr>
            <w:r/>
            <w:r>
              <w:rPr>
                <w:b w:val="0"/>
                <w:sz w:val="16"/>
              </w:rPr>
              <w:t>DenialTaskBoardMapper.json, DenialInsightMapper.json, DenialLineItemMapper.json (in the deployment folder, not the image)</w:t>
            </w:r>
          </w:p>
        </w:tc>
      </w:tr>
      <w:tr>
        <w:tc>
          <w:tcPr>
            <w:tcW w:type="dxa" w:w="1944"/>
          </w:tcPr>
          <w:p>
            <w:pPr>
              <w:spacing w:after="40" w:before="40"/>
            </w:pPr>
            <w:r/>
            <w:r>
              <w:rPr>
                <w:b/>
                <w:color w:val="0E3460"/>
                <w:sz w:val="16"/>
              </w:rPr>
              <w:t>Server output</w:t>
            </w:r>
          </w:p>
        </w:tc>
        <w:tc>
          <w:tcPr>
            <w:tcW w:type="dxa" w:w="8280"/>
          </w:tcPr>
          <w:p>
            <w:pPr>
              <w:spacing w:after="40" w:before="40"/>
            </w:pPr>
            <w:r/>
            <w:r>
              <w:rPr>
                <w:b/>
                <w:color w:val="9B1C1C"/>
                <w:sz w:val="16"/>
              </w:rPr>
              <w:t>NONE. GenerateOutputFiles = false.</w:t>
            </w:r>
          </w:p>
        </w:tc>
      </w:tr>
      <w:tr>
        <w:tc>
          <w:tcPr>
            <w:tcW w:type="dxa" w:w="1944"/>
          </w:tcPr>
          <w:p>
            <w:pPr>
              <w:spacing w:after="40" w:before="40"/>
            </w:pPr>
            <w:r/>
            <w:r>
              <w:rPr>
                <w:b/>
                <w:color w:val="0E3460"/>
                <w:sz w:val="16"/>
              </w:rPr>
              <w:t>Log file</w:t>
            </w:r>
          </w:p>
        </w:tc>
        <w:tc>
          <w:tcPr>
            <w:tcW w:type="dxa" w:w="8280"/>
          </w:tcPr>
          <w:p>
            <w:pPr>
              <w:spacing w:after="40" w:before="40"/>
            </w:pPr>
            <w:r/>
            <w:r>
              <w:rPr>
                <w:b w:val="0"/>
                <w:sz w:val="16"/>
              </w:rPr>
              <w:t>C:\LRN-Files\Automation\LRN-Logs\DenialDatabaseProcessor_Log.csv</w:t>
            </w:r>
          </w:p>
        </w:tc>
      </w:tr>
      <w:tr>
        <w:tc>
          <w:tcPr>
            <w:tcW w:type="dxa" w:w="1944"/>
          </w:tcPr>
          <w:p>
            <w:pPr>
              <w:spacing w:after="40" w:before="40"/>
            </w:pPr>
            <w:r/>
            <w:r>
              <w:rPr>
                <w:b/>
                <w:color w:val="0E3460"/>
                <w:sz w:val="16"/>
              </w:rPr>
              <w:t>SQL targets</w:t>
            </w:r>
          </w:p>
        </w:tc>
        <w:tc>
          <w:tcPr>
            <w:tcW w:type="dxa" w:w="8280"/>
          </w:tcPr>
          <w:p>
            <w:pPr>
              <w:spacing w:after="40" w:before="40"/>
            </w:pPr>
            <w:r/>
            <w:r>
              <w:rPr>
                <w:b w:val="0"/>
                <w:sz w:val="16"/>
              </w:rPr>
              <w:t>dbo.DenialTaskBoard, dbo.DenialInsight, dbo.DenialLineItem (bulk copy per lab)</w:t>
            </w:r>
          </w:p>
        </w:tc>
      </w:tr>
      <w:tr>
        <w:tc>
          <w:tcPr>
            <w:tcW w:type="dxa" w:w="1944"/>
          </w:tcPr>
          <w:p>
            <w:pPr>
              <w:spacing w:after="40" w:before="40"/>
            </w:pPr>
            <w:r/>
            <w:r>
              <w:rPr>
                <w:b/>
                <w:color w:val="0E3460"/>
                <w:sz w:val="16"/>
              </w:rPr>
              <w:t>Uploads to SP</w:t>
            </w:r>
          </w:p>
        </w:tc>
        <w:tc>
          <w:tcPr>
            <w:tcW w:type="dxa" w:w="8280"/>
          </w:tcPr>
          <w:p>
            <w:pPr>
              <w:spacing w:after="40" w:before="40"/>
            </w:pPr>
            <w:r/>
            <w:r>
              <w:rPr>
                <w:b/>
                <w:color w:val="0F6B45"/>
                <w:sz w:val="16"/>
              </w:rPr>
              <w:t>No. UploadOutputsToSharePoint = false.</w:t>
            </w:r>
          </w:p>
        </w:tc>
      </w:tr>
      <w:tr>
        <w:tc>
          <w:tcPr>
            <w:tcW w:type="dxa" w:w="1944"/>
          </w:tcPr>
          <w:p>
            <w:pPr>
              <w:spacing w:after="40" w:before="40"/>
            </w:pPr>
            <w:r/>
            <w:r>
              <w:rPr>
                <w:b/>
                <w:color w:val="0E3460"/>
                <w:sz w:val="16"/>
              </w:rPr>
              <w:t>Configured but unused</w:t>
            </w:r>
          </w:p>
        </w:tc>
        <w:tc>
          <w:tcPr>
            <w:tcW w:type="dxa" w:w="8280"/>
          </w:tcPr>
          <w:p>
            <w:pPr>
              <w:spacing w:after="40" w:before="40"/>
            </w:pPr>
            <w:r/>
            <w:r>
              <w:rPr>
                <w:b w:val="0"/>
                <w:sz w:val="16"/>
              </w:rPr>
              <w:t>OutputRoot LRN-Output\DenialDatabase holds 4 xlsx last written 2026-04-14; 13 per-lab SharePointUploadPath entries are all dead configuration</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Keep the service. Delete the dead output and upload configuration.</w:t>
            </w:r>
          </w:p>
        </w:tc>
      </w:tr>
    </w:tbl>
    <w:p>
      <w:pPr>
        <w:spacing w:after="80"/>
      </w:pPr>
    </w:p>
    <w:tbl>
      <w:tblPr>
        <w:tblStyle w:val="TableGrid"/>
        <w:tblW w:type="auto" w:w="0"/>
        <w:tblLayout w:type="fixed"/>
        <w:tblLook w:firstColumn="1" w:firstRow="1" w:lastColumn="0" w:lastRow="0" w:noHBand="0" w:noVBand="1" w:val="04A0"/>
      </w:tblPr>
      <w:tblGrid>
        <w:gridCol w:w="10224"/>
      </w:tblGrid>
      <w:tr>
        <w:tc>
          <w:tcPr>
            <w:tcW w:type="dxa" w:w="10224"/>
            <w:shd w:val="clear" w:fill="EAF6EF"/>
          </w:tcPr>
          <w:p>
            <w:pPr>
              <w:spacing w:after="60"/>
            </w:pPr>
            <w:r/>
            <w:r>
              <w:rPr>
                <w:b/>
                <w:color w:val="0F6B45"/>
                <w:sz w:val="20"/>
              </w:rPr>
              <w:t>This is correction 1 from section 1.1.</w:t>
            </w:r>
          </w:p>
          <w:p>
            <w:pPr>
              <w:spacing w:after="40"/>
            </w:pPr>
            <w:r>
              <w:rPr>
                <w:sz w:val="19"/>
              </w:rPr>
              <w:t>The service is currently a pure SQL copy. The 29 hardcoded C:\ paths in its configuration are mostly for an output path it no longer writes and 13 SharePoint upload URLs it no longer calls. Removing them would cut the configuration roughly in half and remove a misleading impression of what the service does.</w:t>
            </w:r>
          </w:p>
        </w:tc>
      </w:tr>
    </w:tbl>
    <w:p>
      <w:pPr>
        <w:spacing w:after="80"/>
      </w:pPr>
    </w:p>
    <w:p>
      <w:pPr>
        <w:pStyle w:val="Heading2"/>
      </w:pPr>
      <w:r>
        <w:t>3.3 LRN.AverageImport.Worker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LRN.AveragesImport.Worker (net8.0)</w:t>
            </w:r>
          </w:p>
        </w:tc>
      </w:tr>
      <w:tr>
        <w:tc>
          <w:tcPr>
            <w:tcW w:type="dxa" w:w="1944"/>
          </w:tcPr>
          <w:p>
            <w:pPr>
              <w:spacing w:after="40" w:before="40"/>
            </w:pPr>
            <w:r/>
            <w:r>
              <w:rPr>
                <w:b/>
                <w:color w:val="0E3460"/>
                <w:sz w:val="16"/>
              </w:rPr>
              <w:t>Trigger</w:t>
            </w:r>
          </w:p>
        </w:tc>
        <w:tc>
          <w:tcPr>
            <w:tcW w:type="dxa" w:w="8280"/>
          </w:tcPr>
          <w:p>
            <w:pPr>
              <w:spacing w:after="40" w:before="40"/>
            </w:pPr>
            <w:r/>
            <w:r>
              <w:rPr>
                <w:b w:val="0"/>
                <w:sz w:val="16"/>
              </w:rPr>
              <w:t>IntervalMinutes = 60</w:t>
            </w:r>
          </w:p>
        </w:tc>
      </w:tr>
      <w:tr>
        <w:tc>
          <w:tcPr>
            <w:tcW w:type="dxa" w:w="1944"/>
          </w:tcPr>
          <w:p>
            <w:pPr>
              <w:spacing w:after="40" w:before="40"/>
            </w:pPr>
            <w:r/>
            <w:r>
              <w:rPr>
                <w:b/>
                <w:color w:val="0E3460"/>
                <w:sz w:val="16"/>
              </w:rPr>
              <w:t>Source</w:t>
            </w:r>
          </w:p>
        </w:tc>
        <w:tc>
          <w:tcPr>
            <w:tcW w:type="dxa" w:w="8280"/>
          </w:tcPr>
          <w:p>
            <w:pPr>
              <w:spacing w:after="40" w:before="40"/>
            </w:pPr>
            <w:r/>
            <w:r>
              <w:rPr>
                <w:b w:val="0"/>
                <w:sz w:val="16"/>
              </w:rPr>
              <w:t>Each lab's own database, dbo.LineLevelData, aggregated. Runs discovered via stored procedure sp_GetRecentSuccessRunByLab</w:t>
            </w:r>
          </w:p>
        </w:tc>
      </w:tr>
      <w:tr>
        <w:tc>
          <w:tcPr>
            <w:tcW w:type="dxa" w:w="1944"/>
          </w:tcPr>
          <w:p>
            <w:pPr>
              <w:spacing w:after="40" w:before="40"/>
            </w:pPr>
            <w:r/>
            <w:r>
              <w:rPr>
                <w:b/>
                <w:color w:val="0E3460"/>
                <w:sz w:val="16"/>
              </w:rPr>
              <w:t>Labs</w:t>
            </w:r>
          </w:p>
        </w:tc>
        <w:tc>
          <w:tcPr>
            <w:tcW w:type="dxa" w:w="8280"/>
          </w:tcPr>
          <w:p>
            <w:pPr>
              <w:spacing w:after="40" w:before="40"/>
            </w:pPr>
            <w:r/>
            <w:r>
              <w:rPr>
                <w:b w:val="0"/>
                <w:sz w:val="16"/>
              </w:rPr>
              <w:t>12 configured, each with its own connection string</w:t>
            </w:r>
          </w:p>
        </w:tc>
      </w:tr>
      <w:tr>
        <w:tc>
          <w:tcPr>
            <w:tcW w:type="dxa" w:w="1944"/>
          </w:tcPr>
          <w:p>
            <w:pPr>
              <w:spacing w:after="40" w:before="40"/>
            </w:pPr>
            <w:r/>
            <w:r>
              <w:rPr>
                <w:b/>
                <w:color w:val="0E3460"/>
                <w:sz w:val="16"/>
              </w:rPr>
              <w:t>Server output</w:t>
            </w:r>
          </w:p>
        </w:tc>
        <w:tc>
          <w:tcPr>
            <w:tcW w:type="dxa" w:w="8280"/>
          </w:tcPr>
          <w:p>
            <w:pPr>
              <w:spacing w:after="40" w:before="40"/>
            </w:pPr>
            <w:r/>
            <w:r>
              <w:rPr>
                <w:b/>
                <w:color w:val="0F6B45"/>
                <w:sz w:val="16"/>
              </w:rPr>
              <w:t>NONE. Database to database only.</w:t>
            </w:r>
          </w:p>
        </w:tc>
      </w:tr>
      <w:tr>
        <w:tc>
          <w:tcPr>
            <w:tcW w:type="dxa" w:w="1944"/>
          </w:tcPr>
          <w:p>
            <w:pPr>
              <w:spacing w:after="40" w:before="40"/>
            </w:pPr>
            <w:r/>
            <w:r>
              <w:rPr>
                <w:b/>
                <w:color w:val="0E3460"/>
                <w:sz w:val="16"/>
              </w:rPr>
              <w:t>SQL targets</w:t>
            </w:r>
          </w:p>
        </w:tc>
        <w:tc>
          <w:tcPr>
            <w:tcW w:type="dxa" w:w="8280"/>
          </w:tcPr>
          <w:p>
            <w:pPr>
              <w:spacing w:after="40" w:before="40"/>
            </w:pPr>
            <w:r/>
            <w:r>
              <w:rPr>
                <w:b w:val="0"/>
                <w:sz w:val="16"/>
              </w:rPr>
              <w:t>LRNMaster.dbo.CPTAverage (key column LabID) and LRNMaster.dbo.PanelAverage (key column LabId). Delete-by-LabId then bulk copy, batch 5,000, in one transaction</w:t>
            </w:r>
          </w:p>
        </w:tc>
      </w:tr>
      <w:tr>
        <w:tc>
          <w:tcPr>
            <w:tcW w:type="dxa" w:w="1944"/>
          </w:tcPr>
          <w:p>
            <w:pPr>
              <w:spacing w:after="40" w:before="40"/>
            </w:pPr>
            <w:r/>
            <w:r>
              <w:rPr>
                <w:b/>
                <w:color w:val="0E3460"/>
                <w:sz w:val="16"/>
              </w:rPr>
              <w:t>Log table</w:t>
            </w:r>
          </w:p>
        </w:tc>
        <w:tc>
          <w:tcPr>
            <w:tcW w:type="dxa" w:w="8280"/>
          </w:tcPr>
          <w:p>
            <w:pPr>
              <w:spacing w:after="40" w:before="40"/>
            </w:pPr>
            <w:r/>
            <w:r>
              <w:rPr>
                <w:b w:val="0"/>
                <w:sz w:val="16"/>
              </w:rPr>
              <w:t>dbo.AverageImportLog</w:t>
            </w:r>
          </w:p>
        </w:tc>
      </w:tr>
      <w:tr>
        <w:tc>
          <w:tcPr>
            <w:tcW w:type="dxa" w:w="1944"/>
          </w:tcPr>
          <w:p>
            <w:pPr>
              <w:spacing w:after="40" w:before="40"/>
            </w:pPr>
            <w:r/>
            <w:r>
              <w:rPr>
                <w:b/>
                <w:color w:val="0E3460"/>
                <w:sz w:val="16"/>
              </w:rPr>
              <w:t>Log file</w:t>
            </w:r>
          </w:p>
        </w:tc>
        <w:tc>
          <w:tcPr>
            <w:tcW w:type="dxa" w:w="8280"/>
          </w:tcPr>
          <w:p>
            <w:pPr>
              <w:spacing w:after="40" w:before="40"/>
            </w:pPr>
            <w:r/>
            <w:r>
              <w:rPr>
                <w:b w:val="0"/>
                <w:sz w:val="16"/>
              </w:rPr>
              <w:t>logs\averages-import-&lt;date&gt;.log (Serilog, 30-day retention)</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Keep.</w:t>
            </w:r>
          </w:p>
        </w:tc>
      </w:tr>
    </w:tbl>
    <w:p>
      <w:pPr>
        <w:spacing w:after="80"/>
      </w:pPr>
    </w:p>
    <w:p>
      <w:pPr>
        <w:spacing w:after="120"/>
      </w:pPr>
      <w:r>
        <w:rPr>
          <w:b w:val="0"/>
          <w:i/>
          <w:sz w:val="18"/>
        </w:rPr>
        <w:t>This is correction 2. The CSVs in LRN-Output\Averages and \Consolidated_Average are named R&lt;RunId&gt;&lt;Lab&gt;_&lt;Lab&gt;_CptAverage_&lt;date&gt;_&lt;week range&gt;.csv and are produced by a different pipeline, not by this service.</w:t>
      </w:r>
    </w:p>
    <w:p>
      <w:pPr>
        <w:pStyle w:val="Heading2"/>
      </w:pPr>
      <w:r>
        <w:t>3.4 LRN - Report Generation Worker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LRN.ReportWorker (net9.0, WinExe)</w:t>
            </w:r>
          </w:p>
        </w:tc>
      </w:tr>
      <w:tr>
        <w:tc>
          <w:tcPr>
            <w:tcW w:type="dxa" w:w="1944"/>
          </w:tcPr>
          <w:p>
            <w:pPr>
              <w:spacing w:after="40" w:before="40"/>
            </w:pPr>
            <w:r/>
            <w:r>
              <w:rPr>
                <w:b/>
                <w:color w:val="0E3460"/>
                <w:sz w:val="16"/>
              </w:rPr>
              <w:t>Trigger</w:t>
            </w:r>
          </w:p>
        </w:tc>
        <w:tc>
          <w:tcPr>
            <w:tcW w:type="dxa" w:w="8280"/>
          </w:tcPr>
          <w:p>
            <w:pPr>
              <w:spacing w:after="40" w:before="40"/>
            </w:pPr>
            <w:r/>
            <w:r>
              <w:rPr>
                <w:b w:val="0"/>
                <w:sz w:val="16"/>
              </w:rPr>
              <w:t>Queue poll every 5 seconds</w:t>
            </w:r>
          </w:p>
        </w:tc>
      </w:tr>
      <w:tr>
        <w:tc>
          <w:tcPr>
            <w:tcW w:type="dxa" w:w="1944"/>
          </w:tcPr>
          <w:p>
            <w:pPr>
              <w:spacing w:after="40" w:before="40"/>
            </w:pPr>
            <w:r/>
            <w:r>
              <w:rPr>
                <w:b/>
                <w:color w:val="0E3460"/>
                <w:sz w:val="16"/>
              </w:rPr>
              <w:t>Source</w:t>
            </w:r>
          </w:p>
        </w:tc>
        <w:tc>
          <w:tcPr>
            <w:tcW w:type="dxa" w:w="8280"/>
          </w:tcPr>
          <w:p>
            <w:pPr>
              <w:spacing w:after="40" w:before="40"/>
            </w:pPr>
            <w:r/>
            <w:r>
              <w:rPr>
                <w:b w:val="0"/>
                <w:sz w:val="16"/>
              </w:rPr>
              <w:t>dbo.UserReqReports queue table, claimed with READPAST</w:t>
            </w:r>
          </w:p>
        </w:tc>
      </w:tr>
      <w:tr>
        <w:tc>
          <w:tcPr>
            <w:tcW w:type="dxa" w:w="1944"/>
          </w:tcPr>
          <w:p>
            <w:pPr>
              <w:spacing w:after="40" w:before="40"/>
            </w:pPr>
            <w:r/>
            <w:r>
              <w:rPr>
                <w:b/>
                <w:color w:val="0E3460"/>
                <w:sz w:val="16"/>
              </w:rPr>
              <w:t>Reference file</w:t>
            </w:r>
          </w:p>
        </w:tc>
        <w:tc>
          <w:tcPr>
            <w:tcW w:type="dxa" w:w="8280"/>
          </w:tcPr>
          <w:p>
            <w:pPr>
              <w:spacing w:after="40" w:before="40"/>
            </w:pPr>
            <w:r/>
            <w:r>
              <w:rPr>
                <w:b w:val="0"/>
                <w:sz w:val="16"/>
              </w:rPr>
              <w:t>CodingSummary_CalculationLogic.xlsx template</w:t>
            </w:r>
          </w:p>
        </w:tc>
      </w:tr>
      <w:tr>
        <w:tc>
          <w:tcPr>
            <w:tcW w:type="dxa" w:w="1944"/>
          </w:tcPr>
          <w:p>
            <w:pPr>
              <w:spacing w:after="40" w:before="40"/>
            </w:pPr>
            <w:r/>
            <w:r>
              <w:rPr>
                <w:b/>
                <w:color w:val="0E3460"/>
                <w:sz w:val="16"/>
              </w:rPr>
              <w:t>Server output</w:t>
            </w:r>
          </w:p>
        </w:tc>
        <w:tc>
          <w:tcPr>
            <w:tcW w:type="dxa" w:w="8280"/>
          </w:tcPr>
          <w:p>
            <w:pPr>
              <w:spacing w:after="40" w:before="40"/>
            </w:pPr>
            <w:r/>
            <w:r>
              <w:rPr>
                <w:b/>
                <w:color w:val="9B1C1C"/>
                <w:sz w:val="16"/>
              </w:rPr>
              <w:t>XLSX per request</w:t>
            </w:r>
          </w:p>
        </w:tc>
      </w:tr>
      <w:tr>
        <w:tc>
          <w:tcPr>
            <w:tcW w:type="dxa" w:w="1944"/>
          </w:tcPr>
          <w:p>
            <w:pPr>
              <w:spacing w:after="40" w:before="40"/>
            </w:pPr>
            <w:r/>
            <w:r>
              <w:rPr>
                <w:b/>
                <w:color w:val="0E3460"/>
                <w:sz w:val="16"/>
              </w:rPr>
              <w:t>Output folder</w:t>
            </w:r>
          </w:p>
        </w:tc>
        <w:tc>
          <w:tcPr>
            <w:tcW w:type="dxa" w:w="8280"/>
          </w:tcPr>
          <w:p>
            <w:pPr>
              <w:spacing w:after="40" w:before="40"/>
            </w:pPr>
            <w:r/>
            <w:r>
              <w:rPr>
                <w:b w:val="0"/>
                <w:sz w:val="16"/>
              </w:rPr>
              <w:t>C:\LRN-Files\ApplicationFolder\PredictionAnalysis_Automation\LRNMetricsReportGenApps\GeneratedReports</w:t>
            </w:r>
          </w:p>
        </w:tc>
      </w:tr>
      <w:tr>
        <w:tc>
          <w:tcPr>
            <w:tcW w:type="dxa" w:w="1944"/>
          </w:tcPr>
          <w:p>
            <w:pPr>
              <w:spacing w:after="40" w:before="40"/>
            </w:pPr>
            <w:r/>
            <w:r>
              <w:rPr>
                <w:b/>
                <w:color w:val="0E3460"/>
                <w:sz w:val="16"/>
              </w:rPr>
              <w:t>Current contents</w:t>
            </w:r>
          </w:p>
        </w:tc>
        <w:tc>
          <w:tcPr>
            <w:tcW w:type="dxa" w:w="8280"/>
          </w:tcPr>
          <w:p>
            <w:pPr>
              <w:spacing w:after="40" w:before="40"/>
            </w:pPr>
            <w:r/>
            <w:r>
              <w:rPr>
                <w:b w:val="0"/>
                <w:sz w:val="16"/>
              </w:rPr>
              <w:t>37 xlsx, newest 23 Sep 2026 06:03. Naming: &lt;Lab&gt;_&lt;ReportType&gt;_&lt;yyyyMMddHHmmss&gt;.xlsx</w:t>
            </w:r>
          </w:p>
        </w:tc>
      </w:tr>
      <w:tr>
        <w:tc>
          <w:tcPr>
            <w:tcW w:type="dxa" w:w="1944"/>
          </w:tcPr>
          <w:p>
            <w:pPr>
              <w:spacing w:after="40" w:before="40"/>
            </w:pPr>
            <w:r/>
            <w:r>
              <w:rPr>
                <w:b/>
                <w:color w:val="0E3460"/>
                <w:sz w:val="16"/>
              </w:rPr>
              <w:t>Uploads to SP</w:t>
            </w:r>
          </w:p>
        </w:tc>
        <w:tc>
          <w:tcPr>
            <w:tcW w:type="dxa" w:w="8280"/>
          </w:tcPr>
          <w:p>
            <w:pPr>
              <w:spacing w:after="40" w:before="40"/>
            </w:pPr>
            <w:r/>
            <w:r>
              <w:rPr>
                <w:b/>
                <w:color w:val="0F6B45"/>
                <w:sz w:val="16"/>
              </w:rPr>
              <w:t>No. Files are served by the dashboard.</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Keep. Actively producing.</w:t>
            </w:r>
          </w:p>
        </w:tc>
      </w:tr>
    </w:tbl>
    <w:p>
      <w:pPr>
        <w:spacing w:after="80"/>
      </w:pPr>
    </w:p>
    <w:p>
      <w:pPr>
        <w:pStyle w:val="Heading2"/>
      </w:pPr>
      <w:r>
        <w:t>3.5 LRN.PayerPolicyInsranceSync</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LRN.PayerPolicyMapper (net8.0)</w:t>
            </w:r>
          </w:p>
        </w:tc>
      </w:tr>
      <w:tr>
        <w:tc>
          <w:tcPr>
            <w:tcW w:type="dxa" w:w="1944"/>
          </w:tcPr>
          <w:p>
            <w:pPr>
              <w:spacing w:after="40" w:before="40"/>
            </w:pPr>
            <w:r/>
            <w:r>
              <w:rPr>
                <w:b/>
                <w:color w:val="0E3460"/>
                <w:sz w:val="16"/>
              </w:rPr>
              <w:t>Trigger</w:t>
            </w:r>
          </w:p>
        </w:tc>
        <w:tc>
          <w:tcPr>
            <w:tcW w:type="dxa" w:w="8280"/>
          </w:tcPr>
          <w:p>
            <w:pPr>
              <w:spacing w:after="40" w:before="40"/>
            </w:pPr>
            <w:r/>
            <w:r>
              <w:rPr>
                <w:b w:val="0"/>
                <w:sz w:val="16"/>
              </w:rPr>
              <w:t>PollIntervalSeconds = 360; ScheduledRunIntervalMinutes = 60</w:t>
            </w:r>
          </w:p>
        </w:tc>
      </w:tr>
      <w:tr>
        <w:tc>
          <w:tcPr>
            <w:tcW w:type="dxa" w:w="1944"/>
          </w:tcPr>
          <w:p>
            <w:pPr>
              <w:spacing w:after="40" w:before="40"/>
            </w:pPr>
            <w:r/>
            <w:r>
              <w:rPr>
                <w:b/>
                <w:color w:val="0E3460"/>
                <w:sz w:val="16"/>
              </w:rPr>
              <w:t>Source</w:t>
            </w:r>
          </w:p>
        </w:tc>
        <w:tc>
          <w:tcPr>
            <w:tcW w:type="dxa" w:w="8280"/>
          </w:tcPr>
          <w:p>
            <w:pPr>
              <w:spacing w:after="40" w:before="40"/>
            </w:pPr>
            <w:r/>
            <w:r>
              <w:rPr>
                <w:b w:val="0"/>
                <w:sz w:val="16"/>
              </w:rPr>
              <w:t>LRNMaster.dbo.LabInsuranceMaster rows carrying only PayerNameRaw</w:t>
            </w:r>
          </w:p>
        </w:tc>
      </w:tr>
      <w:tr>
        <w:tc>
          <w:tcPr>
            <w:tcW w:type="dxa" w:w="1944"/>
          </w:tcPr>
          <w:p>
            <w:pPr>
              <w:spacing w:after="40" w:before="40"/>
            </w:pPr>
            <w:r/>
            <w:r>
              <w:rPr>
                <w:b/>
                <w:color w:val="0E3460"/>
                <w:sz w:val="16"/>
              </w:rPr>
              <w:t>Matched against</w:t>
            </w:r>
          </w:p>
        </w:tc>
        <w:tc>
          <w:tcPr>
            <w:tcW w:type="dxa" w:w="8280"/>
          </w:tcPr>
          <w:p>
            <w:pPr>
              <w:spacing w:after="40" w:before="40"/>
            </w:pPr>
            <w:r/>
            <w:r>
              <w:rPr>
                <w:b w:val="0"/>
                <w:sz w:val="16"/>
              </w:rPr>
              <w:t>LRNMaster.dbo.PayerPolicyInsuranceMaster</w:t>
            </w:r>
          </w:p>
        </w:tc>
      </w:tr>
      <w:tr>
        <w:tc>
          <w:tcPr>
            <w:tcW w:type="dxa" w:w="1944"/>
          </w:tcPr>
          <w:p>
            <w:pPr>
              <w:spacing w:after="40" w:before="40"/>
            </w:pPr>
            <w:r/>
            <w:r>
              <w:rPr>
                <w:b/>
                <w:color w:val="0E3460"/>
                <w:sz w:val="16"/>
              </w:rPr>
              <w:t>Server output</w:t>
            </w:r>
          </w:p>
        </w:tc>
        <w:tc>
          <w:tcPr>
            <w:tcW w:type="dxa" w:w="8280"/>
          </w:tcPr>
          <w:p>
            <w:pPr>
              <w:spacing w:after="40" w:before="40"/>
            </w:pPr>
            <w:r/>
            <w:r>
              <w:rPr>
                <w:b/>
                <w:color w:val="0F6B45"/>
                <w:sz w:val="16"/>
              </w:rPr>
              <w:t>NONE. Database only.</w:t>
            </w:r>
          </w:p>
        </w:tc>
      </w:tr>
      <w:tr>
        <w:tc>
          <w:tcPr>
            <w:tcW w:type="dxa" w:w="1944"/>
          </w:tcPr>
          <w:p>
            <w:pPr>
              <w:spacing w:after="40" w:before="40"/>
            </w:pPr>
            <w:r/>
            <w:r>
              <w:rPr>
                <w:b/>
                <w:color w:val="0E3460"/>
                <w:sz w:val="16"/>
              </w:rPr>
              <w:t>SQL effect</w:t>
            </w:r>
          </w:p>
        </w:tc>
        <w:tc>
          <w:tcPr>
            <w:tcW w:type="dxa" w:w="8280"/>
          </w:tcPr>
          <w:p>
            <w:pPr>
              <w:spacing w:after="40" w:before="40"/>
            </w:pPr>
            <w:r/>
            <w:r>
              <w:rPr>
                <w:b w:val="0"/>
                <w:sz w:val="16"/>
              </w:rPr>
              <w:t>Canonicalizes the name, fuzzy-scores candidates, then auto-maps, queues ranked suggestions for review, or flags No Match Found</w:t>
            </w:r>
          </w:p>
        </w:tc>
      </w:tr>
      <w:tr>
        <w:tc>
          <w:tcPr>
            <w:tcW w:type="dxa" w:w="1944"/>
          </w:tcPr>
          <w:p>
            <w:pPr>
              <w:spacing w:after="40" w:before="40"/>
            </w:pPr>
            <w:r/>
            <w:r>
              <w:rPr>
                <w:b/>
                <w:color w:val="0E3460"/>
                <w:sz w:val="16"/>
              </w:rPr>
              <w:t>Log file</w:t>
            </w:r>
          </w:p>
        </w:tc>
        <w:tc>
          <w:tcPr>
            <w:tcW w:type="dxa" w:w="8280"/>
          </w:tcPr>
          <w:p>
            <w:pPr>
              <w:spacing w:after="40" w:before="40"/>
            </w:pPr>
            <w:r/>
            <w:r>
              <w:rPr>
                <w:b w:val="0"/>
                <w:sz w:val="16"/>
              </w:rPr>
              <w:t>C:\LRN-Files\ApplicationFolder\PayerPolicyMapper\Logs</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Keep. Lowest file-system footprint in the estate.</w:t>
            </w:r>
          </w:p>
        </w:tc>
      </w:tr>
    </w:tbl>
    <w:p>
      <w:pPr>
        <w:spacing w:after="80"/>
      </w:pPr>
    </w:p>
    <w:p>
      <w:pPr>
        <w:pStyle w:val="Heading2"/>
      </w:pPr>
      <w:r>
        <w:t>3.6 LRN.FileCleaner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Services\FolderRetentionCleanupWorker (net8.0)</w:t>
            </w:r>
          </w:p>
        </w:tc>
      </w:tr>
      <w:tr>
        <w:tc>
          <w:tcPr>
            <w:tcW w:type="dxa" w:w="1944"/>
          </w:tcPr>
          <w:p>
            <w:pPr>
              <w:spacing w:after="40" w:before="40"/>
            </w:pPr>
            <w:r/>
            <w:r>
              <w:rPr>
                <w:b/>
                <w:color w:val="0E3460"/>
                <w:sz w:val="16"/>
              </w:rPr>
              <w:t>Trigger</w:t>
            </w:r>
          </w:p>
        </w:tc>
        <w:tc>
          <w:tcPr>
            <w:tcW w:type="dxa" w:w="8280"/>
          </w:tcPr>
          <w:p>
            <w:pPr>
              <w:spacing w:after="40" w:before="40"/>
            </w:pPr>
            <w:r/>
            <w:r>
              <w:rPr>
                <w:b w:val="0"/>
                <w:sz w:val="16"/>
              </w:rPr>
              <w:t>ScanIntervalMinutes = 43,200 (30 days)</w:t>
            </w:r>
          </w:p>
        </w:tc>
      </w:tr>
      <w:tr>
        <w:tc>
          <w:tcPr>
            <w:tcW w:type="dxa" w:w="1944"/>
          </w:tcPr>
          <w:p>
            <w:pPr>
              <w:spacing w:after="40" w:before="40"/>
            </w:pPr>
            <w:r/>
            <w:r>
              <w:rPr>
                <w:b/>
                <w:color w:val="0E3460"/>
                <w:sz w:val="16"/>
              </w:rPr>
              <w:t>Retention</w:t>
            </w:r>
          </w:p>
        </w:tc>
        <w:tc>
          <w:tcPr>
            <w:tcW w:type="dxa" w:w="8280"/>
          </w:tcPr>
          <w:p>
            <w:pPr>
              <w:spacing w:after="40" w:before="40"/>
            </w:pPr>
            <w:r/>
            <w:r>
              <w:rPr>
                <w:b w:val="0"/>
                <w:sz w:val="16"/>
              </w:rPr>
              <w:t>4 weeks</w:t>
            </w:r>
          </w:p>
        </w:tc>
      </w:tr>
      <w:tr>
        <w:tc>
          <w:tcPr>
            <w:tcW w:type="dxa" w:w="1944"/>
          </w:tcPr>
          <w:p>
            <w:pPr>
              <w:spacing w:after="40" w:before="40"/>
            </w:pPr>
            <w:r/>
            <w:r>
              <w:rPr>
                <w:b/>
                <w:color w:val="0E3460"/>
                <w:sz w:val="16"/>
              </w:rPr>
              <w:t>Scope</w:t>
            </w:r>
          </w:p>
        </w:tc>
        <w:tc>
          <w:tcPr>
            <w:tcW w:type="dxa" w:w="8280"/>
          </w:tcPr>
          <w:p>
            <w:pPr>
              <w:spacing w:after="40" w:before="40"/>
            </w:pPr>
            <w:r/>
            <w:r>
              <w:rPr>
                <w:b w:val="0"/>
                <w:sz w:val="16"/>
              </w:rPr>
              <w:t>C:\LRN-Files\Automation\LRN-Input and \LRN-Output, plus child folders</w:t>
            </w:r>
          </w:p>
        </w:tc>
      </w:tr>
      <w:tr>
        <w:tc>
          <w:tcPr>
            <w:tcW w:type="dxa" w:w="1944"/>
          </w:tcPr>
          <w:p>
            <w:pPr>
              <w:spacing w:after="40" w:before="40"/>
            </w:pPr>
            <w:r/>
            <w:r>
              <w:rPr>
                <w:b/>
                <w:color w:val="0E3460"/>
                <w:sz w:val="16"/>
              </w:rPr>
              <w:t>Action</w:t>
            </w:r>
          </w:p>
        </w:tc>
        <w:tc>
          <w:tcPr>
            <w:tcW w:type="dxa" w:w="8280"/>
          </w:tcPr>
          <w:p>
            <w:pPr>
              <w:spacing w:after="40" w:before="40"/>
            </w:pPr>
            <w:r/>
            <w:r>
              <w:rPr>
                <w:b/>
                <w:color w:val="9B1C1C"/>
                <w:sz w:val="16"/>
              </w:rPr>
              <w:t>Deletes files older than retention; also deletes empty folders</w:t>
            </w:r>
          </w:p>
        </w:tc>
      </w:tr>
      <w:tr>
        <w:tc>
          <w:tcPr>
            <w:tcW w:type="dxa" w:w="1944"/>
          </w:tcPr>
          <w:p>
            <w:pPr>
              <w:spacing w:after="40" w:before="40"/>
            </w:pPr>
            <w:r/>
            <w:r>
              <w:rPr>
                <w:b/>
                <w:color w:val="0E3460"/>
                <w:sz w:val="16"/>
              </w:rPr>
              <w:t>Not in scope</w:t>
            </w:r>
          </w:p>
        </w:tc>
        <w:tc>
          <w:tcPr>
            <w:tcW w:type="dxa" w:w="8280"/>
          </w:tcPr>
          <w:p>
            <w:pPr>
              <w:spacing w:after="40" w:before="40"/>
            </w:pPr>
            <w:r/>
            <w:r>
              <w:rPr>
                <w:b w:val="0"/>
                <w:sz w:val="16"/>
              </w:rPr>
              <w:t>LRN-Masters, LRN-Logs, GeneratedReports</w:t>
            </w:r>
          </w:p>
        </w:tc>
      </w:tr>
      <w:tr>
        <w:tc>
          <w:tcPr>
            <w:tcW w:type="dxa" w:w="1944"/>
          </w:tcPr>
          <w:p>
            <w:pPr>
              <w:spacing w:after="40" w:before="40"/>
            </w:pPr>
            <w:r/>
            <w:r>
              <w:rPr>
                <w:b/>
                <w:color w:val="0E3460"/>
                <w:sz w:val="16"/>
              </w:rPr>
              <w:t>Verdict</w:t>
            </w:r>
          </w:p>
        </w:tc>
        <w:tc>
          <w:tcPr>
            <w:tcW w:type="dxa" w:w="8280"/>
          </w:tcPr>
          <w:p>
            <w:pPr>
              <w:spacing w:after="40" w:before="40"/>
            </w:pPr>
            <w:r/>
            <w:r>
              <w:rPr>
                <w:b/>
                <w:color w:val="0F6B45"/>
                <w:sz w:val="16"/>
              </w:rPr>
              <w:t>Keep. No delete/re-download loop found.</w:t>
            </w:r>
          </w:p>
        </w:tc>
      </w:tr>
    </w:tbl>
    <w:p>
      <w:pPr>
        <w:spacing w:after="80"/>
      </w:pPr>
    </w:p>
    <w:p>
      <w:pPr>
        <w:spacing w:after="120"/>
      </w:pPr>
      <w:r>
        <w:rPr>
          <w:b w:val="0"/>
          <w:i/>
          <w:sz w:val="18"/>
        </w:rPr>
        <w:t>Checked explicitly: the Synchronizer's raw paths set SyncLatestWeekRawOnly = true, so files older than four weeks are not re-fetched after deletion, and LRN-Masters is outside the cleaner's scope. Re-check if either configuration changes.</w:t>
      </w:r>
    </w:p>
    <w:p>
      <w:pPr>
        <w:pStyle w:val="Heading2"/>
      </w:pPr>
      <w:r>
        <w:t>3.7 LRN - CPU Monitor</w:t>
      </w:r>
    </w:p>
    <w:tbl>
      <w:tblPr>
        <w:tblStyle w:val="TableGrid"/>
        <w:tblW w:type="auto" w:w="0"/>
        <w:jc w:val="center"/>
        <w:tblLayout w:type="fixed"/>
        <w:tblLook w:firstColumn="1" w:firstRow="1" w:lastColumn="0" w:lastRow="0" w:noHBand="0" w:noVBand="1" w:val="04A0"/>
      </w:tblPr>
      <w:tblGrid>
        <w:gridCol w:w="1944"/>
        <w:gridCol w:w="8280"/>
      </w:tblGrid>
      <w:tr>
        <w:tc>
          <w:tcPr>
            <w:tcW w:type="dxa" w:w="1944"/>
          </w:tcPr>
          <w:p>
            <w:pPr>
              <w:spacing w:after="40" w:before="40"/>
            </w:pPr>
            <w:r/>
            <w:r>
              <w:rPr>
                <w:b/>
                <w:color w:val="0E3460"/>
                <w:sz w:val="16"/>
              </w:rPr>
              <w:t>Project</w:t>
            </w:r>
          </w:p>
        </w:tc>
        <w:tc>
          <w:tcPr>
            <w:tcW w:type="dxa" w:w="8280"/>
          </w:tcPr>
          <w:p>
            <w:pPr>
              <w:spacing w:after="40" w:before="40"/>
            </w:pPr>
            <w:r/>
            <w:r>
              <w:rPr>
                <w:b w:val="0"/>
                <w:sz w:val="16"/>
              </w:rPr>
              <w:t>Services\LRN.CpuMonitor (net8.0-windows, WMI via System.Management)</w:t>
            </w:r>
          </w:p>
        </w:tc>
      </w:tr>
      <w:tr>
        <w:tc>
          <w:tcPr>
            <w:tcW w:type="dxa" w:w="1944"/>
          </w:tcPr>
          <w:p>
            <w:pPr>
              <w:spacing w:after="40" w:before="40"/>
            </w:pPr>
            <w:r/>
            <w:r>
              <w:rPr>
                <w:b/>
                <w:color w:val="0E3460"/>
                <w:sz w:val="16"/>
              </w:rPr>
              <w:t>Source</w:t>
            </w:r>
          </w:p>
        </w:tc>
        <w:tc>
          <w:tcPr>
            <w:tcW w:type="dxa" w:w="8280"/>
          </w:tcPr>
          <w:p>
            <w:pPr>
              <w:spacing w:after="40" w:before="40"/>
            </w:pPr>
            <w:r/>
            <w:r>
              <w:rPr>
                <w:b w:val="0"/>
                <w:sz w:val="16"/>
              </w:rPr>
              <w:t>Live process table and a SQL activity probe</w:t>
            </w:r>
          </w:p>
        </w:tc>
      </w:tr>
      <w:tr>
        <w:tc>
          <w:tcPr>
            <w:tcW w:type="dxa" w:w="1944"/>
          </w:tcPr>
          <w:p>
            <w:pPr>
              <w:spacing w:after="40" w:before="40"/>
            </w:pPr>
            <w:r/>
            <w:r>
              <w:rPr>
                <w:b/>
                <w:color w:val="0E3460"/>
                <w:sz w:val="16"/>
              </w:rPr>
              <w:t>Server output</w:t>
            </w:r>
          </w:p>
        </w:tc>
        <w:tc>
          <w:tcPr>
            <w:tcW w:type="dxa" w:w="8280"/>
          </w:tcPr>
          <w:p>
            <w:pPr>
              <w:spacing w:after="40" w:before="40"/>
            </w:pPr>
            <w:r/>
            <w:r>
              <w:rPr>
                <w:b w:val="0"/>
                <w:sz w:val="16"/>
              </w:rPr>
              <w:t>Log files only</w:t>
            </w:r>
          </w:p>
        </w:tc>
      </w:tr>
      <w:tr>
        <w:tc>
          <w:tcPr>
            <w:tcW w:type="dxa" w:w="1944"/>
          </w:tcPr>
          <w:p>
            <w:pPr>
              <w:spacing w:after="40" w:before="40"/>
            </w:pPr>
            <w:r/>
            <w:r>
              <w:rPr>
                <w:b/>
                <w:color w:val="0E3460"/>
                <w:sz w:val="16"/>
              </w:rPr>
              <w:t>Verdict</w:t>
            </w:r>
          </w:p>
        </w:tc>
        <w:tc>
          <w:tcPr>
            <w:tcW w:type="dxa" w:w="8280"/>
          </w:tcPr>
          <w:p>
            <w:pPr>
              <w:spacing w:after="40" w:before="40"/>
            </w:pPr>
            <w:r/>
            <w:r>
              <w:rPr>
                <w:b/>
                <w:color w:val="9B1C1C"/>
                <w:sz w:val="16"/>
              </w:rPr>
              <w:t>Candidate for retirement. See Part E.</w:t>
            </w:r>
          </w:p>
        </w:tc>
      </w:tr>
    </w:tbl>
    <w:p>
      <w:pPr>
        <w:spacing w:after="80"/>
      </w:pPr>
    </w:p>
    <w:p>
      <w:r>
        <w:br w:type="page"/>
      </w:r>
    </w:p>
    <w:p>
      <w:pPr>
        <w:pStyle w:val="Heading1"/>
      </w:pPr>
      <w:r>
        <w:t>4. Part C — SharePoint folder mapping</w:t>
      </w:r>
    </w:p>
    <w:p>
      <w:pPr>
        <w:spacing w:after="160"/>
      </w:pPr>
      <w:r>
        <w:rPr>
          <w:b w:val="0"/>
          <w:i w:val="0"/>
          <w:sz w:val="20"/>
        </w:rPr>
        <w:t>Every transfer below runs through one shared component, Services\LRN.SharePointClient, against Microsoft Graph on site /sites/3EClaimsProcessingLLC, drive "Documents". There is no second mechanism and no OneDrive folder-sync dependency in any service configuration.</w:t>
      </w:r>
    </w:p>
    <w:p>
      <w:pPr>
        <w:pStyle w:val="Heading2"/>
      </w:pPr>
      <w:r>
        <w:t>4.1 Server → SharePoint (upload)</w:t>
      </w:r>
    </w:p>
    <w:p>
      <w:pPr>
        <w:spacing w:after="80"/>
      </w:pPr>
      <w:r>
        <w:rPr>
          <w:b w:val="0"/>
          <w:i w:val="0"/>
          <w:sz w:val="18"/>
        </w:rPr>
        <w:t>Owned by LRN - Share Point Uploader, nine paths, polled every 20 minutes. The last column is the actual folder contents on the audit date, which is what separates a working path from a configured one.</w:t>
      </w:r>
    </w:p>
    <w:tbl>
      <w:tblPr>
        <w:tblStyle w:val="TableGrid"/>
        <w:tblW w:type="auto" w:w="0"/>
        <w:jc w:val="center"/>
        <w:tblLayout w:type="fixed"/>
        <w:tblLook w:firstColumn="1" w:firstRow="1" w:lastColumn="0" w:lastRow="0" w:noHBand="0" w:noVBand="1" w:val="04A0"/>
      </w:tblPr>
      <w:tblGrid>
        <w:gridCol w:w="3312"/>
        <w:gridCol w:w="3600"/>
        <w:gridCol w:w="3312"/>
      </w:tblGrid>
      <w:tr>
        <w:tc>
          <w:tcPr>
            <w:tcW w:type="dxa" w:w="3312"/>
            <w:shd w:val="clear" w:fill="0E3460"/>
          </w:tcPr>
          <w:p>
            <w:pPr>
              <w:spacing w:after="40" w:before="40"/>
            </w:pPr>
            <w:r/>
            <w:r>
              <w:rPr>
                <w:b/>
                <w:color w:val="FFFFFF"/>
                <w:sz w:val="16"/>
              </w:rPr>
              <w:t>Local folder (under LRN-Output\)</w:t>
            </w:r>
          </w:p>
        </w:tc>
        <w:tc>
          <w:tcPr>
            <w:tcW w:type="dxa" w:w="3600"/>
            <w:shd w:val="clear" w:fill="0E3460"/>
          </w:tcPr>
          <w:p>
            <w:pPr>
              <w:spacing w:after="40" w:before="40"/>
            </w:pPr>
            <w:r/>
            <w:r>
              <w:rPr>
                <w:b/>
                <w:color w:val="FFFFFF"/>
                <w:sz w:val="16"/>
              </w:rPr>
              <w:t>SharePoint target (10. Automation\LRN-Output\)</w:t>
            </w:r>
          </w:p>
        </w:tc>
        <w:tc>
          <w:tcPr>
            <w:tcW w:type="dxa" w:w="3312"/>
            <w:shd w:val="clear" w:fill="0E3460"/>
          </w:tcPr>
          <w:p>
            <w:pPr>
              <w:spacing w:after="40" w:before="40"/>
            </w:pPr>
            <w:r/>
            <w:r>
              <w:rPr>
                <w:b/>
                <w:color w:val="FFFFFF"/>
                <w:sz w:val="16"/>
              </w:rPr>
              <w:t>Actual contents</w:t>
            </w:r>
          </w:p>
        </w:tc>
      </w:tr>
      <w:tr>
        <w:tc>
          <w:tcPr>
            <w:tcW w:type="dxa" w:w="3312"/>
          </w:tcPr>
          <w:p>
            <w:pPr>
              <w:spacing w:after="40" w:before="40"/>
            </w:pPr>
            <w:r/>
            <w:r>
              <w:rPr>
                <w:b w:val="0"/>
                <w:sz w:val="16"/>
              </w:rPr>
              <w:t>Averages</w:t>
            </w:r>
          </w:p>
        </w:tc>
        <w:tc>
          <w:tcPr>
            <w:tcW w:type="dxa" w:w="3600"/>
          </w:tcPr>
          <w:p>
            <w:pPr>
              <w:spacing w:after="40" w:before="40"/>
            </w:pPr>
            <w:r/>
            <w:r>
              <w:rPr>
                <w:b w:val="0"/>
                <w:sz w:val="16"/>
              </w:rPr>
              <w:t>Averages Database</w:t>
            </w:r>
          </w:p>
        </w:tc>
        <w:tc>
          <w:tcPr>
            <w:tcW w:type="dxa" w:w="3312"/>
          </w:tcPr>
          <w:p>
            <w:pPr>
              <w:spacing w:after="40" w:before="40"/>
            </w:pPr>
            <w:r/>
            <w:r>
              <w:rPr>
                <w:b/>
                <w:color w:val="0F6B45"/>
                <w:sz w:val="16"/>
              </w:rPr>
              <w:t>92 csv, 22 Sep</w:t>
            </w:r>
          </w:p>
        </w:tc>
      </w:tr>
      <w:tr>
        <w:tc>
          <w:tcPr>
            <w:tcW w:type="dxa" w:w="3312"/>
            <w:shd w:val="clear" w:fill="F2F6FA"/>
          </w:tcPr>
          <w:p>
            <w:pPr>
              <w:spacing w:after="40" w:before="40"/>
            </w:pPr>
            <w:r/>
            <w:r>
              <w:rPr>
                <w:b w:val="0"/>
                <w:sz w:val="16"/>
              </w:rPr>
              <w:t>Coding_Validation_Report</w:t>
            </w:r>
          </w:p>
        </w:tc>
        <w:tc>
          <w:tcPr>
            <w:tcW w:type="dxa" w:w="3600"/>
            <w:shd w:val="clear" w:fill="F2F6FA"/>
          </w:tcPr>
          <w:p>
            <w:pPr>
              <w:spacing w:after="40" w:before="40"/>
            </w:pPr>
            <w:r/>
            <w:r>
              <w:rPr>
                <w:b w:val="0"/>
                <w:sz w:val="16"/>
              </w:rPr>
              <w:t>Coding Validation Reports</w:t>
            </w:r>
          </w:p>
        </w:tc>
        <w:tc>
          <w:tcPr>
            <w:tcW w:type="dxa" w:w="3312"/>
            <w:shd w:val="clear" w:fill="F2F6FA"/>
          </w:tcPr>
          <w:p>
            <w:pPr>
              <w:spacing w:after="40" w:before="40"/>
            </w:pPr>
            <w:r/>
            <w:r>
              <w:rPr>
                <w:b/>
                <w:color w:val="0F6B45"/>
                <w:sz w:val="16"/>
              </w:rPr>
              <w:t>113 json + 17 xlsx, 22 Sep</w:t>
            </w:r>
          </w:p>
        </w:tc>
      </w:tr>
      <w:tr>
        <w:tc>
          <w:tcPr>
            <w:tcW w:type="dxa" w:w="3312"/>
          </w:tcPr>
          <w:p>
            <w:pPr>
              <w:spacing w:after="40" w:before="40"/>
            </w:pPr>
            <w:r/>
            <w:r>
              <w:rPr>
                <w:b w:val="0"/>
                <w:sz w:val="16"/>
              </w:rPr>
              <w:t>Consolidated_Average</w:t>
            </w:r>
          </w:p>
        </w:tc>
        <w:tc>
          <w:tcPr>
            <w:tcW w:type="dxa" w:w="3600"/>
          </w:tcPr>
          <w:p>
            <w:pPr>
              <w:spacing w:after="40" w:before="40"/>
            </w:pPr>
            <w:r/>
            <w:r>
              <w:rPr>
                <w:b w:val="0"/>
                <w:sz w:val="16"/>
              </w:rPr>
              <w:t>Consolidated Average</w:t>
            </w:r>
          </w:p>
        </w:tc>
        <w:tc>
          <w:tcPr>
            <w:tcW w:type="dxa" w:w="3312"/>
          </w:tcPr>
          <w:p>
            <w:pPr>
              <w:spacing w:after="40" w:before="40"/>
            </w:pPr>
            <w:r/>
            <w:r>
              <w:rPr>
                <w:b/>
                <w:color w:val="0F6B45"/>
                <w:sz w:val="16"/>
              </w:rPr>
              <w:t>45 csv, 22 Sep</w:t>
            </w:r>
          </w:p>
        </w:tc>
      </w:tr>
      <w:tr>
        <w:tc>
          <w:tcPr>
            <w:tcW w:type="dxa" w:w="3312"/>
            <w:shd w:val="clear" w:fill="F2F6FA"/>
          </w:tcPr>
          <w:p>
            <w:pPr>
              <w:spacing w:after="40" w:before="40"/>
            </w:pPr>
            <w:r/>
            <w:r>
              <w:rPr>
                <w:b w:val="0"/>
                <w:sz w:val="16"/>
              </w:rPr>
              <w:t>PayerPolicy_LookupFiles</w:t>
            </w:r>
          </w:p>
        </w:tc>
        <w:tc>
          <w:tcPr>
            <w:tcW w:type="dxa" w:w="3600"/>
            <w:shd w:val="clear" w:fill="F2F6FA"/>
          </w:tcPr>
          <w:p>
            <w:pPr>
              <w:spacing w:after="40" w:before="40"/>
            </w:pPr>
            <w:r/>
            <w:r>
              <w:rPr>
                <w:b w:val="0"/>
                <w:sz w:val="16"/>
              </w:rPr>
              <w:t>Payer Policy LookUp</w:t>
            </w:r>
          </w:p>
        </w:tc>
        <w:tc>
          <w:tcPr>
            <w:tcW w:type="dxa" w:w="3312"/>
            <w:shd w:val="clear" w:fill="F2F6FA"/>
          </w:tcPr>
          <w:p>
            <w:pPr>
              <w:spacing w:after="40" w:before="40"/>
            </w:pPr>
            <w:r/>
            <w:r>
              <w:rPr>
                <w:b/>
                <w:color w:val="0F6B45"/>
                <w:sz w:val="16"/>
              </w:rPr>
              <w:t>9 csv, 21 Sep</w:t>
            </w:r>
          </w:p>
        </w:tc>
      </w:tr>
      <w:tr>
        <w:tc>
          <w:tcPr>
            <w:tcW w:type="dxa" w:w="3312"/>
          </w:tcPr>
          <w:p>
            <w:pPr>
              <w:spacing w:after="40" w:before="40"/>
            </w:pPr>
            <w:r/>
            <w:r>
              <w:rPr>
                <w:b w:val="0"/>
                <w:sz w:val="16"/>
              </w:rPr>
              <w:t>PayerPolicy_Validation_Report</w:t>
            </w:r>
          </w:p>
        </w:tc>
        <w:tc>
          <w:tcPr>
            <w:tcW w:type="dxa" w:w="3600"/>
          </w:tcPr>
          <w:p>
            <w:pPr>
              <w:spacing w:after="40" w:before="40"/>
            </w:pPr>
            <w:r/>
            <w:r>
              <w:rPr>
                <w:b w:val="0"/>
                <w:sz w:val="16"/>
              </w:rPr>
              <w:t>PayerPolicy_Validation_Report</w:t>
            </w:r>
          </w:p>
        </w:tc>
        <w:tc>
          <w:tcPr>
            <w:tcW w:type="dxa" w:w="3312"/>
          </w:tcPr>
          <w:p>
            <w:pPr>
              <w:spacing w:after="40" w:before="40"/>
            </w:pPr>
            <w:r/>
            <w:r>
              <w:rPr>
                <w:b/>
                <w:color w:val="0F6B45"/>
                <w:sz w:val="16"/>
              </w:rPr>
              <w:t>44 csv + 44 txt, 22 Sep</w:t>
            </w:r>
          </w:p>
        </w:tc>
      </w:tr>
      <w:tr>
        <w:tc>
          <w:tcPr>
            <w:tcW w:type="dxa" w:w="3312"/>
            <w:shd w:val="clear" w:fill="F2F6FA"/>
          </w:tcPr>
          <w:p>
            <w:pPr>
              <w:spacing w:after="40" w:before="40"/>
            </w:pPr>
            <w:r/>
            <w:r>
              <w:rPr>
                <w:b w:val="0"/>
                <w:sz w:val="16"/>
              </w:rPr>
              <w:t>Coding_Validation_Summary</w:t>
            </w:r>
          </w:p>
        </w:tc>
        <w:tc>
          <w:tcPr>
            <w:tcW w:type="dxa" w:w="3600"/>
            <w:shd w:val="clear" w:fill="F2F6FA"/>
          </w:tcPr>
          <w:p>
            <w:pPr>
              <w:spacing w:after="40" w:before="40"/>
            </w:pPr>
            <w:r/>
            <w:r>
              <w:rPr>
                <w:b w:val="0"/>
                <w:sz w:val="16"/>
              </w:rPr>
              <w:t>Coding Validation Summary</w:t>
            </w:r>
          </w:p>
        </w:tc>
        <w:tc>
          <w:tcPr>
            <w:tcW w:type="dxa" w:w="3312"/>
            <w:shd w:val="clear" w:fill="F2F6FA"/>
          </w:tcPr>
          <w:p>
            <w:pPr>
              <w:spacing w:after="40" w:before="40"/>
            </w:pPr>
            <w:r/>
            <w:r>
              <w:rPr>
                <w:b/>
                <w:color w:val="92400E"/>
                <w:sz w:val="16"/>
              </w:rPr>
              <w:t>8 xlsx, stale since 10 Jul</w:t>
            </w:r>
          </w:p>
        </w:tc>
      </w:tr>
      <w:tr>
        <w:tc>
          <w:tcPr>
            <w:tcW w:type="dxa" w:w="3312"/>
          </w:tcPr>
          <w:p>
            <w:pPr>
              <w:spacing w:after="40" w:before="40"/>
            </w:pPr>
            <w:r/>
            <w:r>
              <w:rPr>
                <w:b w:val="0"/>
                <w:sz w:val="16"/>
              </w:rPr>
              <w:t>ForecastingSummary</w:t>
            </w:r>
          </w:p>
        </w:tc>
        <w:tc>
          <w:tcPr>
            <w:tcW w:type="dxa" w:w="3600"/>
          </w:tcPr>
          <w:p>
            <w:pPr>
              <w:spacing w:after="40" w:before="40"/>
            </w:pPr>
            <w:r/>
            <w:r>
              <w:rPr>
                <w:b w:val="0"/>
                <w:sz w:val="16"/>
              </w:rPr>
              <w:t>Forecasting Summary</w:t>
            </w:r>
          </w:p>
        </w:tc>
        <w:tc>
          <w:tcPr>
            <w:tcW w:type="dxa" w:w="3312"/>
          </w:tcPr>
          <w:p>
            <w:pPr>
              <w:spacing w:after="40" w:before="40"/>
            </w:pPr>
            <w:r/>
            <w:r>
              <w:rPr>
                <w:b/>
                <w:color w:val="92400E"/>
                <w:sz w:val="16"/>
              </w:rPr>
              <w:t>30 xlsx, stale since 8 Jul</w:t>
            </w:r>
          </w:p>
        </w:tc>
      </w:tr>
      <w:tr>
        <w:tc>
          <w:tcPr>
            <w:tcW w:type="dxa" w:w="3312"/>
            <w:shd w:val="clear" w:fill="F2F6FA"/>
          </w:tcPr>
          <w:p>
            <w:pPr>
              <w:spacing w:after="40" w:before="40"/>
            </w:pPr>
            <w:r/>
            <w:r>
              <w:rPr>
                <w:b w:val="0"/>
                <w:sz w:val="16"/>
              </w:rPr>
              <w:t>Prediction_Analysis_Report</w:t>
            </w:r>
          </w:p>
        </w:tc>
        <w:tc>
          <w:tcPr>
            <w:tcW w:type="dxa" w:w="3600"/>
            <w:shd w:val="clear" w:fill="F2F6FA"/>
          </w:tcPr>
          <w:p>
            <w:pPr>
              <w:spacing w:after="40" w:before="40"/>
            </w:pPr>
            <w:r/>
            <w:r>
              <w:rPr>
                <w:b w:val="0"/>
                <w:sz w:val="16"/>
              </w:rPr>
              <w:t>Prediction_Analysis_Report</w:t>
            </w:r>
          </w:p>
        </w:tc>
        <w:tc>
          <w:tcPr>
            <w:tcW w:type="dxa" w:w="3312"/>
            <w:shd w:val="clear" w:fill="F2F6FA"/>
          </w:tcPr>
          <w:p>
            <w:pPr>
              <w:spacing w:after="40" w:before="40"/>
            </w:pPr>
            <w:r/>
            <w:r>
              <w:rPr>
                <w:b/>
                <w:color w:val="92400E"/>
                <w:sz w:val="16"/>
              </w:rPr>
              <w:t>1 xlsx, stale since 25 Mar</w:t>
            </w:r>
          </w:p>
        </w:tc>
      </w:tr>
      <w:tr>
        <w:tc>
          <w:tcPr>
            <w:tcW w:type="dxa" w:w="3312"/>
          </w:tcPr>
          <w:p>
            <w:pPr>
              <w:spacing w:after="40" w:before="40"/>
            </w:pPr>
            <w:r/>
            <w:r>
              <w:rPr>
                <w:b w:val="0"/>
                <w:sz w:val="16"/>
              </w:rPr>
              <w:t>Consolidated_Average_Mode_Median</w:t>
            </w:r>
          </w:p>
        </w:tc>
        <w:tc>
          <w:tcPr>
            <w:tcW w:type="dxa" w:w="3600"/>
          </w:tcPr>
          <w:p>
            <w:pPr>
              <w:spacing w:after="40" w:before="40"/>
            </w:pPr>
            <w:r/>
            <w:r>
              <w:rPr>
                <w:b w:val="0"/>
                <w:sz w:val="16"/>
              </w:rPr>
              <w:t>Consolidated Average Mode Median</w:t>
            </w:r>
          </w:p>
        </w:tc>
        <w:tc>
          <w:tcPr>
            <w:tcW w:type="dxa" w:w="3312"/>
          </w:tcPr>
          <w:p>
            <w:pPr>
              <w:spacing w:after="40" w:before="40"/>
            </w:pPr>
            <w:r/>
            <w:r>
              <w:rPr>
                <w:b/>
                <w:color w:val="9B1C1C"/>
                <w:sz w:val="16"/>
              </w:rPr>
              <w:t>EMPTY, 0 files</w:t>
            </w:r>
          </w:p>
        </w:tc>
      </w:tr>
    </w:tbl>
    <w:p>
      <w:pPr>
        <w:spacing w:after="80"/>
      </w:pPr>
    </w:p>
    <w:p>
      <w:pPr>
        <w:spacing w:after="160"/>
      </w:pPr>
      <w:r>
        <w:rPr>
          <w:b w:val="0"/>
          <w:i/>
          <w:sz w:val="18"/>
        </w:rPr>
        <w:t>Five of the nine are live. Three have produced nothing for two to six months, and one has never held a file. Those four are polled 72 times a day for nothing. They are harmless but they are also evidence that four upstream producers have stopped.</w:t>
      </w:r>
    </w:p>
    <w:p>
      <w:pPr>
        <w:pStyle w:val="Heading2"/>
      </w:pPr>
      <w:r>
        <w:t>4.2 Server → SharePoint, uploaded by MasterFileProcessor directly</w:t>
      </w:r>
    </w:p>
    <w:p>
      <w:pPr>
        <w:spacing w:after="80"/>
      </w:pPr>
      <w:r>
        <w:rPr>
          <w:b w:val="0"/>
          <w:i w:val="0"/>
          <w:sz w:val="18"/>
        </w:rPr>
        <w:t>These do not go through the Uploader. MasterFileProcessor pushes them itself, which is why they are absent from the table above.</w:t>
      </w:r>
    </w:p>
    <w:tbl>
      <w:tblPr>
        <w:tblStyle w:val="TableGrid"/>
        <w:tblW w:type="auto" w:w="0"/>
        <w:jc w:val="center"/>
        <w:tblLayout w:type="fixed"/>
        <w:tblLook w:firstColumn="1" w:firstRow="1" w:lastColumn="0" w:lastRow="0" w:noHBand="0" w:noVBand="1" w:val="04A0"/>
      </w:tblPr>
      <w:tblGrid>
        <w:gridCol w:w="3312"/>
        <w:gridCol w:w="3888"/>
        <w:gridCol w:w="3024"/>
      </w:tblGrid>
      <w:tr>
        <w:tc>
          <w:tcPr>
            <w:tcW w:type="dxa" w:w="3312"/>
            <w:shd w:val="clear" w:fill="0E3460"/>
          </w:tcPr>
          <w:p>
            <w:pPr>
              <w:spacing w:after="40" w:before="40"/>
            </w:pPr>
            <w:r/>
            <w:r>
              <w:rPr>
                <w:b/>
                <w:color w:val="FFFFFF"/>
                <w:sz w:val="16"/>
              </w:rPr>
              <w:t>Local folder</w:t>
            </w:r>
          </w:p>
        </w:tc>
        <w:tc>
          <w:tcPr>
            <w:tcW w:type="dxa" w:w="3888"/>
            <w:shd w:val="clear" w:fill="0E3460"/>
          </w:tcPr>
          <w:p>
            <w:pPr>
              <w:spacing w:after="40" w:before="40"/>
            </w:pPr>
            <w:r/>
            <w:r>
              <w:rPr>
                <w:b/>
                <w:color w:val="FFFFFF"/>
                <w:sz w:val="16"/>
              </w:rPr>
              <w:t>SharePoint target</w:t>
            </w:r>
          </w:p>
        </w:tc>
        <w:tc>
          <w:tcPr>
            <w:tcW w:type="dxa" w:w="3024"/>
            <w:shd w:val="clear" w:fill="0E3460"/>
          </w:tcPr>
          <w:p>
            <w:pPr>
              <w:spacing w:after="40" w:before="40"/>
            </w:pPr>
            <w:r/>
            <w:r>
              <w:rPr>
                <w:b/>
                <w:color w:val="FFFFFF"/>
                <w:sz w:val="16"/>
              </w:rPr>
              <w:t>Actual contents</w:t>
            </w:r>
          </w:p>
        </w:tc>
      </w:tr>
      <w:tr>
        <w:tc>
          <w:tcPr>
            <w:tcW w:type="dxa" w:w="3312"/>
          </w:tcPr>
          <w:p>
            <w:pPr>
              <w:spacing w:after="40" w:before="40"/>
            </w:pPr>
            <w:r/>
            <w:r>
              <w:rPr>
                <w:b w:val="0"/>
                <w:sz w:val="16"/>
              </w:rPr>
              <w:t>LRN-Output\Median</w:t>
            </w:r>
          </w:p>
        </w:tc>
        <w:tc>
          <w:tcPr>
            <w:tcW w:type="dxa" w:w="3888"/>
          </w:tcPr>
          <w:p>
            <w:pPr>
              <w:spacing w:after="40" w:before="40"/>
            </w:pPr>
            <w:r/>
            <w:r>
              <w:rPr>
                <w:b w:val="0"/>
                <w:sz w:val="16"/>
              </w:rPr>
              <w:t>10. Automation/LRN-Output/Median</w:t>
            </w:r>
          </w:p>
        </w:tc>
        <w:tc>
          <w:tcPr>
            <w:tcW w:type="dxa" w:w="3024"/>
          </w:tcPr>
          <w:p>
            <w:pPr>
              <w:spacing w:after="40" w:before="40"/>
            </w:pPr>
            <w:r/>
            <w:r>
              <w:rPr>
                <w:b/>
                <w:color w:val="0F6B45"/>
                <w:sz w:val="16"/>
              </w:rPr>
              <w:t>50 xlsx, 22 Sep</w:t>
            </w:r>
          </w:p>
        </w:tc>
      </w:tr>
      <w:tr>
        <w:tc>
          <w:tcPr>
            <w:tcW w:type="dxa" w:w="3312"/>
            <w:shd w:val="clear" w:fill="F2F6FA"/>
          </w:tcPr>
          <w:p>
            <w:pPr>
              <w:spacing w:after="40" w:before="40"/>
            </w:pPr>
            <w:r/>
            <w:r>
              <w:rPr>
                <w:b w:val="0"/>
                <w:sz w:val="16"/>
              </w:rPr>
              <w:t>LRN-Output\Mode</w:t>
            </w:r>
          </w:p>
        </w:tc>
        <w:tc>
          <w:tcPr>
            <w:tcW w:type="dxa" w:w="3888"/>
            <w:shd w:val="clear" w:fill="F2F6FA"/>
          </w:tcPr>
          <w:p>
            <w:pPr>
              <w:spacing w:after="40" w:before="40"/>
            </w:pPr>
            <w:r/>
            <w:r>
              <w:rPr>
                <w:b w:val="0"/>
                <w:sz w:val="16"/>
              </w:rPr>
              <w:t>10. Automation/LRN-Output/Mode</w:t>
            </w:r>
          </w:p>
        </w:tc>
        <w:tc>
          <w:tcPr>
            <w:tcW w:type="dxa" w:w="3024"/>
            <w:shd w:val="clear" w:fill="F2F6FA"/>
          </w:tcPr>
          <w:p>
            <w:pPr>
              <w:spacing w:after="40" w:before="40"/>
            </w:pPr>
            <w:r/>
            <w:r>
              <w:rPr>
                <w:b/>
                <w:color w:val="0F6B45"/>
                <w:sz w:val="16"/>
              </w:rPr>
              <w:t>51 xlsx, 22 Sep</w:t>
            </w:r>
          </w:p>
        </w:tc>
      </w:tr>
      <w:tr>
        <w:tc>
          <w:tcPr>
            <w:tcW w:type="dxa" w:w="3312"/>
          </w:tcPr>
          <w:p>
            <w:pPr>
              <w:spacing w:after="40" w:before="40"/>
            </w:pPr>
            <w:r/>
            <w:r>
              <w:rPr>
                <w:b w:val="0"/>
                <w:sz w:val="16"/>
              </w:rPr>
              <w:t>Process log workbook</w:t>
            </w:r>
          </w:p>
        </w:tc>
        <w:tc>
          <w:tcPr>
            <w:tcW w:type="dxa" w:w="3888"/>
          </w:tcPr>
          <w:p>
            <w:pPr>
              <w:spacing w:after="40" w:before="40"/>
            </w:pPr>
            <w:r/>
            <w:r>
              <w:rPr>
                <w:b w:val="0"/>
                <w:sz w:val="16"/>
              </w:rPr>
              <w:t>10. Automation/LRN-Logs/Master File Processor</w:t>
            </w:r>
          </w:p>
        </w:tc>
        <w:tc>
          <w:tcPr>
            <w:tcW w:type="dxa" w:w="3024"/>
          </w:tcPr>
          <w:p>
            <w:pPr>
              <w:spacing w:after="40" w:before="40"/>
            </w:pPr>
            <w:r/>
            <w:r>
              <w:rPr>
                <w:b/>
                <w:color w:val="0F6B45"/>
                <w:sz w:val="16"/>
              </w:rPr>
              <w:t>Uploaded on each write</w:t>
            </w:r>
          </w:p>
        </w:tc>
      </w:tr>
      <w:tr>
        <w:tc>
          <w:tcPr>
            <w:tcW w:type="dxa" w:w="3312"/>
            <w:shd w:val="clear" w:fill="F2F6FA"/>
          </w:tcPr>
          <w:p>
            <w:pPr>
              <w:spacing w:after="40" w:before="40"/>
            </w:pPr>
            <w:r/>
            <w:r>
              <w:rPr>
                <w:b w:val="0"/>
                <w:sz w:val="16"/>
              </w:rPr>
              <w:t>Standardized CSV outputs</w:t>
            </w:r>
          </w:p>
        </w:tc>
        <w:tc>
          <w:tcPr>
            <w:tcW w:type="dxa" w:w="3888"/>
            <w:shd w:val="clear" w:fill="F2F6FA"/>
          </w:tcPr>
          <w:p>
            <w:pPr>
              <w:spacing w:after="40" w:before="40"/>
            </w:pPr>
            <w:r/>
            <w:r>
              <w:rPr>
                <w:b w:val="0"/>
                <w:sz w:val="16"/>
              </w:rPr>
              <w:t>10. Automation/LRN-Input</w:t>
            </w:r>
          </w:p>
        </w:tc>
        <w:tc>
          <w:tcPr>
            <w:tcW w:type="dxa" w:w="3024"/>
            <w:shd w:val="clear" w:fill="F2F6FA"/>
          </w:tcPr>
          <w:p>
            <w:pPr>
              <w:spacing w:after="40" w:before="40"/>
            </w:pPr>
            <w:r/>
            <w:r>
              <w:rPr>
                <w:b/>
                <w:color w:val="0F6B45"/>
                <w:sz w:val="16"/>
              </w:rPr>
              <w:t>OutputUploadFolderPath</w:t>
            </w:r>
          </w:p>
        </w:tc>
      </w:tr>
    </w:tbl>
    <w:p>
      <w:pPr>
        <w:spacing w:after="80"/>
      </w:pPr>
    </w:p>
    <w:p>
      <w:pPr>
        <w:pStyle w:val="Heading2"/>
      </w:pPr>
      <w:r>
        <w:t>4.3 SharePoint → Server (download)</w:t>
      </w:r>
    </w:p>
    <w:p>
      <w:pPr>
        <w:spacing w:after="80"/>
      </w:pPr>
      <w:r>
        <w:rPr>
          <w:b w:val="0"/>
          <w:i w:val="0"/>
          <w:sz w:val="18"/>
        </w:rPr>
        <w:t>Owned by LRN - Master File Sync, six paths, polled every 20 minutes. All raw paths set PreserveSharePointFolderStructure = true, SyncLatestWeekRawOnly = true, OverwriteExisting = false.</w:t>
      </w:r>
    </w:p>
    <w:tbl>
      <w:tblPr>
        <w:tblStyle w:val="TableGrid"/>
        <w:tblW w:type="auto" w:w="0"/>
        <w:jc w:val="center"/>
        <w:tblLayout w:type="fixed"/>
        <w:tblLook w:firstColumn="1" w:firstRow="1" w:lastColumn="0" w:lastRow="0" w:noHBand="0" w:noVBand="1" w:val="04A0"/>
      </w:tblPr>
      <w:tblGrid>
        <w:gridCol w:w="1080"/>
        <w:gridCol w:w="3744"/>
        <w:gridCol w:w="2448"/>
        <w:gridCol w:w="2952"/>
      </w:tblGrid>
      <w:tr>
        <w:tc>
          <w:tcPr>
            <w:tcW w:type="dxa" w:w="1080"/>
            <w:shd w:val="clear" w:fill="0E3460"/>
          </w:tcPr>
          <w:p>
            <w:pPr>
              <w:spacing w:after="40" w:before="40"/>
            </w:pPr>
            <w:r/>
            <w:r>
              <w:rPr>
                <w:b/>
                <w:color w:val="FFFFFF"/>
                <w:sz w:val="16"/>
              </w:rPr>
              <w:t>Type</w:t>
            </w:r>
          </w:p>
        </w:tc>
        <w:tc>
          <w:tcPr>
            <w:tcW w:type="dxa" w:w="3744"/>
            <w:shd w:val="clear" w:fill="0E3460"/>
          </w:tcPr>
          <w:p>
            <w:pPr>
              <w:spacing w:after="40" w:before="40"/>
            </w:pPr>
            <w:r/>
            <w:r>
              <w:rPr>
                <w:b/>
                <w:color w:val="FFFFFF"/>
                <w:sz w:val="16"/>
              </w:rPr>
              <w:t>SharePoint source</w:t>
            </w:r>
          </w:p>
        </w:tc>
        <w:tc>
          <w:tcPr>
            <w:tcW w:type="dxa" w:w="2448"/>
            <w:shd w:val="clear" w:fill="0E3460"/>
          </w:tcPr>
          <w:p>
            <w:pPr>
              <w:spacing w:after="40" w:before="40"/>
            </w:pPr>
            <w:r/>
            <w:r>
              <w:rPr>
                <w:b/>
                <w:color w:val="FFFFFF"/>
                <w:sz w:val="16"/>
              </w:rPr>
              <w:t>Local target</w:t>
            </w:r>
          </w:p>
        </w:tc>
        <w:tc>
          <w:tcPr>
            <w:tcW w:type="dxa" w:w="2952"/>
            <w:shd w:val="clear" w:fill="0E3460"/>
          </w:tcPr>
          <w:p>
            <w:pPr>
              <w:spacing w:after="40" w:before="40"/>
            </w:pPr>
            <w:r/>
            <w:r>
              <w:rPr>
                <w:b/>
                <w:color w:val="FFFFFF"/>
                <w:sz w:val="16"/>
              </w:rPr>
              <w:t>Actual contents</w:t>
            </w:r>
          </w:p>
        </w:tc>
      </w:tr>
      <w:tr>
        <w:tc>
          <w:tcPr>
            <w:tcW w:type="dxa" w:w="1080"/>
          </w:tcPr>
          <w:p>
            <w:pPr>
              <w:spacing w:after="40" w:before="40"/>
            </w:pPr>
            <w:r/>
            <w:r>
              <w:rPr>
                <w:b w:val="0"/>
                <w:sz w:val="16"/>
              </w:rPr>
              <w:t>Master</w:t>
            </w:r>
          </w:p>
        </w:tc>
        <w:tc>
          <w:tcPr>
            <w:tcW w:type="dxa" w:w="3744"/>
          </w:tcPr>
          <w:p>
            <w:pPr>
              <w:spacing w:after="40" w:before="40"/>
            </w:pPr>
            <w:r/>
            <w:r>
              <w:rPr>
                <w:b w:val="0"/>
                <w:sz w:val="16"/>
              </w:rPr>
              <w:t>10. Automation/LRN-Masters</w:t>
            </w:r>
          </w:p>
        </w:tc>
        <w:tc>
          <w:tcPr>
            <w:tcW w:type="dxa" w:w="2448"/>
          </w:tcPr>
          <w:p>
            <w:pPr>
              <w:spacing w:after="40" w:before="40"/>
            </w:pPr>
            <w:r/>
            <w:r>
              <w:rPr>
                <w:b w:val="0"/>
                <w:sz w:val="16"/>
              </w:rPr>
              <w:t>LRN-Masters</w:t>
            </w:r>
          </w:p>
        </w:tc>
        <w:tc>
          <w:tcPr>
            <w:tcW w:type="dxa" w:w="2952"/>
          </w:tcPr>
          <w:p>
            <w:pPr>
              <w:spacing w:after="40" w:before="40"/>
            </w:pPr>
            <w:r/>
            <w:r>
              <w:rPr>
                <w:b/>
                <w:color w:val="0F6B45"/>
                <w:sz w:val="16"/>
              </w:rPr>
              <w:t>13 subfolders, newest 20 Sep</w:t>
            </w:r>
          </w:p>
        </w:tc>
      </w:tr>
      <w:tr>
        <w:tc>
          <w:tcPr>
            <w:tcW w:type="dxa" w:w="1080"/>
            <w:shd w:val="clear" w:fill="F2F6FA"/>
          </w:tcPr>
          <w:p>
            <w:pPr>
              <w:spacing w:after="40" w:before="40"/>
            </w:pPr>
            <w:r/>
            <w:r>
              <w:rPr>
                <w:b w:val="0"/>
                <w:sz w:val="16"/>
              </w:rPr>
              <w:t>RawFile</w:t>
            </w:r>
          </w:p>
        </w:tc>
        <w:tc>
          <w:tcPr>
            <w:tcW w:type="dxa" w:w="3744"/>
            <w:shd w:val="clear" w:fill="F2F6FA"/>
          </w:tcPr>
          <w:p>
            <w:pPr>
              <w:spacing w:after="40" w:before="40"/>
            </w:pPr>
            <w:r/>
            <w:r>
              <w:rPr>
                <w:b w:val="0"/>
                <w:sz w:val="16"/>
              </w:rPr>
              <w:t>Certus Laboratories/.../01.Raw Reports</w:t>
            </w:r>
          </w:p>
        </w:tc>
        <w:tc>
          <w:tcPr>
            <w:tcW w:type="dxa" w:w="2448"/>
            <w:shd w:val="clear" w:fill="F2F6FA"/>
          </w:tcPr>
          <w:p>
            <w:pPr>
              <w:spacing w:after="40" w:before="40"/>
            </w:pPr>
            <w:r/>
            <w:r>
              <w:rPr>
                <w:b w:val="0"/>
                <w:sz w:val="16"/>
              </w:rPr>
              <w:t>LRN-Input\Certus</w:t>
            </w:r>
          </w:p>
        </w:tc>
        <w:tc>
          <w:tcPr>
            <w:tcW w:type="dxa" w:w="2952"/>
            <w:shd w:val="clear" w:fill="F2F6FA"/>
          </w:tcPr>
          <w:p>
            <w:pPr>
              <w:spacing w:after="40" w:before="40"/>
            </w:pPr>
            <w:r/>
            <w:r>
              <w:rPr>
                <w:b/>
                <w:color w:val="0F6B45"/>
                <w:sz w:val="16"/>
              </w:rPr>
              <w:t>39 files, 7 Sep</w:t>
            </w:r>
          </w:p>
        </w:tc>
      </w:tr>
      <w:tr>
        <w:tc>
          <w:tcPr>
            <w:tcW w:type="dxa" w:w="1080"/>
          </w:tcPr>
          <w:p>
            <w:pPr>
              <w:spacing w:after="40" w:before="40"/>
            </w:pPr>
            <w:r/>
            <w:r>
              <w:rPr>
                <w:b w:val="0"/>
                <w:sz w:val="16"/>
              </w:rPr>
              <w:t>RawFile</w:t>
            </w:r>
          </w:p>
        </w:tc>
        <w:tc>
          <w:tcPr>
            <w:tcW w:type="dxa" w:w="3744"/>
          </w:tcPr>
          <w:p>
            <w:pPr>
              <w:spacing w:after="40" w:before="40"/>
            </w:pPr>
            <w:r/>
            <w:r>
              <w:rPr>
                <w:b w:val="0"/>
                <w:sz w:val="16"/>
              </w:rPr>
              <w:t>BeachTree/.../01.Raw Reports</w:t>
            </w:r>
          </w:p>
        </w:tc>
        <w:tc>
          <w:tcPr>
            <w:tcW w:type="dxa" w:w="2448"/>
          </w:tcPr>
          <w:p>
            <w:pPr>
              <w:spacing w:after="40" w:before="40"/>
            </w:pPr>
            <w:r/>
            <w:r>
              <w:rPr>
                <w:b w:val="0"/>
                <w:sz w:val="16"/>
              </w:rPr>
              <w:t>LRN-Input\Beech_Tree</w:t>
            </w:r>
          </w:p>
        </w:tc>
        <w:tc>
          <w:tcPr>
            <w:tcW w:type="dxa" w:w="2952"/>
          </w:tcPr>
          <w:p>
            <w:pPr>
              <w:spacing w:after="40" w:before="40"/>
            </w:pPr>
            <w:r/>
            <w:r>
              <w:rPr>
                <w:b/>
                <w:color w:val="0F6B45"/>
                <w:sz w:val="16"/>
              </w:rPr>
              <w:t>16 files, 22 Sep</w:t>
            </w:r>
          </w:p>
        </w:tc>
      </w:tr>
      <w:tr>
        <w:tc>
          <w:tcPr>
            <w:tcW w:type="dxa" w:w="1080"/>
            <w:shd w:val="clear" w:fill="F2F6FA"/>
          </w:tcPr>
          <w:p>
            <w:pPr>
              <w:spacing w:after="40" w:before="40"/>
            </w:pPr>
            <w:r/>
            <w:r>
              <w:rPr>
                <w:b w:val="0"/>
                <w:sz w:val="16"/>
              </w:rPr>
              <w:t>RawFile</w:t>
            </w:r>
          </w:p>
        </w:tc>
        <w:tc>
          <w:tcPr>
            <w:tcW w:type="dxa" w:w="3744"/>
            <w:shd w:val="clear" w:fill="F2F6FA"/>
          </w:tcPr>
          <w:p>
            <w:pPr>
              <w:spacing w:after="40" w:before="40"/>
            </w:pPr>
            <w:r/>
            <w:r>
              <w:rPr>
                <w:b w:val="0"/>
                <w:sz w:val="16"/>
              </w:rPr>
              <w:t>Cove/.../01.Raw Reports</w:t>
            </w:r>
          </w:p>
        </w:tc>
        <w:tc>
          <w:tcPr>
            <w:tcW w:type="dxa" w:w="2448"/>
            <w:shd w:val="clear" w:fill="F2F6FA"/>
          </w:tcPr>
          <w:p>
            <w:pPr>
              <w:spacing w:after="40" w:before="40"/>
            </w:pPr>
            <w:r/>
            <w:r>
              <w:rPr>
                <w:b w:val="0"/>
                <w:sz w:val="16"/>
              </w:rPr>
              <w:t>LRN-Input\Cove</w:t>
            </w:r>
          </w:p>
        </w:tc>
        <w:tc>
          <w:tcPr>
            <w:tcW w:type="dxa" w:w="2952"/>
            <w:shd w:val="clear" w:fill="F2F6FA"/>
          </w:tcPr>
          <w:p>
            <w:pPr>
              <w:spacing w:after="40" w:before="40"/>
            </w:pPr>
            <w:r/>
            <w:r>
              <w:rPr>
                <w:b/>
                <w:color w:val="0F6B45"/>
                <w:sz w:val="16"/>
              </w:rPr>
              <w:t>62 files, 22 Sep</w:t>
            </w:r>
          </w:p>
        </w:tc>
      </w:tr>
      <w:tr>
        <w:tc>
          <w:tcPr>
            <w:tcW w:type="dxa" w:w="1080"/>
          </w:tcPr>
          <w:p>
            <w:pPr>
              <w:spacing w:after="40" w:before="40"/>
            </w:pPr>
            <w:r/>
            <w:r>
              <w:rPr>
                <w:b w:val="0"/>
                <w:sz w:val="16"/>
              </w:rPr>
              <w:t>RawFile</w:t>
            </w:r>
          </w:p>
        </w:tc>
        <w:tc>
          <w:tcPr>
            <w:tcW w:type="dxa" w:w="3744"/>
          </w:tcPr>
          <w:p>
            <w:pPr>
              <w:spacing w:after="40" w:before="40"/>
            </w:pPr>
            <w:r/>
            <w:r>
              <w:rPr>
                <w:b w:val="0"/>
                <w:sz w:val="16"/>
              </w:rPr>
              <w:t>Elixir/.../01.Raw Data</w:t>
            </w:r>
          </w:p>
        </w:tc>
        <w:tc>
          <w:tcPr>
            <w:tcW w:type="dxa" w:w="2448"/>
          </w:tcPr>
          <w:p>
            <w:pPr>
              <w:spacing w:after="40" w:before="40"/>
            </w:pPr>
            <w:r/>
            <w:r>
              <w:rPr>
                <w:b w:val="0"/>
                <w:sz w:val="16"/>
              </w:rPr>
              <w:t>LRN-Input\Elixir</w:t>
            </w:r>
          </w:p>
        </w:tc>
        <w:tc>
          <w:tcPr>
            <w:tcW w:type="dxa" w:w="2952"/>
          </w:tcPr>
          <w:p>
            <w:pPr>
              <w:spacing w:after="40" w:before="40"/>
            </w:pPr>
            <w:r/>
            <w:r>
              <w:rPr>
                <w:b/>
                <w:color w:val="0F6B45"/>
                <w:sz w:val="16"/>
              </w:rPr>
              <w:t>21 files, 17 Sep</w:t>
            </w:r>
          </w:p>
        </w:tc>
      </w:tr>
      <w:tr>
        <w:tc>
          <w:tcPr>
            <w:tcW w:type="dxa" w:w="1080"/>
            <w:shd w:val="clear" w:fill="F2F6FA"/>
          </w:tcPr>
          <w:p>
            <w:pPr>
              <w:spacing w:after="40" w:before="40"/>
            </w:pPr>
            <w:r/>
            <w:r>
              <w:rPr>
                <w:b w:val="0"/>
                <w:sz w:val="16"/>
              </w:rPr>
              <w:t>RawFile</w:t>
            </w:r>
          </w:p>
        </w:tc>
        <w:tc>
          <w:tcPr>
            <w:tcW w:type="dxa" w:w="3744"/>
            <w:shd w:val="clear" w:fill="F2F6FA"/>
          </w:tcPr>
          <w:p>
            <w:pPr>
              <w:spacing w:after="40" w:before="40"/>
            </w:pPr>
            <w:r/>
            <w:r>
              <w:rPr>
                <w:b w:val="0"/>
                <w:sz w:val="16"/>
              </w:rPr>
              <w:t>Inhealth &amp; DTR/.../01.Raw Reports</w:t>
            </w:r>
          </w:p>
        </w:tc>
        <w:tc>
          <w:tcPr>
            <w:tcW w:type="dxa" w:w="2448"/>
            <w:shd w:val="clear" w:fill="F2F6FA"/>
          </w:tcPr>
          <w:p>
            <w:pPr>
              <w:spacing w:after="40" w:before="40"/>
            </w:pPr>
            <w:r/>
            <w:r>
              <w:rPr>
                <w:b w:val="0"/>
                <w:sz w:val="16"/>
              </w:rPr>
              <w:t>LRN-Input\Inhealth_DTR</w:t>
            </w:r>
          </w:p>
        </w:tc>
        <w:tc>
          <w:tcPr>
            <w:tcW w:type="dxa" w:w="2952"/>
            <w:shd w:val="clear" w:fill="F2F6FA"/>
          </w:tcPr>
          <w:p>
            <w:pPr>
              <w:spacing w:after="40" w:before="40"/>
            </w:pPr>
            <w:r/>
            <w:r>
              <w:rPr>
                <w:b/>
                <w:color w:val="0F6B45"/>
                <w:sz w:val="16"/>
              </w:rPr>
              <w:t>28 files, 22 Sep</w:t>
            </w:r>
          </w:p>
        </w:tc>
      </w:tr>
    </w:tbl>
    <w:p>
      <w:pPr>
        <w:spacing w:after="80"/>
      </w:pPr>
    </w:p>
    <w:tbl>
      <w:tblPr>
        <w:tblStyle w:val="TableGrid"/>
        <w:tblW w:type="auto" w:w="0"/>
        <w:tblLayout w:type="fixed"/>
        <w:tblLook w:firstColumn="1" w:firstRow="1" w:lastColumn="0" w:lastRow="0" w:noHBand="0" w:noVBand="1" w:val="04A0"/>
      </w:tblPr>
      <w:tblGrid>
        <w:gridCol w:w="10224"/>
      </w:tblGrid>
      <w:tr>
        <w:tc>
          <w:tcPr>
            <w:tcW w:type="dxa" w:w="10224"/>
            <w:shd w:val="clear" w:fill="FFF4E5"/>
          </w:tcPr>
          <w:p>
            <w:pPr>
              <w:spacing w:after="60"/>
            </w:pPr>
            <w:r/>
            <w:r>
              <w:rPr>
                <w:b/>
                <w:color w:val="92400E"/>
                <w:sz w:val="20"/>
              </w:rPr>
              <w:t>LRN-Input is populated by two different mechanisms, from two different SharePoint folders.</w:t>
            </w:r>
          </w:p>
          <w:p>
            <w:pPr>
              <w:spacing w:after="40"/>
            </w:pPr>
            <w:r>
              <w:rPr>
                <w:sz w:val="19"/>
              </w:rPr>
              <w:t>The Synchronizer downloads 01.Raw Reports for five labs. MasterFileProcessor separately downloads 02.Master Files for thirteen labs into the same LRN-Input\&lt;Lab&gt; tree, because KeepDownloadedFiles is true. That is why LRN-Input holds nine lab folders when the Synchronizer only configures five: Augustus_Labs, NorthWest, Rising_Tides and VariantX arrive only via MasterFileProcessor. This is not duplication — the content differs — but anyone reading one configuration in isolation will mis-attribute the files.</w:t>
            </w:r>
          </w:p>
        </w:tc>
      </w:tr>
    </w:tbl>
    <w:p>
      <w:pPr>
        <w:spacing w:after="80"/>
      </w:pPr>
    </w:p>
    <w:p>
      <w:pPr>
        <w:pStyle w:val="Heading2"/>
      </w:pPr>
      <w:r>
        <w:t>4.4 The duplicated download</w:t>
      </w:r>
    </w:p>
    <w:p>
      <w:pPr>
        <w:spacing w:after="80"/>
      </w:pPr>
      <w:r>
        <w:rPr>
          <w:b w:val="0"/>
          <w:i w:val="0"/>
          <w:sz w:val="20"/>
        </w:rPr>
        <w:t>IsSharePointUpload is a direction flag, not an on/off switch. The Synchronizer honours it (SharePointSynchronizerWorker.cs line 69 filters to download items). The Uploader does not (SharePointUploaderWorker.cs line 79 takes every path, then branches at line 112 with a full download implementation at line 150).</w:t>
      </w:r>
    </w:p>
    <w:p>
      <w:pPr>
        <w:spacing w:after="120"/>
        <w:ind w:left="317"/>
      </w:pPr>
      <w:r>
        <w:rPr>
          <w:rFonts w:ascii="Consolas" w:hAnsi="Consolas"/>
          <w:color w:val="9B1C1C"/>
          <w:sz w:val="17"/>
        </w:rPr>
        <w:t>// Synchronizer, line 69 - filtered</w:t>
        <w:br/>
        <w:t>var paths = (_opt.UploadPaths ?? new()).Where(p =&gt; p != null &amp;&amp; !p.IsSharePointUpload).ToList();</w:t>
        <w:br/>
        <w:br/>
        <w:t>// Uploader, line 79 - NOT filtered</w:t>
        <w:br/>
        <w:t>var paths = _opt.UploadPaths ?? new();</w:t>
      </w:r>
    </w:p>
    <w:p>
      <w:pPr>
        <w:spacing w:after="80"/>
      </w:pPr>
      <w:r>
        <w:rPr>
          <w:b w:val="0"/>
          <w:i w:val="0"/>
          <w:sz w:val="20"/>
        </w:rPr>
        <w:t>The Uploader's tenth configured path is a download of the same folder the Synchronizer already owns:</w:t>
      </w:r>
    </w:p>
    <w:tbl>
      <w:tblPr>
        <w:tblStyle w:val="TableGrid"/>
        <w:tblW w:type="auto" w:w="0"/>
        <w:jc w:val="center"/>
        <w:tblLayout w:type="fixed"/>
        <w:tblLook w:firstColumn="1" w:firstRow="1" w:lastColumn="0" w:lastRow="0" w:noHBand="0" w:noVBand="1" w:val="04A0"/>
      </w:tblPr>
      <w:tblGrid>
        <w:gridCol w:w="2016"/>
        <w:gridCol w:w="4104"/>
        <w:gridCol w:w="4104"/>
      </w:tblGrid>
      <w:tr>
        <w:tc>
          <w:tcPr>
            <w:tcW w:type="dxa" w:w="2016"/>
            <w:shd w:val="clear" w:fill="0E3460"/>
          </w:tcPr>
          <w:p>
            <w:pPr>
              <w:spacing w:after="40" w:before="40"/>
            </w:pPr>
            <w:r/>
            <w:r>
              <w:rPr>
                <w:b/>
                <w:color w:val="FFFFFF"/>
                <w:sz w:val="16"/>
              </w:rPr>
            </w:r>
          </w:p>
        </w:tc>
        <w:tc>
          <w:tcPr>
            <w:tcW w:type="dxa" w:w="4104"/>
            <w:shd w:val="clear" w:fill="0E3460"/>
          </w:tcPr>
          <w:p>
            <w:pPr>
              <w:spacing w:after="40" w:before="40"/>
            </w:pPr>
            <w:r/>
            <w:r>
              <w:rPr>
                <w:b/>
                <w:color w:val="FFFFFF"/>
                <w:sz w:val="16"/>
              </w:rPr>
              <w:t>LRN - Share Point Uploader</w:t>
            </w:r>
          </w:p>
        </w:tc>
        <w:tc>
          <w:tcPr>
            <w:tcW w:type="dxa" w:w="4104"/>
            <w:shd w:val="clear" w:fill="0E3460"/>
          </w:tcPr>
          <w:p>
            <w:pPr>
              <w:spacing w:after="40" w:before="40"/>
            </w:pPr>
            <w:r/>
            <w:r>
              <w:rPr>
                <w:b/>
                <w:color w:val="FFFFFF"/>
                <w:sz w:val="16"/>
              </w:rPr>
              <w:t>LRN - Master File Sync</w:t>
            </w:r>
          </w:p>
        </w:tc>
      </w:tr>
      <w:tr>
        <w:tc>
          <w:tcPr>
            <w:tcW w:type="dxa" w:w="2016"/>
          </w:tcPr>
          <w:p>
            <w:pPr>
              <w:spacing w:after="40" w:before="40"/>
            </w:pPr>
            <w:r/>
            <w:r>
              <w:rPr>
                <w:b w:val="0"/>
                <w:sz w:val="16"/>
              </w:rPr>
              <w:t>SharePoint source</w:t>
            </w:r>
          </w:p>
        </w:tc>
        <w:tc>
          <w:tcPr>
            <w:tcW w:type="dxa" w:w="4104"/>
          </w:tcPr>
          <w:p>
            <w:pPr>
              <w:spacing w:after="40" w:before="40"/>
            </w:pPr>
            <w:r/>
            <w:r>
              <w:rPr>
                <w:b w:val="0"/>
                <w:sz w:val="16"/>
              </w:rPr>
              <w:t>10. Automation/LRN-Masters</w:t>
            </w:r>
          </w:p>
        </w:tc>
        <w:tc>
          <w:tcPr>
            <w:tcW w:type="dxa" w:w="4104"/>
          </w:tcPr>
          <w:p>
            <w:pPr>
              <w:spacing w:after="40" w:before="40"/>
            </w:pPr>
            <w:r/>
            <w:r>
              <w:rPr>
                <w:b w:val="0"/>
                <w:sz w:val="16"/>
              </w:rPr>
              <w:t>10. Automation/LRN-Masters</w:t>
            </w:r>
          </w:p>
        </w:tc>
      </w:tr>
      <w:tr>
        <w:tc>
          <w:tcPr>
            <w:tcW w:type="dxa" w:w="2016"/>
            <w:shd w:val="clear" w:fill="F2F6FA"/>
          </w:tcPr>
          <w:p>
            <w:pPr>
              <w:spacing w:after="40" w:before="40"/>
            </w:pPr>
            <w:r/>
            <w:r>
              <w:rPr>
                <w:b w:val="0"/>
                <w:sz w:val="16"/>
              </w:rPr>
              <w:t>Local target</w:t>
            </w:r>
          </w:p>
        </w:tc>
        <w:tc>
          <w:tcPr>
            <w:tcW w:type="dxa" w:w="4104"/>
            <w:shd w:val="clear" w:fill="F2F6FA"/>
          </w:tcPr>
          <w:p>
            <w:pPr>
              <w:spacing w:after="40" w:before="40"/>
            </w:pPr>
            <w:r/>
            <w:r>
              <w:rPr>
                <w:b w:val="0"/>
                <w:sz w:val="16"/>
              </w:rPr>
              <w:t>C:\LRN-Files\Automation\LRN-Masters</w:t>
            </w:r>
          </w:p>
        </w:tc>
        <w:tc>
          <w:tcPr>
            <w:tcW w:type="dxa" w:w="4104"/>
            <w:shd w:val="clear" w:fill="F2F6FA"/>
          </w:tcPr>
          <w:p>
            <w:pPr>
              <w:spacing w:after="40" w:before="40"/>
            </w:pPr>
            <w:r/>
            <w:r>
              <w:rPr>
                <w:b w:val="0"/>
                <w:sz w:val="16"/>
              </w:rPr>
              <w:t>C:\LRN-Files\Automation\LRN-Masters</w:t>
            </w:r>
          </w:p>
        </w:tc>
      </w:tr>
      <w:tr>
        <w:tc>
          <w:tcPr>
            <w:tcW w:type="dxa" w:w="2016"/>
          </w:tcPr>
          <w:p>
            <w:pPr>
              <w:spacing w:after="40" w:before="40"/>
            </w:pPr>
            <w:r/>
            <w:r>
              <w:rPr>
                <w:b w:val="0"/>
                <w:sz w:val="16"/>
              </w:rPr>
              <w:t>Poll interval</w:t>
            </w:r>
          </w:p>
        </w:tc>
        <w:tc>
          <w:tcPr>
            <w:tcW w:type="dxa" w:w="4104"/>
          </w:tcPr>
          <w:p>
            <w:pPr>
              <w:spacing w:after="40" w:before="40"/>
            </w:pPr>
            <w:r/>
            <w:r>
              <w:rPr>
                <w:b w:val="0"/>
                <w:sz w:val="16"/>
              </w:rPr>
              <w:t>1200 s</w:t>
            </w:r>
          </w:p>
        </w:tc>
        <w:tc>
          <w:tcPr>
            <w:tcW w:type="dxa" w:w="4104"/>
          </w:tcPr>
          <w:p>
            <w:pPr>
              <w:spacing w:after="40" w:before="40"/>
            </w:pPr>
            <w:r/>
            <w:r>
              <w:rPr>
                <w:b w:val="0"/>
                <w:sz w:val="16"/>
              </w:rPr>
              <w:t>1200 s</w:t>
            </w:r>
          </w:p>
        </w:tc>
      </w:tr>
      <w:tr>
        <w:tc>
          <w:tcPr>
            <w:tcW w:type="dxa" w:w="2016"/>
            <w:shd w:val="clear" w:fill="F2F6FA"/>
          </w:tcPr>
          <w:p>
            <w:pPr>
              <w:spacing w:after="40" w:before="40"/>
            </w:pPr>
            <w:r/>
            <w:r>
              <w:rPr>
                <w:b w:val="0"/>
                <w:sz w:val="16"/>
              </w:rPr>
              <w:t>Result</w:t>
            </w:r>
          </w:p>
        </w:tc>
        <w:tc>
          <w:tcPr>
            <w:tcW w:type="dxa" w:w="4104"/>
            <w:shd w:val="clear" w:fill="F2F6FA"/>
          </w:tcPr>
          <w:p>
            <w:pPr>
              <w:spacing w:after="40" w:before="40"/>
            </w:pPr>
            <w:r/>
            <w:r>
              <w:rPr>
                <w:b/>
                <w:color w:val="9B1C1C"/>
                <w:sz w:val="16"/>
              </w:rPr>
              <w:t>Downloads it</w:t>
            </w:r>
          </w:p>
        </w:tc>
        <w:tc>
          <w:tcPr>
            <w:tcW w:type="dxa" w:w="4104"/>
            <w:shd w:val="clear" w:fill="F2F6FA"/>
          </w:tcPr>
          <w:p>
            <w:pPr>
              <w:spacing w:after="40" w:before="40"/>
            </w:pPr>
            <w:r/>
            <w:r>
              <w:rPr>
                <w:b/>
                <w:color w:val="9B1C1C"/>
                <w:sz w:val="16"/>
              </w:rPr>
              <w:t>Downloads it too</w:t>
            </w:r>
          </w:p>
        </w:tc>
      </w:tr>
    </w:tbl>
    <w:p>
      <w:pPr>
        <w:spacing w:after="80"/>
      </w:pPr>
    </w:p>
    <w:tbl>
      <w:tblPr>
        <w:tblStyle w:val="TableGrid"/>
        <w:tblW w:type="auto" w:w="0"/>
        <w:tblLayout w:type="fixed"/>
        <w:tblLook w:firstColumn="1" w:firstRow="1" w:lastColumn="0" w:lastRow="0" w:noHBand="0" w:noVBand="1" w:val="04A0"/>
      </w:tblPr>
      <w:tblGrid>
        <w:gridCol w:w="10224"/>
      </w:tblGrid>
      <w:tr>
        <w:tc>
          <w:tcPr>
            <w:tcW w:type="dxa" w:w="10224"/>
            <w:shd w:val="clear" w:fill="FDECEA"/>
          </w:tcPr>
          <w:p>
            <w:pPr>
              <w:spacing w:after="60"/>
            </w:pPr>
            <w:r/>
            <w:r>
              <w:rPr>
                <w:b/>
                <w:color w:val="9B1C1C"/>
                <w:sz w:val="20"/>
              </w:rPr>
              <w:t>Both services download the same SharePoint library into the same folder, 72 times a day each.</w:t>
            </w:r>
          </w:p>
          <w:p>
            <w:pPr>
              <w:spacing w:after="40"/>
            </w:pPr>
            <w:r>
              <w:rPr>
                <w:sz w:val="19"/>
              </w:rPr>
              <w:t>Duplicated Microsoft Graph calls against a throttled API, and two processes writing one directory. Neither Master entry sets OverwriteExisting, so both run download-missing-only and the outcome is not corrupt. But the second service's work is wasted, and a concurrent write to the same partially-downloaded file is possible.</w:t>
            </w:r>
          </w:p>
        </w:tc>
      </w:tr>
    </w:tbl>
    <w:p>
      <w:pPr>
        <w:spacing w:after="80"/>
      </w:pPr>
    </w:p>
    <w:p>
      <w:pPr>
        <w:spacing w:after="80"/>
      </w:pPr>
      <w:r>
        <w:rPr>
          <w:b w:val="0"/>
          <w:i w:val="0"/>
          <w:sz w:val="20"/>
        </w:rPr>
        <w:t>Fix: remove the tenth entry, SyncronizeFileType "Master", from C:\Services\LRN.SharePointUploader\appsettings.json and restart the service. Configuration only. Mirror it into the repository, and add the direction filter so the class of mistake cannot recur:</w:t>
      </w:r>
    </w:p>
    <w:p>
      <w:pPr>
        <w:spacing w:after="120"/>
        <w:ind w:left="317"/>
      </w:pPr>
      <w:r>
        <w:rPr>
          <w:rFonts w:ascii="Consolas" w:hAnsi="Consolas"/>
          <w:color w:val="0F6B45"/>
          <w:sz w:val="17"/>
        </w:rPr>
        <w:t>var paths = (_opt.UploadPaths ?? new()).Where(p =&gt; p != null &amp;&amp; p.IsSharePointUpload).ToList();</w:t>
      </w:r>
    </w:p>
    <w:tbl>
      <w:tblPr>
        <w:tblStyle w:val="TableGrid"/>
        <w:tblW w:type="auto" w:w="0"/>
        <w:tblLayout w:type="fixed"/>
        <w:tblLook w:firstColumn="1" w:firstRow="1" w:lastColumn="0" w:lastRow="0" w:noHBand="0" w:noVBand="1" w:val="04A0"/>
      </w:tblPr>
      <w:tblGrid>
        <w:gridCol w:w="10224"/>
      </w:tblGrid>
      <w:tr>
        <w:tc>
          <w:tcPr>
            <w:tcW w:type="dxa" w:w="10224"/>
            <w:shd w:val="clear" w:fill="FFF4E5"/>
          </w:tcPr>
          <w:p>
            <w:pPr>
              <w:spacing w:after="60"/>
            </w:pPr>
            <w:r/>
            <w:r>
              <w:rPr>
                <w:b/>
                <w:color w:val="92400E"/>
                <w:sz w:val="20"/>
              </w:rPr>
              <w:t>Configuration drift worth fixing at the same time</w:t>
            </w:r>
          </w:p>
          <w:p>
            <w:pPr>
              <w:spacing w:after="40"/>
            </w:pPr>
            <w:r>
              <w:rPr>
                <w:sz w:val="19"/>
              </w:rPr>
              <w:t>The repository copy of Services\LRN.SharePointSynchronizer\appsettings.json points at D:\LRN\Automation\... while the deployed copy points at C:\LRN-Files\Automation\.... The repository config has never matched this server. Redeploying from source without hand-editing would repoint every download path at a drive that does not exist.</w:t>
            </w:r>
          </w:p>
        </w:tc>
      </w:tr>
    </w:tbl>
    <w:p>
      <w:pPr>
        <w:spacing w:after="80"/>
      </w:pPr>
    </w:p>
    <w:p>
      <w:r>
        <w:br w:type="page"/>
      </w:r>
    </w:p>
    <w:p>
      <w:pPr>
        <w:pStyle w:val="Heading1"/>
      </w:pPr>
      <w:r>
        <w:t>5. Part D — Consolidated data-flow matrix</w:t>
      </w:r>
    </w:p>
    <w:tbl>
      <w:tblPr>
        <w:tblStyle w:val="TableGrid"/>
        <w:tblW w:type="auto" w:w="0"/>
        <w:jc w:val="center"/>
        <w:tblLayout w:type="fixed"/>
        <w:tblLook w:firstColumn="1" w:firstRow="1" w:lastColumn="0" w:lastRow="0" w:noHBand="0" w:noVBand="1" w:val="04A0"/>
      </w:tblPr>
      <w:tblGrid>
        <w:gridCol w:w="2520"/>
        <w:gridCol w:w="2664"/>
        <w:gridCol w:w="1440"/>
        <w:gridCol w:w="1224"/>
        <w:gridCol w:w="2376"/>
      </w:tblGrid>
      <w:tr>
        <w:tc>
          <w:tcPr>
            <w:tcW w:type="dxa" w:w="2520"/>
            <w:shd w:val="clear" w:fill="0E3460"/>
          </w:tcPr>
          <w:p>
            <w:pPr>
              <w:spacing w:after="40" w:before="40"/>
            </w:pPr>
            <w:r/>
            <w:r>
              <w:rPr>
                <w:b/>
                <w:color w:val="FFFFFF"/>
                <w:sz w:val="16"/>
              </w:rPr>
              <w:t>Service</w:t>
            </w:r>
          </w:p>
        </w:tc>
        <w:tc>
          <w:tcPr>
            <w:tcW w:type="dxa" w:w="2664"/>
            <w:shd w:val="clear" w:fill="0E3460"/>
          </w:tcPr>
          <w:p>
            <w:pPr>
              <w:spacing w:after="40" w:before="40"/>
            </w:pPr>
            <w:r/>
            <w:r>
              <w:rPr>
                <w:b/>
                <w:color w:val="FFFFFF"/>
                <w:sz w:val="16"/>
              </w:rPr>
              <w:t>Reads from</w:t>
            </w:r>
          </w:p>
        </w:tc>
        <w:tc>
          <w:tcPr>
            <w:tcW w:type="dxa" w:w="1440"/>
            <w:shd w:val="clear" w:fill="0E3460"/>
          </w:tcPr>
          <w:p>
            <w:pPr>
              <w:spacing w:after="40" w:before="40"/>
            </w:pPr>
            <w:r/>
            <w:r>
              <w:rPr>
                <w:b/>
                <w:color w:val="FFFFFF"/>
                <w:sz w:val="16"/>
              </w:rPr>
              <w:t>Writes files</w:t>
            </w:r>
          </w:p>
        </w:tc>
        <w:tc>
          <w:tcPr>
            <w:tcW w:type="dxa" w:w="1224"/>
            <w:shd w:val="clear" w:fill="0E3460"/>
          </w:tcPr>
          <w:p>
            <w:pPr>
              <w:spacing w:after="40" w:before="40"/>
            </w:pPr>
            <w:r/>
            <w:r>
              <w:rPr>
                <w:b/>
                <w:color w:val="FFFFFF"/>
                <w:sz w:val="16"/>
              </w:rPr>
              <w:t>Format</w:t>
            </w:r>
          </w:p>
        </w:tc>
        <w:tc>
          <w:tcPr>
            <w:tcW w:type="dxa" w:w="2376"/>
            <w:shd w:val="clear" w:fill="0E3460"/>
          </w:tcPr>
          <w:p>
            <w:pPr>
              <w:spacing w:after="40" w:before="40"/>
            </w:pPr>
            <w:r/>
            <w:r>
              <w:rPr>
                <w:b/>
                <w:color w:val="FFFFFF"/>
                <w:sz w:val="16"/>
              </w:rPr>
              <w:t>SQL target</w:t>
            </w:r>
          </w:p>
        </w:tc>
      </w:tr>
      <w:tr>
        <w:tc>
          <w:tcPr>
            <w:tcW w:type="dxa" w:w="2520"/>
          </w:tcPr>
          <w:p>
            <w:pPr>
              <w:spacing w:after="40" w:before="40"/>
            </w:pPr>
            <w:r/>
            <w:r>
              <w:rPr>
                <w:b w:val="0"/>
                <w:sz w:val="16"/>
              </w:rPr>
              <w:t>LRN.MasterFileProcessor</w:t>
            </w:r>
          </w:p>
        </w:tc>
        <w:tc>
          <w:tcPr>
            <w:tcW w:type="dxa" w:w="2664"/>
          </w:tcPr>
          <w:p>
            <w:pPr>
              <w:spacing w:after="40" w:before="40"/>
            </w:pPr>
            <w:r/>
            <w:r>
              <w:rPr>
                <w:b w:val="0"/>
                <w:sz w:val="16"/>
              </w:rPr>
              <w:t>SharePoint xlsx, 13 labs</w:t>
            </w:r>
          </w:p>
        </w:tc>
        <w:tc>
          <w:tcPr>
            <w:tcW w:type="dxa" w:w="1440"/>
          </w:tcPr>
          <w:p>
            <w:pPr>
              <w:spacing w:after="40" w:before="40"/>
            </w:pPr>
            <w:r/>
            <w:r>
              <w:rPr>
                <w:b/>
                <w:color w:val="9B1C1C"/>
                <w:sz w:val="16"/>
              </w:rPr>
              <w:t>Yes</w:t>
            </w:r>
          </w:p>
        </w:tc>
        <w:tc>
          <w:tcPr>
            <w:tcW w:type="dxa" w:w="1224"/>
          </w:tcPr>
          <w:p>
            <w:pPr>
              <w:spacing w:after="40" w:before="40"/>
            </w:pPr>
            <w:r/>
            <w:r>
              <w:rPr>
                <w:b w:val="0"/>
                <w:sz w:val="16"/>
              </w:rPr>
              <w:t>CSV + XLSX</w:t>
            </w:r>
          </w:p>
        </w:tc>
        <w:tc>
          <w:tcPr>
            <w:tcW w:type="dxa" w:w="2376"/>
          </w:tcPr>
          <w:p>
            <w:pPr>
              <w:spacing w:after="40" w:before="40"/>
            </w:pPr>
            <w:r/>
            <w:r>
              <w:rPr>
                <w:b w:val="0"/>
                <w:sz w:val="16"/>
              </w:rPr>
              <w:t>LIMSMaster, LRN_Run/Step/Error_Log</w:t>
            </w:r>
          </w:p>
        </w:tc>
      </w:tr>
      <w:tr>
        <w:tc>
          <w:tcPr>
            <w:tcW w:type="dxa" w:w="2520"/>
            <w:shd w:val="clear" w:fill="F2F6FA"/>
          </w:tcPr>
          <w:p>
            <w:pPr>
              <w:spacing w:after="40" w:before="40"/>
            </w:pPr>
            <w:r/>
            <w:r>
              <w:rPr>
                <w:b w:val="0"/>
                <w:sz w:val="16"/>
              </w:rPr>
              <w:t>LRN - Master File Sync</w:t>
            </w:r>
          </w:p>
        </w:tc>
        <w:tc>
          <w:tcPr>
            <w:tcW w:type="dxa" w:w="2664"/>
            <w:shd w:val="clear" w:fill="F2F6FA"/>
          </w:tcPr>
          <w:p>
            <w:pPr>
              <w:spacing w:after="40" w:before="40"/>
            </w:pPr>
            <w:r/>
            <w:r>
              <w:rPr>
                <w:b w:val="0"/>
                <w:sz w:val="16"/>
              </w:rPr>
              <w:t>SharePoint, 6 paths</w:t>
            </w:r>
          </w:p>
        </w:tc>
        <w:tc>
          <w:tcPr>
            <w:tcW w:type="dxa" w:w="1440"/>
            <w:shd w:val="clear" w:fill="F2F6FA"/>
          </w:tcPr>
          <w:p>
            <w:pPr>
              <w:spacing w:after="40" w:before="40"/>
            </w:pPr>
            <w:r/>
            <w:r>
              <w:rPr>
                <w:b/>
                <w:color w:val="9B1C1C"/>
                <w:sz w:val="16"/>
              </w:rPr>
              <w:t>Yes</w:t>
            </w:r>
          </w:p>
        </w:tc>
        <w:tc>
          <w:tcPr>
            <w:tcW w:type="dxa" w:w="1224"/>
            <w:shd w:val="clear" w:fill="F2F6FA"/>
          </w:tcPr>
          <w:p>
            <w:pPr>
              <w:spacing w:after="40" w:before="40"/>
            </w:pPr>
            <w:r/>
            <w:r>
              <w:rPr>
                <w:b w:val="0"/>
                <w:sz w:val="16"/>
              </w:rPr>
              <w:t>as-downloaded</w:t>
            </w:r>
          </w:p>
        </w:tc>
        <w:tc>
          <w:tcPr>
            <w:tcW w:type="dxa" w:w="2376"/>
            <w:shd w:val="clear" w:fill="F2F6FA"/>
          </w:tcPr>
          <w:p>
            <w:pPr>
              <w:spacing w:after="40" w:before="40"/>
            </w:pPr>
            <w:r/>
            <w:r>
              <w:rPr>
                <w:b w:val="0"/>
                <w:sz w:val="16"/>
              </w:rPr>
              <w:t>none</w:t>
            </w:r>
          </w:p>
        </w:tc>
      </w:tr>
      <w:tr>
        <w:tc>
          <w:tcPr>
            <w:tcW w:type="dxa" w:w="2520"/>
          </w:tcPr>
          <w:p>
            <w:pPr>
              <w:spacing w:after="40" w:before="40"/>
            </w:pPr>
            <w:r/>
            <w:r>
              <w:rPr>
                <w:b w:val="0"/>
                <w:sz w:val="16"/>
              </w:rPr>
              <w:t>LRN - Share Point Uploader</w:t>
            </w:r>
          </w:p>
        </w:tc>
        <w:tc>
          <w:tcPr>
            <w:tcW w:type="dxa" w:w="2664"/>
          </w:tcPr>
          <w:p>
            <w:pPr>
              <w:spacing w:after="40" w:before="40"/>
            </w:pPr>
            <w:r/>
            <w:r>
              <w:rPr>
                <w:b w:val="0"/>
                <w:sz w:val="16"/>
              </w:rPr>
              <w:t>Local LRN-Output</w:t>
            </w:r>
          </w:p>
        </w:tc>
        <w:tc>
          <w:tcPr>
            <w:tcW w:type="dxa" w:w="1440"/>
          </w:tcPr>
          <w:p>
            <w:pPr>
              <w:spacing w:after="40" w:before="40"/>
            </w:pPr>
            <w:r/>
            <w:r>
              <w:rPr>
                <w:b/>
                <w:color w:val="9B1C1C"/>
                <w:sz w:val="16"/>
              </w:rPr>
              <w:t>Yes, 1 download path</w:t>
            </w:r>
          </w:p>
        </w:tc>
        <w:tc>
          <w:tcPr>
            <w:tcW w:type="dxa" w:w="1224"/>
          </w:tcPr>
          <w:p>
            <w:pPr>
              <w:spacing w:after="40" w:before="40"/>
            </w:pPr>
            <w:r/>
            <w:r>
              <w:rPr>
                <w:b w:val="0"/>
                <w:sz w:val="16"/>
              </w:rPr>
              <w:t>as-downloaded</w:t>
            </w:r>
          </w:p>
        </w:tc>
        <w:tc>
          <w:tcPr>
            <w:tcW w:type="dxa" w:w="2376"/>
          </w:tcPr>
          <w:p>
            <w:pPr>
              <w:spacing w:after="40" w:before="40"/>
            </w:pPr>
            <w:r/>
            <w:r>
              <w:rPr>
                <w:b w:val="0"/>
                <w:sz w:val="16"/>
              </w:rPr>
              <w:t>none</w:t>
            </w:r>
          </w:p>
        </w:tc>
      </w:tr>
      <w:tr>
        <w:tc>
          <w:tcPr>
            <w:tcW w:type="dxa" w:w="2520"/>
            <w:shd w:val="clear" w:fill="F2F6FA"/>
          </w:tcPr>
          <w:p>
            <w:pPr>
              <w:spacing w:after="40" w:before="40"/>
            </w:pPr>
            <w:r/>
            <w:r>
              <w:rPr>
                <w:b w:val="0"/>
                <w:sz w:val="16"/>
              </w:rPr>
              <w:t>LRN - Report Gen Worker</w:t>
            </w:r>
          </w:p>
        </w:tc>
        <w:tc>
          <w:tcPr>
            <w:tcW w:type="dxa" w:w="2664"/>
            <w:shd w:val="clear" w:fill="F2F6FA"/>
          </w:tcPr>
          <w:p>
            <w:pPr>
              <w:spacing w:after="40" w:before="40"/>
            </w:pPr>
            <w:r/>
            <w:r>
              <w:rPr>
                <w:b w:val="0"/>
                <w:sz w:val="16"/>
              </w:rPr>
              <w:t>dbo.UserReqReports</w:t>
            </w:r>
          </w:p>
        </w:tc>
        <w:tc>
          <w:tcPr>
            <w:tcW w:type="dxa" w:w="1440"/>
            <w:shd w:val="clear" w:fill="F2F6FA"/>
          </w:tcPr>
          <w:p>
            <w:pPr>
              <w:spacing w:after="40" w:before="40"/>
            </w:pPr>
            <w:r/>
            <w:r>
              <w:rPr>
                <w:b/>
                <w:color w:val="9B1C1C"/>
                <w:sz w:val="16"/>
              </w:rPr>
              <w:t>Yes</w:t>
            </w:r>
          </w:p>
        </w:tc>
        <w:tc>
          <w:tcPr>
            <w:tcW w:type="dxa" w:w="1224"/>
            <w:shd w:val="clear" w:fill="F2F6FA"/>
          </w:tcPr>
          <w:p>
            <w:pPr>
              <w:spacing w:after="40" w:before="40"/>
            </w:pPr>
            <w:r/>
            <w:r>
              <w:rPr>
                <w:b w:val="0"/>
                <w:sz w:val="16"/>
              </w:rPr>
              <w:t>XLSX</w:t>
            </w:r>
          </w:p>
        </w:tc>
        <w:tc>
          <w:tcPr>
            <w:tcW w:type="dxa" w:w="2376"/>
            <w:shd w:val="clear" w:fill="F2F6FA"/>
          </w:tcPr>
          <w:p>
            <w:pPr>
              <w:spacing w:after="40" w:before="40"/>
            </w:pPr>
            <w:r/>
            <w:r>
              <w:rPr>
                <w:b w:val="0"/>
                <w:sz w:val="16"/>
              </w:rPr>
              <w:t>queue status updates</w:t>
            </w:r>
          </w:p>
        </w:tc>
      </w:tr>
      <w:tr>
        <w:tc>
          <w:tcPr>
            <w:tcW w:type="dxa" w:w="2520"/>
          </w:tcPr>
          <w:p>
            <w:pPr>
              <w:spacing w:after="40" w:before="40"/>
            </w:pPr>
            <w:r/>
            <w:r>
              <w:rPr>
                <w:b w:val="0"/>
                <w:sz w:val="16"/>
              </w:rPr>
              <w:t>LRN.DenialAnalysisProcessor</w:t>
            </w:r>
          </w:p>
        </w:tc>
        <w:tc>
          <w:tcPr>
            <w:tcW w:type="dxa" w:w="2664"/>
          </w:tcPr>
          <w:p>
            <w:pPr>
              <w:spacing w:after="40" w:before="40"/>
            </w:pPr>
            <w:r/>
            <w:r>
              <w:rPr>
                <w:b w:val="0"/>
                <w:sz w:val="16"/>
              </w:rPr>
              <w:t>PayerValidationReport, LineLevelData</w:t>
            </w:r>
          </w:p>
        </w:tc>
        <w:tc>
          <w:tcPr>
            <w:tcW w:type="dxa" w:w="1440"/>
          </w:tcPr>
          <w:p>
            <w:pPr>
              <w:spacing w:after="40" w:before="40"/>
            </w:pPr>
            <w:r/>
            <w:r>
              <w:rPr>
                <w:b/>
                <w:color w:val="0F6B45"/>
                <w:sz w:val="16"/>
              </w:rPr>
              <w:t>No</w:t>
            </w:r>
          </w:p>
        </w:tc>
        <w:tc>
          <w:tcPr>
            <w:tcW w:type="dxa" w:w="1224"/>
          </w:tcPr>
          <w:p>
            <w:pPr>
              <w:spacing w:after="40" w:before="40"/>
            </w:pPr>
            <w:r/>
            <w:r>
              <w:rPr>
                <w:b w:val="0"/>
                <w:sz w:val="16"/>
              </w:rPr>
              <w:t>log CSV only</w:t>
            </w:r>
          </w:p>
        </w:tc>
        <w:tc>
          <w:tcPr>
            <w:tcW w:type="dxa" w:w="2376"/>
          </w:tcPr>
          <w:p>
            <w:pPr>
              <w:spacing w:after="40" w:before="40"/>
            </w:pPr>
            <w:r/>
            <w:r>
              <w:rPr>
                <w:b w:val="0"/>
                <w:sz w:val="16"/>
              </w:rPr>
              <w:t>DenialTaskBoard, DenialInsight, DenialLineItem</w:t>
            </w:r>
          </w:p>
        </w:tc>
      </w:tr>
      <w:tr>
        <w:tc>
          <w:tcPr>
            <w:tcW w:type="dxa" w:w="2520"/>
            <w:shd w:val="clear" w:fill="F2F6FA"/>
          </w:tcPr>
          <w:p>
            <w:pPr>
              <w:spacing w:after="40" w:before="40"/>
            </w:pPr>
            <w:r/>
            <w:r>
              <w:rPr>
                <w:b w:val="0"/>
                <w:sz w:val="16"/>
              </w:rPr>
              <w:t>LRN.AverageImport.Worker</w:t>
            </w:r>
          </w:p>
        </w:tc>
        <w:tc>
          <w:tcPr>
            <w:tcW w:type="dxa" w:w="2664"/>
            <w:shd w:val="clear" w:fill="F2F6FA"/>
          </w:tcPr>
          <w:p>
            <w:pPr>
              <w:spacing w:after="40" w:before="40"/>
            </w:pPr>
            <w:r/>
            <w:r>
              <w:rPr>
                <w:b w:val="0"/>
                <w:sz w:val="16"/>
              </w:rPr>
              <w:t>Lab DB LineLevelData</w:t>
            </w:r>
          </w:p>
        </w:tc>
        <w:tc>
          <w:tcPr>
            <w:tcW w:type="dxa" w:w="1440"/>
            <w:shd w:val="clear" w:fill="F2F6FA"/>
          </w:tcPr>
          <w:p>
            <w:pPr>
              <w:spacing w:after="40" w:before="40"/>
            </w:pPr>
            <w:r/>
            <w:r>
              <w:rPr>
                <w:b/>
                <w:color w:val="0F6B45"/>
                <w:sz w:val="16"/>
              </w:rPr>
              <w:t>No</w:t>
            </w:r>
          </w:p>
        </w:tc>
        <w:tc>
          <w:tcPr>
            <w:tcW w:type="dxa" w:w="1224"/>
            <w:shd w:val="clear" w:fill="F2F6FA"/>
          </w:tcPr>
          <w:p>
            <w:pPr>
              <w:spacing w:after="40" w:before="40"/>
            </w:pPr>
            <w:r/>
            <w:r>
              <w:rPr>
                <w:b w:val="0"/>
                <w:sz w:val="16"/>
              </w:rPr>
              <w:t>log only</w:t>
            </w:r>
          </w:p>
        </w:tc>
        <w:tc>
          <w:tcPr>
            <w:tcW w:type="dxa" w:w="2376"/>
            <w:shd w:val="clear" w:fill="F2F6FA"/>
          </w:tcPr>
          <w:p>
            <w:pPr>
              <w:spacing w:after="40" w:before="40"/>
            </w:pPr>
            <w:r/>
            <w:r>
              <w:rPr>
                <w:b w:val="0"/>
                <w:sz w:val="16"/>
              </w:rPr>
              <w:t>CPTAverage, PanelAverage</w:t>
            </w:r>
          </w:p>
        </w:tc>
      </w:tr>
      <w:tr>
        <w:tc>
          <w:tcPr>
            <w:tcW w:type="dxa" w:w="2520"/>
          </w:tcPr>
          <w:p>
            <w:pPr>
              <w:spacing w:after="40" w:before="40"/>
            </w:pPr>
            <w:r/>
            <w:r>
              <w:rPr>
                <w:b w:val="0"/>
                <w:sz w:val="16"/>
              </w:rPr>
              <w:t>LRN.PayerPolicyInsranceSync</w:t>
            </w:r>
          </w:p>
        </w:tc>
        <w:tc>
          <w:tcPr>
            <w:tcW w:type="dxa" w:w="2664"/>
          </w:tcPr>
          <w:p>
            <w:pPr>
              <w:spacing w:after="40" w:before="40"/>
            </w:pPr>
            <w:r/>
            <w:r>
              <w:rPr>
                <w:b w:val="0"/>
                <w:sz w:val="16"/>
              </w:rPr>
              <w:t>LabInsuranceMaster</w:t>
            </w:r>
          </w:p>
        </w:tc>
        <w:tc>
          <w:tcPr>
            <w:tcW w:type="dxa" w:w="1440"/>
          </w:tcPr>
          <w:p>
            <w:pPr>
              <w:spacing w:after="40" w:before="40"/>
            </w:pPr>
            <w:r/>
            <w:r>
              <w:rPr>
                <w:b/>
                <w:color w:val="0F6B45"/>
                <w:sz w:val="16"/>
              </w:rPr>
              <w:t>No</w:t>
            </w:r>
          </w:p>
        </w:tc>
        <w:tc>
          <w:tcPr>
            <w:tcW w:type="dxa" w:w="1224"/>
          </w:tcPr>
          <w:p>
            <w:pPr>
              <w:spacing w:after="40" w:before="40"/>
            </w:pPr>
            <w:r/>
            <w:r>
              <w:rPr>
                <w:b w:val="0"/>
                <w:sz w:val="16"/>
              </w:rPr>
              <w:t>log only</w:t>
            </w:r>
          </w:p>
        </w:tc>
        <w:tc>
          <w:tcPr>
            <w:tcW w:type="dxa" w:w="2376"/>
          </w:tcPr>
          <w:p>
            <w:pPr>
              <w:spacing w:after="40" w:before="40"/>
            </w:pPr>
            <w:r/>
            <w:r>
              <w:rPr>
                <w:b w:val="0"/>
                <w:sz w:val="16"/>
              </w:rPr>
              <w:t>LabInsuranceMaster updates</w:t>
            </w:r>
          </w:p>
        </w:tc>
      </w:tr>
      <w:tr>
        <w:tc>
          <w:tcPr>
            <w:tcW w:type="dxa" w:w="2520"/>
            <w:shd w:val="clear" w:fill="F2F6FA"/>
          </w:tcPr>
          <w:p>
            <w:pPr>
              <w:spacing w:after="40" w:before="40"/>
            </w:pPr>
            <w:r/>
            <w:r>
              <w:rPr>
                <w:b w:val="0"/>
                <w:sz w:val="16"/>
              </w:rPr>
              <w:t>LRN.FileCleaner</w:t>
            </w:r>
          </w:p>
        </w:tc>
        <w:tc>
          <w:tcPr>
            <w:tcW w:type="dxa" w:w="2664"/>
            <w:shd w:val="clear" w:fill="F2F6FA"/>
          </w:tcPr>
          <w:p>
            <w:pPr>
              <w:spacing w:after="40" w:before="40"/>
            </w:pPr>
            <w:r/>
            <w:r>
              <w:rPr>
                <w:b w:val="0"/>
                <w:sz w:val="16"/>
              </w:rPr>
              <w:t>LRN-Input, LRN-Output</w:t>
            </w:r>
          </w:p>
        </w:tc>
        <w:tc>
          <w:tcPr>
            <w:tcW w:type="dxa" w:w="1440"/>
            <w:shd w:val="clear" w:fill="F2F6FA"/>
          </w:tcPr>
          <w:p>
            <w:pPr>
              <w:spacing w:after="40" w:before="40"/>
            </w:pPr>
            <w:r/>
            <w:r>
              <w:rPr>
                <w:b/>
                <w:color w:val="92400E"/>
                <w:sz w:val="16"/>
              </w:rPr>
              <w:t>Deletes</w:t>
            </w:r>
          </w:p>
        </w:tc>
        <w:tc>
          <w:tcPr>
            <w:tcW w:type="dxa" w:w="1224"/>
            <w:shd w:val="clear" w:fill="F2F6FA"/>
          </w:tcPr>
          <w:p>
            <w:pPr>
              <w:spacing w:after="40" w:before="40"/>
            </w:pPr>
            <w:r/>
            <w:r>
              <w:rPr>
                <w:b w:val="0"/>
                <w:sz w:val="16"/>
              </w:rPr>
              <w:t>n/a</w:t>
            </w:r>
          </w:p>
        </w:tc>
        <w:tc>
          <w:tcPr>
            <w:tcW w:type="dxa" w:w="2376"/>
            <w:shd w:val="clear" w:fill="F2F6FA"/>
          </w:tcPr>
          <w:p>
            <w:pPr>
              <w:spacing w:after="40" w:before="40"/>
            </w:pPr>
            <w:r/>
            <w:r>
              <w:rPr>
                <w:b w:val="0"/>
                <w:sz w:val="16"/>
              </w:rPr>
              <w:t>none</w:t>
            </w:r>
          </w:p>
        </w:tc>
      </w:tr>
      <w:tr>
        <w:tc>
          <w:tcPr>
            <w:tcW w:type="dxa" w:w="2520"/>
          </w:tcPr>
          <w:p>
            <w:pPr>
              <w:spacing w:after="40" w:before="40"/>
            </w:pPr>
            <w:r/>
            <w:r>
              <w:rPr>
                <w:b w:val="0"/>
                <w:sz w:val="16"/>
              </w:rPr>
              <w:t>LRN - CPU Monitor</w:t>
            </w:r>
          </w:p>
        </w:tc>
        <w:tc>
          <w:tcPr>
            <w:tcW w:type="dxa" w:w="2664"/>
          </w:tcPr>
          <w:p>
            <w:pPr>
              <w:spacing w:after="40" w:before="40"/>
            </w:pPr>
            <w:r/>
            <w:r>
              <w:rPr>
                <w:b w:val="0"/>
                <w:sz w:val="16"/>
              </w:rPr>
              <w:t>Process table, SQL probe</w:t>
            </w:r>
          </w:p>
        </w:tc>
        <w:tc>
          <w:tcPr>
            <w:tcW w:type="dxa" w:w="1440"/>
          </w:tcPr>
          <w:p>
            <w:pPr>
              <w:spacing w:after="40" w:before="40"/>
            </w:pPr>
            <w:r/>
            <w:r>
              <w:rPr>
                <w:b/>
                <w:color w:val="0F6B45"/>
                <w:sz w:val="16"/>
              </w:rPr>
              <w:t>Log only</w:t>
            </w:r>
          </w:p>
        </w:tc>
        <w:tc>
          <w:tcPr>
            <w:tcW w:type="dxa" w:w="1224"/>
          </w:tcPr>
          <w:p>
            <w:pPr>
              <w:spacing w:after="40" w:before="40"/>
            </w:pPr>
            <w:r/>
            <w:r>
              <w:rPr>
                <w:b w:val="0"/>
                <w:sz w:val="16"/>
              </w:rPr>
              <w:t>log</w:t>
            </w:r>
          </w:p>
        </w:tc>
        <w:tc>
          <w:tcPr>
            <w:tcW w:type="dxa" w:w="2376"/>
          </w:tcPr>
          <w:p>
            <w:pPr>
              <w:spacing w:after="40" w:before="40"/>
            </w:pPr>
            <w:r/>
            <w:r>
              <w:rPr>
                <w:b w:val="0"/>
                <w:sz w:val="16"/>
              </w:rPr>
              <w:t>none</w:t>
            </w:r>
          </w:p>
        </w:tc>
      </w:tr>
      <w:tr>
        <w:tc>
          <w:tcPr>
            <w:tcW w:type="dxa" w:w="2520"/>
            <w:shd w:val="clear" w:fill="F2F6FA"/>
          </w:tcPr>
          <w:p>
            <w:pPr>
              <w:spacing w:after="40" w:before="40"/>
            </w:pPr>
            <w:r/>
            <w:r>
              <w:rPr>
                <w:b w:val="0"/>
                <w:sz w:val="16"/>
              </w:rPr>
              <w:t>Python automations (6)</w:t>
            </w:r>
          </w:p>
        </w:tc>
        <w:tc>
          <w:tcPr>
            <w:tcW w:type="dxa" w:w="2664"/>
            <w:shd w:val="clear" w:fill="F2F6FA"/>
          </w:tcPr>
          <w:p>
            <w:pPr>
              <w:spacing w:after="40" w:before="40"/>
            </w:pPr>
            <w:r/>
            <w:r>
              <w:rPr>
                <w:b/>
                <w:color w:val="9B1C1C"/>
                <w:sz w:val="16"/>
              </w:rPr>
              <w:t>Unknown, not in source control</w:t>
            </w:r>
          </w:p>
        </w:tc>
        <w:tc>
          <w:tcPr>
            <w:tcW w:type="dxa" w:w="1440"/>
            <w:shd w:val="clear" w:fill="F2F6FA"/>
          </w:tcPr>
          <w:p>
            <w:pPr>
              <w:spacing w:after="40" w:before="40"/>
            </w:pPr>
            <w:r/>
            <w:r>
              <w:rPr>
                <w:b/>
                <w:color w:val="9B1C1C"/>
                <w:sz w:val="16"/>
              </w:rPr>
              <w:t>Yes</w:t>
            </w:r>
          </w:p>
        </w:tc>
        <w:tc>
          <w:tcPr>
            <w:tcW w:type="dxa" w:w="1224"/>
            <w:shd w:val="clear" w:fill="F2F6FA"/>
          </w:tcPr>
          <w:p>
            <w:pPr>
              <w:spacing w:after="40" w:before="40"/>
            </w:pPr>
            <w:r/>
            <w:r>
              <w:rPr>
                <w:b w:val="0"/>
                <w:sz w:val="16"/>
              </w:rPr>
              <w:t>CSV/XLSX</w:t>
            </w:r>
          </w:p>
        </w:tc>
        <w:tc>
          <w:tcPr>
            <w:tcW w:type="dxa" w:w="2376"/>
            <w:shd w:val="clear" w:fill="F2F6FA"/>
          </w:tcPr>
          <w:p>
            <w:pPr>
              <w:spacing w:after="40" w:before="40"/>
            </w:pPr>
            <w:r/>
            <w:r>
              <w:rPr>
                <w:b w:val="0"/>
                <w:sz w:val="16"/>
              </w:rPr>
              <w:t>unknown</w:t>
            </w:r>
          </w:p>
        </w:tc>
      </w:tr>
    </w:tbl>
    <w:p>
      <w:pPr>
        <w:spacing w:after="80"/>
      </w:pPr>
    </w:p>
    <w:p>
      <w:pPr>
        <w:pStyle w:val="Heading1"/>
      </w:pPr>
      <w:r>
        <w:t>6. Part E — Dormant deployments and recommendations</w:t>
      </w:r>
    </w:p>
    <w:p>
      <w:pPr>
        <w:pStyle w:val="Heading2"/>
      </w:pPr>
      <w:r>
        <w:t>6.1 No service, no logs, no evidence of use: 20 folders</w:t>
      </w:r>
    </w:p>
    <w:tbl>
      <w:tblPr>
        <w:tblStyle w:val="TableGrid"/>
        <w:tblW w:type="auto" w:w="0"/>
        <w:jc w:val="center"/>
        <w:tblLayout w:type="fixed"/>
        <w:tblLook w:firstColumn="1" w:firstRow="1" w:lastColumn="0" w:lastRow="0" w:noHBand="0" w:noVBand="1" w:val="04A0"/>
      </w:tblPr>
      <w:tblGrid>
        <w:gridCol w:w="3312"/>
        <w:gridCol w:w="3600"/>
        <w:gridCol w:w="3312"/>
      </w:tblGrid>
      <w:tr>
        <w:tc>
          <w:tcPr>
            <w:tcW w:type="dxa" w:w="3312"/>
            <w:shd w:val="clear" w:fill="0E3460"/>
          </w:tcPr>
          <w:p>
            <w:pPr>
              <w:spacing w:after="40" w:before="40"/>
            </w:pPr>
            <w:r/>
            <w:r>
              <w:rPr>
                <w:b/>
                <w:color w:val="FFFFFF"/>
                <w:sz w:val="16"/>
              </w:rPr>
              <w:t>Folder</w:t>
            </w:r>
          </w:p>
        </w:tc>
        <w:tc>
          <w:tcPr>
            <w:tcW w:type="dxa" w:w="3600"/>
            <w:shd w:val="clear" w:fill="0E3460"/>
          </w:tcPr>
          <w:p>
            <w:pPr>
              <w:spacing w:after="40" w:before="40"/>
            </w:pPr>
            <w:r/>
            <w:r>
              <w:rPr>
                <w:b/>
                <w:color w:val="FFFFFF"/>
                <w:sz w:val="16"/>
              </w:rPr>
              <w:t>Entry point</w:t>
            </w:r>
          </w:p>
        </w:tc>
        <w:tc>
          <w:tcPr>
            <w:tcW w:type="dxa" w:w="3312"/>
            <w:shd w:val="clear" w:fill="0E3460"/>
          </w:tcPr>
          <w:p>
            <w:pPr>
              <w:spacing w:after="40" w:before="40"/>
            </w:pPr>
            <w:r/>
            <w:r>
              <w:rPr>
                <w:b/>
                <w:color w:val="FFFFFF"/>
                <w:sz w:val="16"/>
              </w:rPr>
              <w:t>Category</w:t>
            </w:r>
          </w:p>
        </w:tc>
      </w:tr>
      <w:tr>
        <w:tc>
          <w:tcPr>
            <w:tcW w:type="dxa" w:w="3312"/>
          </w:tcPr>
          <w:p>
            <w:pPr>
              <w:spacing w:after="40" w:before="40"/>
            </w:pPr>
            <w:r/>
            <w:r>
              <w:rPr>
                <w:b w:val="0"/>
                <w:sz w:val="16"/>
              </w:rPr>
              <w:t>LRN.ImportService</w:t>
            </w:r>
          </w:p>
        </w:tc>
        <w:tc>
          <w:tcPr>
            <w:tcW w:type="dxa" w:w="3600"/>
          </w:tcPr>
          <w:p>
            <w:pPr>
              <w:spacing w:after="40" w:before="40"/>
            </w:pPr>
            <w:r/>
            <w:r>
              <w:rPr>
                <w:b w:val="0"/>
                <w:sz w:val="16"/>
              </w:rPr>
              <w:t>LRN.ETLWorkerService.exe</w:t>
            </w:r>
          </w:p>
        </w:tc>
        <w:tc>
          <w:tcPr>
            <w:tcW w:type="dxa" w:w="3312"/>
          </w:tcPr>
          <w:p>
            <w:pPr>
              <w:spacing w:after="40" w:before="40"/>
            </w:pPr>
            <w:r/>
            <w:r>
              <w:rPr>
                <w:b w:val="0"/>
                <w:sz w:val="16"/>
              </w:rPr>
              <w:t>Superseded ETL</w:t>
            </w:r>
          </w:p>
        </w:tc>
      </w:tr>
      <w:tr>
        <w:tc>
          <w:tcPr>
            <w:tcW w:type="dxa" w:w="3312"/>
            <w:shd w:val="clear" w:fill="F2F6FA"/>
          </w:tcPr>
          <w:p>
            <w:pPr>
              <w:spacing w:after="40" w:before="40"/>
            </w:pPr>
            <w:r/>
            <w:r>
              <w:rPr>
                <w:b w:val="0"/>
                <w:sz w:val="16"/>
              </w:rPr>
              <w:t>Cove.ImportService</w:t>
            </w:r>
          </w:p>
        </w:tc>
        <w:tc>
          <w:tcPr>
            <w:tcW w:type="dxa" w:w="3600"/>
            <w:shd w:val="clear" w:fill="F2F6FA"/>
          </w:tcPr>
          <w:p>
            <w:pPr>
              <w:spacing w:after="40" w:before="40"/>
            </w:pPr>
            <w:r/>
            <w:r>
              <w:rPr>
                <w:b w:val="0"/>
                <w:sz w:val="16"/>
              </w:rPr>
              <w:t>LRN.ETLWorkerService.exe</w:t>
            </w:r>
          </w:p>
        </w:tc>
        <w:tc>
          <w:tcPr>
            <w:tcW w:type="dxa" w:w="3312"/>
            <w:shd w:val="clear" w:fill="F2F6FA"/>
          </w:tcPr>
          <w:p>
            <w:pPr>
              <w:spacing w:after="40" w:before="40"/>
            </w:pPr>
            <w:r/>
            <w:r>
              <w:rPr>
                <w:b w:val="0"/>
                <w:sz w:val="16"/>
              </w:rPr>
              <w:t>Superseded ETL</w:t>
            </w:r>
          </w:p>
        </w:tc>
      </w:tr>
      <w:tr>
        <w:tc>
          <w:tcPr>
            <w:tcW w:type="dxa" w:w="3312"/>
          </w:tcPr>
          <w:p>
            <w:pPr>
              <w:spacing w:after="40" w:before="40"/>
            </w:pPr>
            <w:r/>
            <w:r>
              <w:rPr>
                <w:b w:val="0"/>
                <w:sz w:val="16"/>
              </w:rPr>
              <w:t>Dylo.LRN.ImportService</w:t>
            </w:r>
          </w:p>
        </w:tc>
        <w:tc>
          <w:tcPr>
            <w:tcW w:type="dxa" w:w="3600"/>
          </w:tcPr>
          <w:p>
            <w:pPr>
              <w:spacing w:after="40" w:before="40"/>
            </w:pPr>
            <w:r/>
            <w:r>
              <w:rPr>
                <w:b w:val="0"/>
                <w:sz w:val="16"/>
              </w:rPr>
              <w:t>LRN.ETLWorkerService.exe</w:t>
            </w:r>
          </w:p>
        </w:tc>
        <w:tc>
          <w:tcPr>
            <w:tcW w:type="dxa" w:w="3312"/>
          </w:tcPr>
          <w:p>
            <w:pPr>
              <w:spacing w:after="40" w:before="40"/>
            </w:pPr>
            <w:r/>
            <w:r>
              <w:rPr>
                <w:b w:val="0"/>
                <w:sz w:val="16"/>
              </w:rPr>
              <w:t>Superseded ETL</w:t>
            </w:r>
          </w:p>
        </w:tc>
      </w:tr>
      <w:tr>
        <w:tc>
          <w:tcPr>
            <w:tcW w:type="dxa" w:w="3312"/>
            <w:shd w:val="clear" w:fill="F2F6FA"/>
          </w:tcPr>
          <w:p>
            <w:pPr>
              <w:spacing w:after="40" w:before="40"/>
            </w:pPr>
            <w:r/>
            <w:r>
              <w:rPr>
                <w:b w:val="0"/>
                <w:sz w:val="16"/>
              </w:rPr>
              <w:t>InHealthDTR.Service</w:t>
            </w:r>
          </w:p>
        </w:tc>
        <w:tc>
          <w:tcPr>
            <w:tcW w:type="dxa" w:w="3600"/>
            <w:shd w:val="clear" w:fill="F2F6FA"/>
          </w:tcPr>
          <w:p>
            <w:pPr>
              <w:spacing w:after="40" w:before="40"/>
            </w:pPr>
            <w:r/>
            <w:r>
              <w:rPr>
                <w:b w:val="0"/>
                <w:sz w:val="16"/>
              </w:rPr>
              <w:t>LRN.ETLWorkerService.exe</w:t>
            </w:r>
          </w:p>
        </w:tc>
        <w:tc>
          <w:tcPr>
            <w:tcW w:type="dxa" w:w="3312"/>
            <w:shd w:val="clear" w:fill="F2F6FA"/>
          </w:tcPr>
          <w:p>
            <w:pPr>
              <w:spacing w:after="40" w:before="40"/>
            </w:pPr>
            <w:r/>
            <w:r>
              <w:rPr>
                <w:b w:val="0"/>
                <w:sz w:val="16"/>
              </w:rPr>
              <w:t>Superseded ETL</w:t>
            </w:r>
          </w:p>
        </w:tc>
      </w:tr>
      <w:tr>
        <w:tc>
          <w:tcPr>
            <w:tcW w:type="dxa" w:w="3312"/>
          </w:tcPr>
          <w:p>
            <w:pPr>
              <w:spacing w:after="40" w:before="40"/>
            </w:pPr>
            <w:r/>
            <w:r>
              <w:rPr>
                <w:b w:val="0"/>
                <w:sz w:val="16"/>
              </w:rPr>
              <w:t>InHealth_Production_Serivce</w:t>
            </w:r>
          </w:p>
        </w:tc>
        <w:tc>
          <w:tcPr>
            <w:tcW w:type="dxa" w:w="3600"/>
          </w:tcPr>
          <w:p>
            <w:pPr>
              <w:spacing w:after="40" w:before="40"/>
            </w:pPr>
            <w:r/>
            <w:r>
              <w:rPr>
                <w:b w:val="0"/>
                <w:sz w:val="16"/>
              </w:rPr>
              <w:t>LRN.ETLWorkerService.exe</w:t>
            </w:r>
          </w:p>
        </w:tc>
        <w:tc>
          <w:tcPr>
            <w:tcW w:type="dxa" w:w="3312"/>
          </w:tcPr>
          <w:p>
            <w:pPr>
              <w:spacing w:after="40" w:before="40"/>
            </w:pPr>
            <w:r/>
            <w:r>
              <w:rPr>
                <w:b w:val="0"/>
                <w:sz w:val="16"/>
              </w:rPr>
              <w:t>Superseded ETL (note typo)</w:t>
            </w:r>
          </w:p>
        </w:tc>
      </w:tr>
      <w:tr>
        <w:tc>
          <w:tcPr>
            <w:tcW w:type="dxa" w:w="3312"/>
            <w:shd w:val="clear" w:fill="F2F6FA"/>
          </w:tcPr>
          <w:p>
            <w:pPr>
              <w:spacing w:after="40" w:before="40"/>
            </w:pPr>
            <w:r/>
            <w:r>
              <w:rPr>
                <w:b w:val="0"/>
                <w:sz w:val="16"/>
              </w:rPr>
              <w:t>DyloService</w:t>
            </w:r>
          </w:p>
        </w:tc>
        <w:tc>
          <w:tcPr>
            <w:tcW w:type="dxa" w:w="3600"/>
            <w:shd w:val="clear" w:fill="F2F6FA"/>
          </w:tcPr>
          <w:p>
            <w:pPr>
              <w:spacing w:after="40" w:before="40"/>
            </w:pPr>
            <w:r/>
            <w:r>
              <w:rPr>
                <w:b w:val="0"/>
                <w:sz w:val="16"/>
              </w:rPr>
              <w:t>Dylo.ETLWorkerService.exe</w:t>
            </w:r>
          </w:p>
        </w:tc>
        <w:tc>
          <w:tcPr>
            <w:tcW w:type="dxa" w:w="3312"/>
            <w:shd w:val="clear" w:fill="F2F6FA"/>
          </w:tcPr>
          <w:p>
            <w:pPr>
              <w:spacing w:after="40" w:before="40"/>
            </w:pPr>
            <w:r/>
            <w:r>
              <w:rPr>
                <w:b w:val="0"/>
                <w:sz w:val="16"/>
              </w:rPr>
              <w:t>Superseded ETL</w:t>
            </w:r>
          </w:p>
        </w:tc>
      </w:tr>
      <w:tr>
        <w:tc>
          <w:tcPr>
            <w:tcW w:type="dxa" w:w="3312"/>
          </w:tcPr>
          <w:p>
            <w:pPr>
              <w:spacing w:after="40" w:before="40"/>
            </w:pPr>
            <w:r/>
            <w:r>
              <w:rPr>
                <w:b w:val="0"/>
                <w:sz w:val="16"/>
              </w:rPr>
              <w:t>PCRALService</w:t>
            </w:r>
          </w:p>
        </w:tc>
        <w:tc>
          <w:tcPr>
            <w:tcW w:type="dxa" w:w="3600"/>
          </w:tcPr>
          <w:p>
            <w:pPr>
              <w:spacing w:after="40" w:before="40"/>
            </w:pPr>
            <w:r/>
            <w:r>
              <w:rPr>
                <w:b w:val="0"/>
                <w:sz w:val="16"/>
              </w:rPr>
              <w:t>PCRAL.ETLWorkerService.exe</w:t>
            </w:r>
          </w:p>
        </w:tc>
        <w:tc>
          <w:tcPr>
            <w:tcW w:type="dxa" w:w="3312"/>
          </w:tcPr>
          <w:p>
            <w:pPr>
              <w:spacing w:after="40" w:before="40"/>
            </w:pPr>
            <w:r/>
            <w:r>
              <w:rPr>
                <w:b w:val="0"/>
                <w:sz w:val="16"/>
              </w:rPr>
              <w:t>Superseded ETL</w:t>
            </w:r>
          </w:p>
        </w:tc>
      </w:tr>
      <w:tr>
        <w:tc>
          <w:tcPr>
            <w:tcW w:type="dxa" w:w="3312"/>
            <w:shd w:val="clear" w:fill="F2F6FA"/>
          </w:tcPr>
          <w:p>
            <w:pPr>
              <w:spacing w:after="40" w:before="40"/>
            </w:pPr>
            <w:r/>
            <w:r>
              <w:rPr>
                <w:b w:val="0"/>
                <w:sz w:val="16"/>
              </w:rPr>
              <w:t>PCRCOService</w:t>
            </w:r>
          </w:p>
        </w:tc>
        <w:tc>
          <w:tcPr>
            <w:tcW w:type="dxa" w:w="3600"/>
            <w:shd w:val="clear" w:fill="F2F6FA"/>
          </w:tcPr>
          <w:p>
            <w:pPr>
              <w:spacing w:after="40" w:before="40"/>
            </w:pPr>
            <w:r/>
            <w:r>
              <w:rPr>
                <w:b w:val="0"/>
                <w:sz w:val="16"/>
              </w:rPr>
              <w:t>PCRCO.ETLWorkerService.exe</w:t>
            </w:r>
          </w:p>
        </w:tc>
        <w:tc>
          <w:tcPr>
            <w:tcW w:type="dxa" w:w="3312"/>
            <w:shd w:val="clear" w:fill="F2F6FA"/>
          </w:tcPr>
          <w:p>
            <w:pPr>
              <w:spacing w:after="40" w:before="40"/>
            </w:pPr>
            <w:r/>
            <w:r>
              <w:rPr>
                <w:b w:val="0"/>
                <w:sz w:val="16"/>
              </w:rPr>
              <w:t>Superseded ETL</w:t>
            </w:r>
          </w:p>
        </w:tc>
      </w:tr>
      <w:tr>
        <w:tc>
          <w:tcPr>
            <w:tcW w:type="dxa" w:w="3312"/>
          </w:tcPr>
          <w:p>
            <w:pPr>
              <w:spacing w:after="40" w:before="40"/>
            </w:pPr>
            <w:r/>
            <w:r>
              <w:rPr>
                <w:b w:val="0"/>
                <w:sz w:val="16"/>
              </w:rPr>
              <w:t>BillingFreq_Service</w:t>
            </w:r>
          </w:p>
        </w:tc>
        <w:tc>
          <w:tcPr>
            <w:tcW w:type="dxa" w:w="3600"/>
          </w:tcPr>
          <w:p>
            <w:pPr>
              <w:spacing w:after="40" w:before="40"/>
            </w:pPr>
            <w:r/>
            <w:r>
              <w:rPr>
                <w:b w:val="0"/>
                <w:sz w:val="16"/>
              </w:rPr>
              <w:t>LRN.BillingFrequencyWorker.exe</w:t>
            </w:r>
          </w:p>
        </w:tc>
        <w:tc>
          <w:tcPr>
            <w:tcW w:type="dxa" w:w="3312"/>
          </w:tcPr>
          <w:p>
            <w:pPr>
              <w:spacing w:after="40" w:before="40"/>
            </w:pPr>
            <w:r/>
            <w:r>
              <w:rPr>
                <w:b w:val="0"/>
                <w:sz w:val="16"/>
              </w:rPr>
              <w:t>Superseded</w:t>
            </w:r>
          </w:p>
        </w:tc>
      </w:tr>
      <w:tr>
        <w:tc>
          <w:tcPr>
            <w:tcW w:type="dxa" w:w="3312"/>
            <w:shd w:val="clear" w:fill="F2F6FA"/>
          </w:tcPr>
          <w:p>
            <w:pPr>
              <w:spacing w:after="40" w:before="40"/>
            </w:pPr>
            <w:r/>
            <w:r>
              <w:rPr>
                <w:b w:val="0"/>
                <w:sz w:val="16"/>
              </w:rPr>
              <w:t>Cove.UAT.ImportService</w:t>
            </w:r>
          </w:p>
        </w:tc>
        <w:tc>
          <w:tcPr>
            <w:tcW w:type="dxa" w:w="3600"/>
            <w:shd w:val="clear" w:fill="F2F6FA"/>
          </w:tcPr>
          <w:p>
            <w:pPr>
              <w:spacing w:after="40" w:before="40"/>
            </w:pPr>
            <w:r/>
            <w:r>
              <w:rPr>
                <w:b w:val="0"/>
                <w:sz w:val="16"/>
              </w:rPr>
              <w:t>LRN.ETLWorkerService.exe</w:t>
            </w:r>
          </w:p>
        </w:tc>
        <w:tc>
          <w:tcPr>
            <w:tcW w:type="dxa" w:w="3312"/>
            <w:shd w:val="clear" w:fill="F2F6FA"/>
          </w:tcPr>
          <w:p>
            <w:pPr>
              <w:spacing w:after="40" w:before="40"/>
            </w:pPr>
            <w:r/>
            <w:r>
              <w:rPr>
                <w:b/>
                <w:color w:val="9B1C1C"/>
                <w:sz w:val="16"/>
              </w:rPr>
              <w:t>UAT on production</w:t>
            </w:r>
          </w:p>
        </w:tc>
      </w:tr>
      <w:tr>
        <w:tc>
          <w:tcPr>
            <w:tcW w:type="dxa" w:w="3312"/>
          </w:tcPr>
          <w:p>
            <w:pPr>
              <w:spacing w:after="40" w:before="40"/>
            </w:pPr>
            <w:r/>
            <w:r>
              <w:rPr>
                <w:b w:val="0"/>
                <w:sz w:val="16"/>
              </w:rPr>
              <w:t>LRNUATMaster_Service</w:t>
            </w:r>
          </w:p>
        </w:tc>
        <w:tc>
          <w:tcPr>
            <w:tcW w:type="dxa" w:w="3600"/>
          </w:tcPr>
          <w:p>
            <w:pPr>
              <w:spacing w:after="40" w:before="40"/>
            </w:pPr>
            <w:r/>
            <w:r>
              <w:rPr>
                <w:b w:val="0"/>
                <w:sz w:val="16"/>
              </w:rPr>
              <w:t>LRN.ETLWorkerService.exe</w:t>
            </w:r>
          </w:p>
        </w:tc>
        <w:tc>
          <w:tcPr>
            <w:tcW w:type="dxa" w:w="3312"/>
          </w:tcPr>
          <w:p>
            <w:pPr>
              <w:spacing w:after="40" w:before="40"/>
            </w:pPr>
            <w:r/>
            <w:r>
              <w:rPr>
                <w:b/>
                <w:color w:val="9B1C1C"/>
                <w:sz w:val="16"/>
              </w:rPr>
              <w:t>UAT on production</w:t>
            </w:r>
          </w:p>
        </w:tc>
      </w:tr>
      <w:tr>
        <w:tc>
          <w:tcPr>
            <w:tcW w:type="dxa" w:w="3312"/>
            <w:shd w:val="clear" w:fill="F2F6FA"/>
          </w:tcPr>
          <w:p>
            <w:pPr>
              <w:spacing w:after="40" w:before="40"/>
            </w:pPr>
            <w:r/>
            <w:r>
              <w:rPr>
                <w:b w:val="0"/>
                <w:sz w:val="16"/>
              </w:rPr>
              <w:t>PCRAL_UATService</w:t>
            </w:r>
          </w:p>
        </w:tc>
        <w:tc>
          <w:tcPr>
            <w:tcW w:type="dxa" w:w="3600"/>
            <w:shd w:val="clear" w:fill="F2F6FA"/>
          </w:tcPr>
          <w:p>
            <w:pPr>
              <w:spacing w:after="40" w:before="40"/>
            </w:pPr>
            <w:r/>
            <w:r>
              <w:rPr>
                <w:b w:val="0"/>
                <w:sz w:val="16"/>
              </w:rPr>
              <w:t>PCRAL.ETLWorkerService.exe</w:t>
            </w:r>
          </w:p>
        </w:tc>
        <w:tc>
          <w:tcPr>
            <w:tcW w:type="dxa" w:w="3312"/>
            <w:shd w:val="clear" w:fill="F2F6FA"/>
          </w:tcPr>
          <w:p>
            <w:pPr>
              <w:spacing w:after="40" w:before="40"/>
            </w:pPr>
            <w:r/>
            <w:r>
              <w:rPr>
                <w:b/>
                <w:color w:val="9B1C1C"/>
                <w:sz w:val="16"/>
              </w:rPr>
              <w:t>UAT on production</w:t>
            </w:r>
          </w:p>
        </w:tc>
      </w:tr>
      <w:tr>
        <w:tc>
          <w:tcPr>
            <w:tcW w:type="dxa" w:w="3312"/>
          </w:tcPr>
          <w:p>
            <w:pPr>
              <w:spacing w:after="40" w:before="40"/>
            </w:pPr>
            <w:r/>
            <w:r>
              <w:rPr>
                <w:b w:val="0"/>
                <w:sz w:val="16"/>
              </w:rPr>
              <w:t>UATPCRAL_V1</w:t>
            </w:r>
          </w:p>
        </w:tc>
        <w:tc>
          <w:tcPr>
            <w:tcW w:type="dxa" w:w="3600"/>
          </w:tcPr>
          <w:p>
            <w:pPr>
              <w:spacing w:after="40" w:before="40"/>
            </w:pPr>
            <w:r/>
            <w:r>
              <w:rPr>
                <w:b w:val="0"/>
                <w:sz w:val="16"/>
              </w:rPr>
              <w:t>PCRAL.ETLWorkerService.exe</w:t>
            </w:r>
          </w:p>
        </w:tc>
        <w:tc>
          <w:tcPr>
            <w:tcW w:type="dxa" w:w="3312"/>
          </w:tcPr>
          <w:p>
            <w:pPr>
              <w:spacing w:after="40" w:before="40"/>
            </w:pPr>
            <w:r/>
            <w:r>
              <w:rPr>
                <w:b/>
                <w:color w:val="9B1C1C"/>
                <w:sz w:val="16"/>
              </w:rPr>
              <w:t>UAT on production</w:t>
            </w:r>
          </w:p>
        </w:tc>
      </w:tr>
      <w:tr>
        <w:tc>
          <w:tcPr>
            <w:tcW w:type="dxa" w:w="3312"/>
            <w:shd w:val="clear" w:fill="F2F6FA"/>
          </w:tcPr>
          <w:p>
            <w:pPr>
              <w:spacing w:after="40" w:before="40"/>
            </w:pPr>
            <w:r/>
            <w:r>
              <w:rPr>
                <w:b w:val="0"/>
                <w:sz w:val="16"/>
              </w:rPr>
              <w:t>Cove_UAT_Pythonservices</w:t>
            </w:r>
          </w:p>
        </w:tc>
        <w:tc>
          <w:tcPr>
            <w:tcW w:type="dxa" w:w="3600"/>
            <w:shd w:val="clear" w:fill="F2F6FA"/>
          </w:tcPr>
          <w:p>
            <w:pPr>
              <w:spacing w:after="40" w:before="40"/>
            </w:pPr>
            <w:r/>
            <w:r>
              <w:rPr>
                <w:b w:val="0"/>
                <w:sz w:val="16"/>
              </w:rPr>
              <w:t>Python scripts</w:t>
            </w:r>
          </w:p>
        </w:tc>
        <w:tc>
          <w:tcPr>
            <w:tcW w:type="dxa" w:w="3312"/>
            <w:shd w:val="clear" w:fill="F2F6FA"/>
          </w:tcPr>
          <w:p>
            <w:pPr>
              <w:spacing w:after="40" w:before="40"/>
            </w:pPr>
            <w:r/>
            <w:r>
              <w:rPr>
                <w:b/>
                <w:color w:val="9B1C1C"/>
                <w:sz w:val="16"/>
              </w:rPr>
              <w:t>UAT on production</w:t>
            </w:r>
          </w:p>
        </w:tc>
      </w:tr>
      <w:tr>
        <w:tc>
          <w:tcPr>
            <w:tcW w:type="dxa" w:w="3312"/>
          </w:tcPr>
          <w:p>
            <w:pPr>
              <w:spacing w:after="40" w:before="40"/>
            </w:pPr>
            <w:r/>
            <w:r>
              <w:rPr>
                <w:b w:val="0"/>
                <w:sz w:val="16"/>
              </w:rPr>
              <w:t>InHealth_UAT_PythonServices</w:t>
            </w:r>
          </w:p>
        </w:tc>
        <w:tc>
          <w:tcPr>
            <w:tcW w:type="dxa" w:w="3600"/>
          </w:tcPr>
          <w:p>
            <w:pPr>
              <w:spacing w:after="40" w:before="40"/>
            </w:pPr>
            <w:r/>
            <w:r>
              <w:rPr>
                <w:b w:val="0"/>
                <w:sz w:val="16"/>
              </w:rPr>
              <w:t>Python scripts</w:t>
            </w:r>
          </w:p>
        </w:tc>
        <w:tc>
          <w:tcPr>
            <w:tcW w:type="dxa" w:w="3312"/>
          </w:tcPr>
          <w:p>
            <w:pPr>
              <w:spacing w:after="40" w:before="40"/>
            </w:pPr>
            <w:r/>
            <w:r>
              <w:rPr>
                <w:b/>
                <w:color w:val="9B1C1C"/>
                <w:sz w:val="16"/>
              </w:rPr>
              <w:t>UAT on production</w:t>
            </w:r>
          </w:p>
        </w:tc>
      </w:tr>
      <w:tr>
        <w:tc>
          <w:tcPr>
            <w:tcW w:type="dxa" w:w="3312"/>
            <w:shd w:val="clear" w:fill="F2F6FA"/>
          </w:tcPr>
          <w:p>
            <w:pPr>
              <w:spacing w:after="40" w:before="40"/>
            </w:pPr>
            <w:r/>
            <w:r>
              <w:rPr>
                <w:b w:val="0"/>
                <w:sz w:val="16"/>
              </w:rPr>
              <w:t>PCR_AL_UAT_PythoServices</w:t>
            </w:r>
          </w:p>
        </w:tc>
        <w:tc>
          <w:tcPr>
            <w:tcW w:type="dxa" w:w="3600"/>
            <w:shd w:val="clear" w:fill="F2F6FA"/>
          </w:tcPr>
          <w:p>
            <w:pPr>
              <w:spacing w:after="40" w:before="40"/>
            </w:pPr>
            <w:r/>
            <w:r>
              <w:rPr>
                <w:b w:val="0"/>
                <w:sz w:val="16"/>
              </w:rPr>
              <w:t>Python scripts</w:t>
            </w:r>
          </w:p>
        </w:tc>
        <w:tc>
          <w:tcPr>
            <w:tcW w:type="dxa" w:w="3312"/>
            <w:shd w:val="clear" w:fill="F2F6FA"/>
          </w:tcPr>
          <w:p>
            <w:pPr>
              <w:spacing w:after="40" w:before="40"/>
            </w:pPr>
            <w:r/>
            <w:r>
              <w:rPr>
                <w:b/>
                <w:color w:val="9B1C1C"/>
                <w:sz w:val="16"/>
              </w:rPr>
              <w:t>UAT on production</w:t>
            </w:r>
          </w:p>
        </w:tc>
      </w:tr>
      <w:tr>
        <w:tc>
          <w:tcPr>
            <w:tcW w:type="dxa" w:w="3312"/>
          </w:tcPr>
          <w:p>
            <w:pPr>
              <w:spacing w:after="40" w:before="40"/>
            </w:pPr>
            <w:r/>
            <w:r>
              <w:rPr>
                <w:b w:val="0"/>
                <w:sz w:val="16"/>
              </w:rPr>
              <w:t>Cove_Prod_Pythonservices</w:t>
            </w:r>
          </w:p>
        </w:tc>
        <w:tc>
          <w:tcPr>
            <w:tcW w:type="dxa" w:w="3600"/>
          </w:tcPr>
          <w:p>
            <w:pPr>
              <w:spacing w:after="40" w:before="40"/>
            </w:pPr>
            <w:r/>
            <w:r>
              <w:rPr>
                <w:b w:val="0"/>
                <w:sz w:val="16"/>
              </w:rPr>
              <w:t>Python scripts</w:t>
            </w:r>
          </w:p>
        </w:tc>
        <w:tc>
          <w:tcPr>
            <w:tcW w:type="dxa" w:w="3312"/>
          </w:tcPr>
          <w:p>
            <w:pPr>
              <w:spacing w:after="40" w:before="40"/>
            </w:pPr>
            <w:r/>
            <w:r>
              <w:rPr>
                <w:b w:val="0"/>
                <w:sz w:val="16"/>
              </w:rPr>
              <w:t>Superseded Python</w:t>
            </w:r>
          </w:p>
        </w:tc>
      </w:tr>
      <w:tr>
        <w:tc>
          <w:tcPr>
            <w:tcW w:type="dxa" w:w="3312"/>
            <w:shd w:val="clear" w:fill="F2F6FA"/>
          </w:tcPr>
          <w:p>
            <w:pPr>
              <w:spacing w:after="40" w:before="40"/>
            </w:pPr>
            <w:r/>
            <w:r>
              <w:rPr>
                <w:b w:val="0"/>
                <w:sz w:val="16"/>
              </w:rPr>
              <w:t>PCRAL.PythonServices</w:t>
            </w:r>
          </w:p>
        </w:tc>
        <w:tc>
          <w:tcPr>
            <w:tcW w:type="dxa" w:w="3600"/>
            <w:shd w:val="clear" w:fill="F2F6FA"/>
          </w:tcPr>
          <w:p>
            <w:pPr>
              <w:spacing w:after="40" w:before="40"/>
            </w:pPr>
            <w:r/>
            <w:r>
              <w:rPr>
                <w:b w:val="0"/>
                <w:sz w:val="16"/>
              </w:rPr>
              <w:t>Python scripts</w:t>
            </w:r>
          </w:p>
        </w:tc>
        <w:tc>
          <w:tcPr>
            <w:tcW w:type="dxa" w:w="3312"/>
            <w:shd w:val="clear" w:fill="F2F6FA"/>
          </w:tcPr>
          <w:p>
            <w:pPr>
              <w:spacing w:after="40" w:before="40"/>
            </w:pPr>
            <w:r/>
            <w:r>
              <w:rPr>
                <w:b w:val="0"/>
                <w:sz w:val="16"/>
              </w:rPr>
              <w:t>Superseded Python</w:t>
            </w:r>
          </w:p>
        </w:tc>
      </w:tr>
      <w:tr>
        <w:tc>
          <w:tcPr>
            <w:tcW w:type="dxa" w:w="3312"/>
          </w:tcPr>
          <w:p>
            <w:pPr>
              <w:spacing w:after="40" w:before="40"/>
            </w:pPr>
            <w:r/>
            <w:r>
              <w:rPr>
                <w:b w:val="0"/>
                <w:sz w:val="16"/>
              </w:rPr>
              <w:t>PCR_CO-PythonServices</w:t>
            </w:r>
          </w:p>
        </w:tc>
        <w:tc>
          <w:tcPr>
            <w:tcW w:type="dxa" w:w="3600"/>
          </w:tcPr>
          <w:p>
            <w:pPr>
              <w:spacing w:after="40" w:before="40"/>
            </w:pPr>
            <w:r/>
            <w:r>
              <w:rPr>
                <w:b w:val="0"/>
                <w:sz w:val="16"/>
              </w:rPr>
              <w:t>Python scripts</w:t>
            </w:r>
          </w:p>
        </w:tc>
        <w:tc>
          <w:tcPr>
            <w:tcW w:type="dxa" w:w="3312"/>
          </w:tcPr>
          <w:p>
            <w:pPr>
              <w:spacing w:after="40" w:before="40"/>
            </w:pPr>
            <w:r/>
            <w:r>
              <w:rPr>
                <w:b w:val="0"/>
                <w:sz w:val="16"/>
              </w:rPr>
              <w:t>Superseded Python</w:t>
            </w:r>
          </w:p>
        </w:tc>
      </w:tr>
      <w:tr>
        <w:tc>
          <w:tcPr>
            <w:tcW w:type="dxa" w:w="3312"/>
            <w:shd w:val="clear" w:fill="F2F6FA"/>
          </w:tcPr>
          <w:p>
            <w:pPr>
              <w:spacing w:after="40" w:before="40"/>
            </w:pPr>
            <w:r/>
            <w:r>
              <w:rPr>
                <w:b w:val="0"/>
                <w:sz w:val="16"/>
              </w:rPr>
              <w:t>Python.ReportService</w:t>
            </w:r>
          </w:p>
        </w:tc>
        <w:tc>
          <w:tcPr>
            <w:tcW w:type="dxa" w:w="3600"/>
            <w:shd w:val="clear" w:fill="F2F6FA"/>
          </w:tcPr>
          <w:p>
            <w:pPr>
              <w:spacing w:after="40" w:before="40"/>
            </w:pPr>
            <w:r/>
            <w:r>
              <w:rPr>
                <w:b w:val="0"/>
                <w:sz w:val="16"/>
              </w:rPr>
              <w:t>Python scripts</w:t>
            </w:r>
          </w:p>
        </w:tc>
        <w:tc>
          <w:tcPr>
            <w:tcW w:type="dxa" w:w="3312"/>
            <w:shd w:val="clear" w:fill="F2F6FA"/>
          </w:tcPr>
          <w:p>
            <w:pPr>
              <w:spacing w:after="40" w:before="40"/>
            </w:pPr>
            <w:r/>
            <w:r>
              <w:rPr>
                <w:b w:val="0"/>
                <w:sz w:val="16"/>
              </w:rPr>
              <w:t>Superseded Python</w:t>
            </w:r>
          </w:p>
        </w:tc>
      </w:tr>
    </w:tbl>
    <w:p>
      <w:pPr>
        <w:spacing w:after="80"/>
      </w:pPr>
    </w:p>
    <w:p>
      <w:pPr>
        <w:pStyle w:val="Heading2"/>
      </w:pPr>
      <w:r>
        <w:t>6.2 Stale, and active-but-unregistered</w:t>
      </w:r>
    </w:p>
    <w:tbl>
      <w:tblPr>
        <w:tblStyle w:val="TableGrid"/>
        <w:tblW w:type="auto" w:w="0"/>
        <w:jc w:val="center"/>
        <w:tblLayout w:type="fixed"/>
        <w:tblLook w:firstColumn="1" w:firstRow="1" w:lastColumn="0" w:lastRow="0" w:noHBand="0" w:noVBand="1" w:val="04A0"/>
      </w:tblPr>
      <w:tblGrid>
        <w:gridCol w:w="4032"/>
        <w:gridCol w:w="2160"/>
        <w:gridCol w:w="4032"/>
      </w:tblGrid>
      <w:tr>
        <w:tc>
          <w:tcPr>
            <w:tcW w:type="dxa" w:w="4032"/>
            <w:shd w:val="clear" w:fill="0E3460"/>
          </w:tcPr>
          <w:p>
            <w:pPr>
              <w:spacing w:after="40" w:before="40"/>
            </w:pPr>
            <w:r/>
            <w:r>
              <w:rPr>
                <w:b/>
                <w:color w:val="FFFFFF"/>
                <w:sz w:val="16"/>
              </w:rPr>
              <w:t>Folder</w:t>
            </w:r>
          </w:p>
        </w:tc>
        <w:tc>
          <w:tcPr>
            <w:tcW w:type="dxa" w:w="2160"/>
            <w:shd w:val="clear" w:fill="0E3460"/>
          </w:tcPr>
          <w:p>
            <w:pPr>
              <w:spacing w:after="40" w:before="40"/>
            </w:pPr>
            <w:r/>
            <w:r>
              <w:rPr>
                <w:b/>
                <w:color w:val="FFFFFF"/>
                <w:sz w:val="16"/>
              </w:rPr>
              <w:t>Last output</w:t>
            </w:r>
          </w:p>
        </w:tc>
        <w:tc>
          <w:tcPr>
            <w:tcW w:type="dxa" w:w="4032"/>
            <w:shd w:val="clear" w:fill="0E3460"/>
          </w:tcPr>
          <w:p>
            <w:pPr>
              <w:spacing w:after="40" w:before="40"/>
            </w:pPr>
            <w:r/>
            <w:r>
              <w:rPr>
                <w:b/>
                <w:color w:val="FFFFFF"/>
                <w:sz w:val="16"/>
              </w:rPr>
              <w:t>Status</w:t>
            </w:r>
          </w:p>
        </w:tc>
      </w:tr>
      <w:tr>
        <w:tc>
          <w:tcPr>
            <w:tcW w:type="dxa" w:w="4032"/>
          </w:tcPr>
          <w:p>
            <w:pPr>
              <w:spacing w:after="40" w:before="40"/>
            </w:pPr>
            <w:r/>
            <w:r>
              <w:rPr>
                <w:b w:val="0"/>
                <w:sz w:val="16"/>
              </w:rPr>
              <w:t>Prediction_Insights_Services</w:t>
            </w:r>
          </w:p>
        </w:tc>
        <w:tc>
          <w:tcPr>
            <w:tcW w:type="dxa" w:w="2160"/>
          </w:tcPr>
          <w:p>
            <w:pPr>
              <w:spacing w:after="40" w:before="40"/>
            </w:pPr>
            <w:r/>
            <w:r>
              <w:rPr>
                <w:b w:val="0"/>
                <w:sz w:val="16"/>
              </w:rPr>
              <w:t>2026-04-02</w:t>
            </w:r>
          </w:p>
        </w:tc>
        <w:tc>
          <w:tcPr>
            <w:tcW w:type="dxa" w:w="4032"/>
          </w:tcPr>
          <w:p>
            <w:pPr>
              <w:spacing w:after="40" w:before="40"/>
            </w:pPr>
            <w:r/>
            <w:r>
              <w:rPr>
                <w:b/>
                <w:color w:val="9B1C1C"/>
                <w:sz w:val="16"/>
              </w:rPr>
              <w:t>Stale, 174 days</w:t>
            </w:r>
          </w:p>
        </w:tc>
      </w:tr>
      <w:tr>
        <w:tc>
          <w:tcPr>
            <w:tcW w:type="dxa" w:w="4032"/>
            <w:shd w:val="clear" w:fill="F2F6FA"/>
          </w:tcPr>
          <w:p>
            <w:pPr>
              <w:spacing w:after="40" w:before="40"/>
            </w:pPr>
            <w:r/>
            <w:r>
              <w:rPr>
                <w:b w:val="0"/>
                <w:sz w:val="16"/>
              </w:rPr>
              <w:t>PayerPolicyValidation</w:t>
            </w:r>
          </w:p>
        </w:tc>
        <w:tc>
          <w:tcPr>
            <w:tcW w:type="dxa" w:w="2160"/>
            <w:shd w:val="clear" w:fill="F2F6FA"/>
          </w:tcPr>
          <w:p>
            <w:pPr>
              <w:spacing w:after="40" w:before="40"/>
            </w:pPr>
            <w:r/>
            <w:r>
              <w:rPr>
                <w:b w:val="0"/>
                <w:sz w:val="16"/>
              </w:rPr>
              <w:t>2026-03-17</w:t>
            </w:r>
          </w:p>
        </w:tc>
        <w:tc>
          <w:tcPr>
            <w:tcW w:type="dxa" w:w="4032"/>
            <w:shd w:val="clear" w:fill="F2F6FA"/>
          </w:tcPr>
          <w:p>
            <w:pPr>
              <w:spacing w:after="40" w:before="40"/>
            </w:pPr>
            <w:r/>
            <w:r>
              <w:rPr>
                <w:b/>
                <w:color w:val="9B1C1C"/>
                <w:sz w:val="16"/>
              </w:rPr>
              <w:t>Stale, 189 days</w:t>
            </w:r>
          </w:p>
        </w:tc>
      </w:tr>
      <w:tr>
        <w:tc>
          <w:tcPr>
            <w:tcW w:type="dxa" w:w="4032"/>
          </w:tcPr>
          <w:p>
            <w:pPr>
              <w:spacing w:after="40" w:before="40"/>
            </w:pPr>
            <w:r/>
            <w:r>
              <w:rPr>
                <w:b w:val="0"/>
                <w:sz w:val="16"/>
              </w:rPr>
              <w:t>LRNWebApp</w:t>
            </w:r>
          </w:p>
        </w:tc>
        <w:tc>
          <w:tcPr>
            <w:tcW w:type="dxa" w:w="2160"/>
          </w:tcPr>
          <w:p>
            <w:pPr>
              <w:spacing w:after="40" w:before="40"/>
            </w:pPr>
            <w:r/>
            <w:r>
              <w:rPr>
                <w:b w:val="0"/>
                <w:sz w:val="16"/>
              </w:rPr>
              <w:t>2025-07-15</w:t>
            </w:r>
          </w:p>
        </w:tc>
        <w:tc>
          <w:tcPr>
            <w:tcW w:type="dxa" w:w="4032"/>
          </w:tcPr>
          <w:p>
            <w:pPr>
              <w:spacing w:after="40" w:before="40"/>
            </w:pPr>
            <w:r/>
            <w:r>
              <w:rPr>
                <w:b/>
                <w:color w:val="9B1C1C"/>
                <w:sz w:val="16"/>
              </w:rPr>
              <w:t>Stale, 434 days</w:t>
            </w:r>
          </w:p>
        </w:tc>
      </w:tr>
      <w:tr>
        <w:tc>
          <w:tcPr>
            <w:tcW w:type="dxa" w:w="4032"/>
            <w:shd w:val="clear" w:fill="F2F6FA"/>
          </w:tcPr>
          <w:p>
            <w:pPr>
              <w:spacing w:after="40" w:before="40"/>
            </w:pPr>
            <w:r/>
            <w:r>
              <w:rPr>
                <w:b w:val="0"/>
                <w:sz w:val="16"/>
              </w:rPr>
              <w:t>Certus_LIS_Billing_Master_Services</w:t>
            </w:r>
          </w:p>
        </w:tc>
        <w:tc>
          <w:tcPr>
            <w:tcW w:type="dxa" w:w="2160"/>
            <w:shd w:val="clear" w:fill="F2F6FA"/>
          </w:tcPr>
          <w:p>
            <w:pPr>
              <w:spacing w:after="40" w:before="40"/>
            </w:pPr>
            <w:r/>
            <w:r>
              <w:rPr>
                <w:b w:val="0"/>
                <w:sz w:val="16"/>
              </w:rPr>
              <w:t>2026-09-23</w:t>
            </w:r>
          </w:p>
        </w:tc>
        <w:tc>
          <w:tcPr>
            <w:tcW w:type="dxa" w:w="4032"/>
            <w:shd w:val="clear" w:fill="F2F6FA"/>
          </w:tcPr>
          <w:p>
            <w:pPr>
              <w:spacing w:after="40" w:before="40"/>
            </w:pPr>
            <w:r/>
            <w:r>
              <w:rPr>
                <w:b/>
                <w:color w:val="0F6B45"/>
                <w:sz w:val="16"/>
              </w:rPr>
              <w:t>Active, unregistered</w:t>
            </w:r>
          </w:p>
        </w:tc>
      </w:tr>
      <w:tr>
        <w:tc>
          <w:tcPr>
            <w:tcW w:type="dxa" w:w="4032"/>
          </w:tcPr>
          <w:p>
            <w:pPr>
              <w:spacing w:after="40" w:before="40"/>
            </w:pPr>
            <w:r/>
            <w:r>
              <w:rPr>
                <w:b w:val="0"/>
                <w:sz w:val="16"/>
              </w:rPr>
              <w:t>Coding_Validation_Summary_Services</w:t>
            </w:r>
          </w:p>
        </w:tc>
        <w:tc>
          <w:tcPr>
            <w:tcW w:type="dxa" w:w="2160"/>
          </w:tcPr>
          <w:p>
            <w:pPr>
              <w:spacing w:after="40" w:before="40"/>
            </w:pPr>
            <w:r/>
            <w:r>
              <w:rPr>
                <w:b w:val="0"/>
                <w:sz w:val="16"/>
              </w:rPr>
              <w:t>2026-09-23</w:t>
            </w:r>
          </w:p>
        </w:tc>
        <w:tc>
          <w:tcPr>
            <w:tcW w:type="dxa" w:w="4032"/>
          </w:tcPr>
          <w:p>
            <w:pPr>
              <w:spacing w:after="40" w:before="40"/>
            </w:pPr>
            <w:r/>
            <w:r>
              <w:rPr>
                <w:b/>
                <w:color w:val="0F6B45"/>
                <w:sz w:val="16"/>
              </w:rPr>
              <w:t>Active, unregistered</w:t>
            </w:r>
          </w:p>
        </w:tc>
      </w:tr>
      <w:tr>
        <w:tc>
          <w:tcPr>
            <w:tcW w:type="dxa" w:w="4032"/>
            <w:shd w:val="clear" w:fill="F2F6FA"/>
          </w:tcPr>
          <w:p>
            <w:pPr>
              <w:spacing w:after="40" w:before="40"/>
            </w:pPr>
            <w:r/>
            <w:r>
              <w:rPr>
                <w:b w:val="0"/>
                <w:sz w:val="16"/>
              </w:rPr>
              <w:t>ForecastingSummary_Services</w:t>
            </w:r>
          </w:p>
        </w:tc>
        <w:tc>
          <w:tcPr>
            <w:tcW w:type="dxa" w:w="2160"/>
            <w:shd w:val="clear" w:fill="F2F6FA"/>
          </w:tcPr>
          <w:p>
            <w:pPr>
              <w:spacing w:after="40" w:before="40"/>
            </w:pPr>
            <w:r/>
            <w:r>
              <w:rPr>
                <w:b w:val="0"/>
                <w:sz w:val="16"/>
              </w:rPr>
              <w:t>2026-09-23</w:t>
            </w:r>
          </w:p>
        </w:tc>
        <w:tc>
          <w:tcPr>
            <w:tcW w:type="dxa" w:w="4032"/>
            <w:shd w:val="clear" w:fill="F2F6FA"/>
          </w:tcPr>
          <w:p>
            <w:pPr>
              <w:spacing w:after="40" w:before="40"/>
            </w:pPr>
            <w:r/>
            <w:r>
              <w:rPr>
                <w:b/>
                <w:color w:val="0F6B45"/>
                <w:sz w:val="16"/>
              </w:rPr>
              <w:t>Active, unregistered</w:t>
            </w:r>
          </w:p>
        </w:tc>
      </w:tr>
      <w:tr>
        <w:tc>
          <w:tcPr>
            <w:tcW w:type="dxa" w:w="4032"/>
          </w:tcPr>
          <w:p>
            <w:pPr>
              <w:spacing w:after="40" w:before="40"/>
            </w:pPr>
            <w:r/>
            <w:r>
              <w:rPr>
                <w:b w:val="0"/>
                <w:sz w:val="16"/>
              </w:rPr>
              <w:t>InHealth_DTR_Automation</w:t>
            </w:r>
          </w:p>
        </w:tc>
        <w:tc>
          <w:tcPr>
            <w:tcW w:type="dxa" w:w="2160"/>
          </w:tcPr>
          <w:p>
            <w:pPr>
              <w:spacing w:after="40" w:before="40"/>
            </w:pPr>
            <w:r/>
            <w:r>
              <w:rPr>
                <w:b w:val="0"/>
                <w:sz w:val="16"/>
              </w:rPr>
              <w:t>2026-09-23</w:t>
            </w:r>
          </w:p>
        </w:tc>
        <w:tc>
          <w:tcPr>
            <w:tcW w:type="dxa" w:w="4032"/>
          </w:tcPr>
          <w:p>
            <w:pPr>
              <w:spacing w:after="40" w:before="40"/>
            </w:pPr>
            <w:r/>
            <w:r>
              <w:rPr>
                <w:b/>
                <w:color w:val="0F6B45"/>
                <w:sz w:val="16"/>
              </w:rPr>
              <w:t>Active, unregistered</w:t>
            </w:r>
          </w:p>
        </w:tc>
      </w:tr>
      <w:tr>
        <w:tc>
          <w:tcPr>
            <w:tcW w:type="dxa" w:w="4032"/>
            <w:shd w:val="clear" w:fill="F2F6FA"/>
          </w:tcPr>
          <w:p>
            <w:pPr>
              <w:spacing w:after="40" w:before="40"/>
            </w:pPr>
            <w:r/>
            <w:r>
              <w:rPr>
                <w:b w:val="0"/>
                <w:sz w:val="16"/>
              </w:rPr>
              <w:t>PCR_Labs_of_America_Services</w:t>
            </w:r>
          </w:p>
        </w:tc>
        <w:tc>
          <w:tcPr>
            <w:tcW w:type="dxa" w:w="2160"/>
            <w:shd w:val="clear" w:fill="F2F6FA"/>
          </w:tcPr>
          <w:p>
            <w:pPr>
              <w:spacing w:after="40" w:before="40"/>
            </w:pPr>
            <w:r/>
            <w:r>
              <w:rPr>
                <w:b w:val="0"/>
                <w:sz w:val="16"/>
              </w:rPr>
              <w:t>2026-09-23</w:t>
            </w:r>
          </w:p>
        </w:tc>
        <w:tc>
          <w:tcPr>
            <w:tcW w:type="dxa" w:w="4032"/>
            <w:shd w:val="clear" w:fill="F2F6FA"/>
          </w:tcPr>
          <w:p>
            <w:pPr>
              <w:spacing w:after="40" w:before="40"/>
            </w:pPr>
            <w:r/>
            <w:r>
              <w:rPr>
                <w:b/>
                <w:color w:val="0F6B45"/>
                <w:sz w:val="16"/>
              </w:rPr>
              <w:t>Active, unregistered</w:t>
            </w:r>
          </w:p>
        </w:tc>
      </w:tr>
      <w:tr>
        <w:tc>
          <w:tcPr>
            <w:tcW w:type="dxa" w:w="4032"/>
          </w:tcPr>
          <w:p>
            <w:pPr>
              <w:spacing w:after="40" w:before="40"/>
            </w:pPr>
            <w:r/>
            <w:r>
              <w:rPr>
                <w:b w:val="0"/>
                <w:sz w:val="16"/>
              </w:rPr>
              <w:t>CoveMasterAutomation</w:t>
            </w:r>
          </w:p>
        </w:tc>
        <w:tc>
          <w:tcPr>
            <w:tcW w:type="dxa" w:w="2160"/>
          </w:tcPr>
          <w:p>
            <w:pPr>
              <w:spacing w:after="40" w:before="40"/>
            </w:pPr>
            <w:r/>
            <w:r>
              <w:rPr>
                <w:b w:val="0"/>
                <w:sz w:val="16"/>
              </w:rPr>
              <w:t>2026-09-15</w:t>
            </w:r>
          </w:p>
        </w:tc>
        <w:tc>
          <w:tcPr>
            <w:tcW w:type="dxa" w:w="4032"/>
          </w:tcPr>
          <w:p>
            <w:pPr>
              <w:spacing w:after="40" w:before="40"/>
            </w:pPr>
            <w:r/>
            <w:r>
              <w:rPr>
                <w:b/>
                <w:color w:val="0F6B45"/>
                <w:sz w:val="16"/>
              </w:rPr>
              <w:t>Active, unregistered</w:t>
            </w:r>
          </w:p>
        </w:tc>
      </w:tr>
    </w:tbl>
    <w:p>
      <w:pPr>
        <w:spacing w:after="80"/>
      </w:pPr>
    </w:p>
    <w:tbl>
      <w:tblPr>
        <w:tblStyle w:val="TableGrid"/>
        <w:tblW w:type="auto" w:w="0"/>
        <w:tblLayout w:type="fixed"/>
        <w:tblLook w:firstColumn="1" w:firstRow="1" w:lastColumn="0" w:lastRow="0" w:noHBand="0" w:noVBand="1" w:val="04A0"/>
      </w:tblPr>
      <w:tblGrid>
        <w:gridCol w:w="10224"/>
      </w:tblGrid>
      <w:tr>
        <w:tc>
          <w:tcPr>
            <w:tcW w:type="dxa" w:w="10224"/>
            <w:shd w:val="clear" w:fill="FFF4E5"/>
          </w:tcPr>
          <w:p>
            <w:pPr>
              <w:spacing w:after="60"/>
            </w:pPr>
            <w:r/>
            <w:r>
              <w:rPr>
                <w:b/>
                <w:color w:val="92400E"/>
                <w:sz w:val="20"/>
              </w:rPr>
              <w:t>The six active folders are the Python workload the Azure hosting guide refers to.</w:t>
            </w:r>
          </w:p>
          <w:p>
            <w:pPr>
              <w:spacing w:after="40"/>
            </w:pPr>
            <w:r>
              <w:rPr>
                <w:sz w:val="19"/>
              </w:rPr>
              <w:t>The guide describes a single Python processor started by Task Scheduler using around 10 GB of RAM. It is not one processor and it is not in the solution. It is at least six separate script folders with no source control representation found in this repository. They are also the most likely producers of the Averages, Consolidated_Average and PayerPolicy_Validation_Report CSVs that the Uploader ships. Any migration plan treating this as one workload will under-scope.</w:t>
            </w:r>
          </w:p>
        </w:tc>
      </w:tr>
    </w:tbl>
    <w:p>
      <w:pPr>
        <w:spacing w:after="80"/>
      </w:pPr>
    </w:p>
    <w:p>
      <w:pPr>
        <w:pStyle w:val="Heading2"/>
      </w:pPr>
      <w:r>
        <w:t>6.3 Recommendations</w:t>
      </w:r>
    </w:p>
    <w:tbl>
      <w:tblPr>
        <w:tblStyle w:val="TableGrid"/>
        <w:tblW w:type="auto" w:w="0"/>
        <w:jc w:val="center"/>
        <w:tblLayout w:type="fixed"/>
        <w:tblLook w:firstColumn="1" w:firstRow="1" w:lastColumn="0" w:lastRow="0" w:noHBand="0" w:noVBand="1" w:val="04A0"/>
      </w:tblPr>
      <w:tblGrid>
        <w:gridCol w:w="432"/>
        <w:gridCol w:w="5616"/>
        <w:gridCol w:w="1440"/>
        <w:gridCol w:w="2736"/>
      </w:tblGrid>
      <w:tr>
        <w:tc>
          <w:tcPr>
            <w:tcW w:type="dxa" w:w="432"/>
            <w:shd w:val="clear" w:fill="0E3460"/>
          </w:tcPr>
          <w:p>
            <w:pPr>
              <w:spacing w:after="40" w:before="40"/>
            </w:pPr>
            <w:r/>
            <w:r>
              <w:rPr>
                <w:b/>
                <w:color w:val="FFFFFF"/>
                <w:sz w:val="16"/>
              </w:rPr>
              <w:t>#</w:t>
            </w:r>
          </w:p>
        </w:tc>
        <w:tc>
          <w:tcPr>
            <w:tcW w:type="dxa" w:w="5616"/>
            <w:shd w:val="clear" w:fill="0E3460"/>
          </w:tcPr>
          <w:p>
            <w:pPr>
              <w:spacing w:after="40" w:before="40"/>
            </w:pPr>
            <w:r/>
            <w:r>
              <w:rPr>
                <w:b/>
                <w:color w:val="FFFFFF"/>
                <w:sz w:val="16"/>
              </w:rPr>
              <w:t>Action</w:t>
            </w:r>
          </w:p>
        </w:tc>
        <w:tc>
          <w:tcPr>
            <w:tcW w:type="dxa" w:w="1440"/>
            <w:shd w:val="clear" w:fill="0E3460"/>
          </w:tcPr>
          <w:p>
            <w:pPr>
              <w:spacing w:after="40" w:before="40"/>
            </w:pPr>
            <w:r/>
            <w:r>
              <w:rPr>
                <w:b/>
                <w:color w:val="FFFFFF"/>
                <w:sz w:val="16"/>
              </w:rPr>
              <w:t>Effort</w:t>
            </w:r>
          </w:p>
        </w:tc>
        <w:tc>
          <w:tcPr>
            <w:tcW w:type="dxa" w:w="2736"/>
            <w:shd w:val="clear" w:fill="0E3460"/>
          </w:tcPr>
          <w:p>
            <w:pPr>
              <w:spacing w:after="40" w:before="40"/>
            </w:pPr>
            <w:r/>
            <w:r>
              <w:rPr>
                <w:b/>
                <w:color w:val="FFFFFF"/>
                <w:sz w:val="16"/>
              </w:rPr>
              <w:t>Risk</w:t>
            </w:r>
          </w:p>
        </w:tc>
      </w:tr>
      <w:tr>
        <w:tc>
          <w:tcPr>
            <w:tcW w:type="dxa" w:w="432"/>
          </w:tcPr>
          <w:p>
            <w:pPr>
              <w:spacing w:after="40" w:before="40"/>
            </w:pPr>
            <w:r/>
            <w:r>
              <w:rPr>
                <w:b w:val="0"/>
                <w:sz w:val="16"/>
              </w:rPr>
              <w:t>1</w:t>
            </w:r>
          </w:p>
        </w:tc>
        <w:tc>
          <w:tcPr>
            <w:tcW w:type="dxa" w:w="5616"/>
          </w:tcPr>
          <w:p>
            <w:pPr>
              <w:spacing w:after="40" w:before="40"/>
            </w:pPr>
            <w:r/>
            <w:r>
              <w:rPr>
                <w:b w:val="0"/>
                <w:sz w:val="16"/>
              </w:rPr>
              <w:t>Remove the Master download entry from the Uploader's deployed appsettings.json and restart. Eliminates the duplicate download.</w:t>
            </w:r>
          </w:p>
        </w:tc>
        <w:tc>
          <w:tcPr>
            <w:tcW w:type="dxa" w:w="1440"/>
          </w:tcPr>
          <w:p>
            <w:pPr>
              <w:spacing w:after="40" w:before="40"/>
            </w:pPr>
            <w:r/>
            <w:r>
              <w:rPr>
                <w:b w:val="0"/>
                <w:sz w:val="16"/>
              </w:rPr>
              <w:t>Minutes</w:t>
            </w:r>
          </w:p>
        </w:tc>
        <w:tc>
          <w:tcPr>
            <w:tcW w:type="dxa" w:w="2736"/>
          </w:tcPr>
          <w:p>
            <w:pPr>
              <w:spacing w:after="40" w:before="40"/>
            </w:pPr>
            <w:r/>
            <w:r>
              <w:rPr>
                <w:b/>
                <w:color w:val="0F6B45"/>
                <w:sz w:val="16"/>
              </w:rPr>
              <w:t>Very low</w:t>
            </w:r>
          </w:p>
        </w:tc>
      </w:tr>
      <w:tr>
        <w:tc>
          <w:tcPr>
            <w:tcW w:type="dxa" w:w="432"/>
            <w:shd w:val="clear" w:fill="F2F6FA"/>
          </w:tcPr>
          <w:p>
            <w:pPr>
              <w:spacing w:after="40" w:before="40"/>
            </w:pPr>
            <w:r/>
            <w:r>
              <w:rPr>
                <w:b w:val="0"/>
                <w:sz w:val="16"/>
              </w:rPr>
              <w:t>2</w:t>
            </w:r>
          </w:p>
        </w:tc>
        <w:tc>
          <w:tcPr>
            <w:tcW w:type="dxa" w:w="5616"/>
            <w:shd w:val="clear" w:fill="F2F6FA"/>
          </w:tcPr>
          <w:p>
            <w:pPr>
              <w:spacing w:after="40" w:before="40"/>
            </w:pPr>
            <w:r/>
            <w:r>
              <w:rPr>
                <w:b w:val="0"/>
                <w:sz w:val="16"/>
              </w:rPr>
              <w:t>Rotate the SharePoint client secret and the SQL sa / sqladmin passwords found in four deployed configs; move to Key Vault.</w:t>
            </w:r>
          </w:p>
        </w:tc>
        <w:tc>
          <w:tcPr>
            <w:tcW w:type="dxa" w:w="1440"/>
            <w:shd w:val="clear" w:fill="F2F6FA"/>
          </w:tcPr>
          <w:p>
            <w:pPr>
              <w:spacing w:after="40" w:before="40"/>
            </w:pPr>
            <w:r/>
            <w:r>
              <w:rPr>
                <w:b w:val="0"/>
                <w:sz w:val="16"/>
              </w:rPr>
              <w:t>Hours</w:t>
            </w:r>
          </w:p>
        </w:tc>
        <w:tc>
          <w:tcPr>
            <w:tcW w:type="dxa" w:w="2736"/>
            <w:shd w:val="clear" w:fill="F2F6FA"/>
          </w:tcPr>
          <w:p>
            <w:pPr>
              <w:spacing w:after="40" w:before="40"/>
            </w:pPr>
            <w:r/>
            <w:r>
              <w:rPr>
                <w:b/>
                <w:color w:val="0F6B45"/>
                <w:sz w:val="16"/>
              </w:rPr>
              <w:t>Low</w:t>
            </w:r>
          </w:p>
        </w:tc>
      </w:tr>
      <w:tr>
        <w:tc>
          <w:tcPr>
            <w:tcW w:type="dxa" w:w="432"/>
          </w:tcPr>
          <w:p>
            <w:pPr>
              <w:spacing w:after="40" w:before="40"/>
            </w:pPr>
            <w:r/>
            <w:r>
              <w:rPr>
                <w:b w:val="0"/>
                <w:sz w:val="16"/>
              </w:rPr>
              <w:t>3</w:t>
            </w:r>
          </w:p>
        </w:tc>
        <w:tc>
          <w:tcPr>
            <w:tcW w:type="dxa" w:w="5616"/>
          </w:tcPr>
          <w:p>
            <w:pPr>
              <w:spacing w:after="40" w:before="40"/>
            </w:pPr>
            <w:r/>
            <w:r>
              <w:rPr>
                <w:b w:val="0"/>
                <w:sz w:val="16"/>
              </w:rPr>
              <w:t>Mirror fix 1 into the repository and add the direction filter to SharePointUploaderWorker.cs line 79.</w:t>
            </w:r>
          </w:p>
        </w:tc>
        <w:tc>
          <w:tcPr>
            <w:tcW w:type="dxa" w:w="1440"/>
          </w:tcPr>
          <w:p>
            <w:pPr>
              <w:spacing w:after="40" w:before="40"/>
            </w:pPr>
            <w:r/>
            <w:r>
              <w:rPr>
                <w:b w:val="0"/>
                <w:sz w:val="16"/>
              </w:rPr>
              <w:t>Minutes</w:t>
            </w:r>
          </w:p>
        </w:tc>
        <w:tc>
          <w:tcPr>
            <w:tcW w:type="dxa" w:w="2736"/>
          </w:tcPr>
          <w:p>
            <w:pPr>
              <w:spacing w:after="40" w:before="40"/>
            </w:pPr>
            <w:r/>
            <w:r>
              <w:rPr>
                <w:b/>
                <w:color w:val="0F6B45"/>
                <w:sz w:val="16"/>
              </w:rPr>
              <w:t>Very low</w:t>
            </w:r>
          </w:p>
        </w:tc>
      </w:tr>
      <w:tr>
        <w:tc>
          <w:tcPr>
            <w:tcW w:type="dxa" w:w="432"/>
            <w:shd w:val="clear" w:fill="F2F6FA"/>
          </w:tcPr>
          <w:p>
            <w:pPr>
              <w:spacing w:after="40" w:before="40"/>
            </w:pPr>
            <w:r/>
            <w:r>
              <w:rPr>
                <w:b w:val="0"/>
                <w:sz w:val="16"/>
              </w:rPr>
              <w:t>4</w:t>
            </w:r>
          </w:p>
        </w:tc>
        <w:tc>
          <w:tcPr>
            <w:tcW w:type="dxa" w:w="5616"/>
            <w:shd w:val="clear" w:fill="F2F6FA"/>
          </w:tcPr>
          <w:p>
            <w:pPr>
              <w:spacing w:after="40" w:before="40"/>
            </w:pPr>
            <w:r/>
            <w:r>
              <w:rPr>
                <w:b w:val="0"/>
                <w:sz w:val="16"/>
              </w:rPr>
              <w:t>Delete the dead output and 13 SharePoint upload URLs from the DenialAnalysisProcessor config; it writes no files.</w:t>
            </w:r>
          </w:p>
        </w:tc>
        <w:tc>
          <w:tcPr>
            <w:tcW w:type="dxa" w:w="1440"/>
            <w:shd w:val="clear" w:fill="F2F6FA"/>
          </w:tcPr>
          <w:p>
            <w:pPr>
              <w:spacing w:after="40" w:before="40"/>
            </w:pPr>
            <w:r/>
            <w:r>
              <w:rPr>
                <w:b w:val="0"/>
                <w:sz w:val="16"/>
              </w:rPr>
              <w:t>Minutes</w:t>
            </w:r>
          </w:p>
        </w:tc>
        <w:tc>
          <w:tcPr>
            <w:tcW w:type="dxa" w:w="2736"/>
            <w:shd w:val="clear" w:fill="F2F6FA"/>
          </w:tcPr>
          <w:p>
            <w:pPr>
              <w:spacing w:after="40" w:before="40"/>
            </w:pPr>
            <w:r/>
            <w:r>
              <w:rPr>
                <w:b/>
                <w:color w:val="0F6B45"/>
                <w:sz w:val="16"/>
              </w:rPr>
              <w:t>Very low</w:t>
            </w:r>
          </w:p>
        </w:tc>
      </w:tr>
      <w:tr>
        <w:tc>
          <w:tcPr>
            <w:tcW w:type="dxa" w:w="432"/>
          </w:tcPr>
          <w:p>
            <w:pPr>
              <w:spacing w:after="40" w:before="40"/>
            </w:pPr>
            <w:r/>
            <w:r>
              <w:rPr>
                <w:b w:val="0"/>
                <w:sz w:val="16"/>
              </w:rPr>
              <w:t>5</w:t>
            </w:r>
          </w:p>
        </w:tc>
        <w:tc>
          <w:tcPr>
            <w:tcW w:type="dxa" w:w="5616"/>
          </w:tcPr>
          <w:p>
            <w:pPr>
              <w:spacing w:after="40" w:before="40"/>
            </w:pPr>
            <w:r/>
            <w:r>
              <w:rPr>
                <w:b w:val="0"/>
                <w:sz w:val="16"/>
              </w:rPr>
              <w:t>Investigate why 4 of the Uploader's 9 upload paths are stale or empty. Either the producer stopped or the path should be removed.</w:t>
            </w:r>
          </w:p>
        </w:tc>
        <w:tc>
          <w:tcPr>
            <w:tcW w:type="dxa" w:w="1440"/>
          </w:tcPr>
          <w:p>
            <w:pPr>
              <w:spacing w:after="40" w:before="40"/>
            </w:pPr>
            <w:r/>
            <w:r>
              <w:rPr>
                <w:b w:val="0"/>
                <w:sz w:val="16"/>
              </w:rPr>
              <w:t>Hours</w:t>
            </w:r>
          </w:p>
        </w:tc>
        <w:tc>
          <w:tcPr>
            <w:tcW w:type="dxa" w:w="2736"/>
          </w:tcPr>
          <w:p>
            <w:pPr>
              <w:spacing w:after="40" w:before="40"/>
            </w:pPr>
            <w:r/>
            <w:r>
              <w:rPr>
                <w:b/>
                <w:color w:val="0F6B45"/>
                <w:sz w:val="16"/>
              </w:rPr>
              <w:t>None</w:t>
            </w:r>
          </w:p>
        </w:tc>
      </w:tr>
      <w:tr>
        <w:tc>
          <w:tcPr>
            <w:tcW w:type="dxa" w:w="432"/>
            <w:shd w:val="clear" w:fill="F2F6FA"/>
          </w:tcPr>
          <w:p>
            <w:pPr>
              <w:spacing w:after="40" w:before="40"/>
            </w:pPr>
            <w:r/>
            <w:r>
              <w:rPr>
                <w:b w:val="0"/>
                <w:sz w:val="16"/>
              </w:rPr>
              <w:t>6</w:t>
            </w:r>
          </w:p>
        </w:tc>
        <w:tc>
          <w:tcPr>
            <w:tcW w:type="dxa" w:w="5616"/>
            <w:shd w:val="clear" w:fill="F2F6FA"/>
          </w:tcPr>
          <w:p>
            <w:pPr>
              <w:spacing w:after="40" w:before="40"/>
            </w:pPr>
            <w:r/>
            <w:r>
              <w:rPr>
                <w:b w:val="0"/>
                <w:sz w:val="16"/>
              </w:rPr>
              <w:t>Reconcile the Synchronizer's repository config (D:\LRN\...) with the deployed config (C:\LRN-Files\...).</w:t>
            </w:r>
          </w:p>
        </w:tc>
        <w:tc>
          <w:tcPr>
            <w:tcW w:type="dxa" w:w="1440"/>
            <w:shd w:val="clear" w:fill="F2F6FA"/>
          </w:tcPr>
          <w:p>
            <w:pPr>
              <w:spacing w:after="40" w:before="40"/>
            </w:pPr>
            <w:r/>
            <w:r>
              <w:rPr>
                <w:b w:val="0"/>
                <w:sz w:val="16"/>
              </w:rPr>
              <w:t>Minutes</w:t>
            </w:r>
          </w:p>
        </w:tc>
        <w:tc>
          <w:tcPr>
            <w:tcW w:type="dxa" w:w="2736"/>
            <w:shd w:val="clear" w:fill="F2F6FA"/>
          </w:tcPr>
          <w:p>
            <w:pPr>
              <w:spacing w:after="40" w:before="40"/>
            </w:pPr>
            <w:r/>
            <w:r>
              <w:rPr>
                <w:b/>
                <w:color w:val="0F6B45"/>
                <w:sz w:val="16"/>
              </w:rPr>
              <w:t>Low</w:t>
            </w:r>
          </w:p>
        </w:tc>
      </w:tr>
      <w:tr>
        <w:tc>
          <w:tcPr>
            <w:tcW w:type="dxa" w:w="432"/>
          </w:tcPr>
          <w:p>
            <w:pPr>
              <w:spacing w:after="40" w:before="40"/>
            </w:pPr>
            <w:r/>
            <w:r>
              <w:rPr>
                <w:b w:val="0"/>
                <w:sz w:val="16"/>
              </w:rPr>
              <w:t>7</w:t>
            </w:r>
          </w:p>
        </w:tc>
        <w:tc>
          <w:tcPr>
            <w:tcW w:type="dxa" w:w="5616"/>
          </w:tcPr>
          <w:p>
            <w:pPr>
              <w:spacing w:after="40" w:before="40"/>
            </w:pPr>
            <w:r/>
            <w:r>
              <w:rPr>
                <w:b w:val="0"/>
                <w:sz w:val="16"/>
              </w:rPr>
              <w:t>Enumerate Task Scheduler as an administrator. Nothing in 6.1 should be deleted before this.</w:t>
            </w:r>
          </w:p>
        </w:tc>
        <w:tc>
          <w:tcPr>
            <w:tcW w:type="dxa" w:w="1440"/>
          </w:tcPr>
          <w:p>
            <w:pPr>
              <w:spacing w:after="40" w:before="40"/>
            </w:pPr>
            <w:r/>
            <w:r>
              <w:rPr>
                <w:b w:val="0"/>
                <w:sz w:val="16"/>
              </w:rPr>
              <w:t>Hours</w:t>
            </w:r>
          </w:p>
        </w:tc>
        <w:tc>
          <w:tcPr>
            <w:tcW w:type="dxa" w:w="2736"/>
          </w:tcPr>
          <w:p>
            <w:pPr>
              <w:spacing w:after="40" w:before="40"/>
            </w:pPr>
            <w:r/>
            <w:r>
              <w:rPr>
                <w:b/>
                <w:color w:val="0F6B45"/>
                <w:sz w:val="16"/>
              </w:rPr>
              <w:t>None</w:t>
            </w:r>
          </w:p>
        </w:tc>
      </w:tr>
      <w:tr>
        <w:tc>
          <w:tcPr>
            <w:tcW w:type="dxa" w:w="432"/>
            <w:shd w:val="clear" w:fill="F2F6FA"/>
          </w:tcPr>
          <w:p>
            <w:pPr>
              <w:spacing w:after="40" w:before="40"/>
            </w:pPr>
            <w:r/>
            <w:r>
              <w:rPr>
                <w:b w:val="0"/>
                <w:sz w:val="16"/>
              </w:rPr>
              <w:t>8</w:t>
            </w:r>
          </w:p>
        </w:tc>
        <w:tc>
          <w:tcPr>
            <w:tcW w:type="dxa" w:w="5616"/>
            <w:shd w:val="clear" w:fill="F2F6FA"/>
          </w:tcPr>
          <w:p>
            <w:pPr>
              <w:spacing w:after="40" w:before="40"/>
            </w:pPr>
            <w:r/>
            <w:r>
              <w:rPr>
                <w:b w:val="0"/>
                <w:sz w:val="16"/>
              </w:rPr>
              <w:t>Archive and remove the 20 dormant folders, starting with the 7 UAT copies.</w:t>
            </w:r>
          </w:p>
        </w:tc>
        <w:tc>
          <w:tcPr>
            <w:tcW w:type="dxa" w:w="1440"/>
            <w:shd w:val="clear" w:fill="F2F6FA"/>
          </w:tcPr>
          <w:p>
            <w:pPr>
              <w:spacing w:after="40" w:before="40"/>
            </w:pPr>
            <w:r/>
            <w:r>
              <w:rPr>
                <w:b w:val="0"/>
                <w:sz w:val="16"/>
              </w:rPr>
              <w:t>Half a day</w:t>
            </w:r>
          </w:p>
        </w:tc>
        <w:tc>
          <w:tcPr>
            <w:tcW w:type="dxa" w:w="2736"/>
            <w:shd w:val="clear" w:fill="F2F6FA"/>
          </w:tcPr>
          <w:p>
            <w:pPr>
              <w:spacing w:after="40" w:before="40"/>
            </w:pPr>
            <w:r/>
            <w:r>
              <w:rPr>
                <w:b w:val="0"/>
                <w:sz w:val="16"/>
              </w:rPr>
              <w:t>Low once #7 done</w:t>
            </w:r>
          </w:p>
        </w:tc>
      </w:tr>
      <w:tr>
        <w:tc>
          <w:tcPr>
            <w:tcW w:type="dxa" w:w="432"/>
          </w:tcPr>
          <w:p>
            <w:pPr>
              <w:spacing w:after="40" w:before="40"/>
            </w:pPr>
            <w:r/>
            <w:r>
              <w:rPr>
                <w:b w:val="0"/>
                <w:sz w:val="16"/>
              </w:rPr>
              <w:t>9</w:t>
            </w:r>
          </w:p>
        </w:tc>
        <w:tc>
          <w:tcPr>
            <w:tcW w:type="dxa" w:w="5616"/>
          </w:tcPr>
          <w:p>
            <w:pPr>
              <w:spacing w:after="40" w:before="40"/>
            </w:pPr>
            <w:r/>
            <w:r>
              <w:rPr>
                <w:b w:val="0"/>
                <w:sz w:val="16"/>
              </w:rPr>
              <w:t>Resolve LRN.AzBlobSync and RcmWatcherService: deploy or remove from the solution.</w:t>
            </w:r>
          </w:p>
        </w:tc>
        <w:tc>
          <w:tcPr>
            <w:tcW w:type="dxa" w:w="1440"/>
          </w:tcPr>
          <w:p>
            <w:pPr>
              <w:spacing w:after="40" w:before="40"/>
            </w:pPr>
            <w:r/>
            <w:r>
              <w:rPr>
                <w:b w:val="0"/>
                <w:sz w:val="16"/>
              </w:rPr>
              <w:t>Half a day</w:t>
            </w:r>
          </w:p>
        </w:tc>
        <w:tc>
          <w:tcPr>
            <w:tcW w:type="dxa" w:w="2736"/>
          </w:tcPr>
          <w:p>
            <w:pPr>
              <w:spacing w:after="40" w:before="40"/>
            </w:pPr>
            <w:r/>
            <w:r>
              <w:rPr>
                <w:b w:val="0"/>
                <w:sz w:val="16"/>
              </w:rPr>
              <w:t>Low</w:t>
            </w:r>
          </w:p>
        </w:tc>
      </w:tr>
      <w:tr>
        <w:tc>
          <w:tcPr>
            <w:tcW w:type="dxa" w:w="432"/>
            <w:shd w:val="clear" w:fill="F2F6FA"/>
          </w:tcPr>
          <w:p>
            <w:pPr>
              <w:spacing w:after="40" w:before="40"/>
            </w:pPr>
            <w:r/>
            <w:r>
              <w:rPr>
                <w:b w:val="0"/>
                <w:sz w:val="16"/>
              </w:rPr>
              <w:t>10</w:t>
            </w:r>
          </w:p>
        </w:tc>
        <w:tc>
          <w:tcPr>
            <w:tcW w:type="dxa" w:w="5616"/>
            <w:shd w:val="clear" w:fill="F2F6FA"/>
          </w:tcPr>
          <w:p>
            <w:pPr>
              <w:spacing w:after="40" w:before="40"/>
            </w:pPr>
            <w:r/>
            <w:r>
              <w:rPr>
                <w:b w:val="0"/>
                <w:sz w:val="16"/>
              </w:rPr>
              <w:t>Locate source control for the six active Python automations and the three binary-only services.</w:t>
            </w:r>
          </w:p>
        </w:tc>
        <w:tc>
          <w:tcPr>
            <w:tcW w:type="dxa" w:w="1440"/>
            <w:shd w:val="clear" w:fill="F2F6FA"/>
          </w:tcPr>
          <w:p>
            <w:pPr>
              <w:spacing w:after="40" w:before="40"/>
            </w:pPr>
            <w:r/>
            <w:r>
              <w:rPr>
                <w:b w:val="0"/>
                <w:sz w:val="16"/>
              </w:rPr>
              <w:t>Days</w:t>
            </w:r>
          </w:p>
        </w:tc>
        <w:tc>
          <w:tcPr>
            <w:tcW w:type="dxa" w:w="2736"/>
            <w:shd w:val="clear" w:fill="F2F6FA"/>
          </w:tcPr>
          <w:p>
            <w:pPr>
              <w:spacing w:after="40" w:before="40"/>
            </w:pPr>
            <w:r/>
            <w:r>
              <w:rPr>
                <w:b w:val="0"/>
                <w:sz w:val="16"/>
              </w:rPr>
              <w:t>Medium, unknown scope</w:t>
            </w:r>
          </w:p>
        </w:tc>
      </w:tr>
      <w:tr>
        <w:tc>
          <w:tcPr>
            <w:tcW w:type="dxa" w:w="432"/>
          </w:tcPr>
          <w:p>
            <w:pPr>
              <w:spacing w:after="40" w:before="40"/>
            </w:pPr>
            <w:r/>
            <w:r>
              <w:rPr>
                <w:b w:val="0"/>
                <w:sz w:val="16"/>
              </w:rPr>
              <w:t>11</w:t>
            </w:r>
          </w:p>
        </w:tc>
        <w:tc>
          <w:tcPr>
            <w:tcW w:type="dxa" w:w="5616"/>
          </w:tcPr>
          <w:p>
            <w:pPr>
              <w:spacing w:after="40" w:before="40"/>
            </w:pPr>
            <w:r/>
            <w:r>
              <w:rPr>
                <w:b w:val="0"/>
                <w:sz w:val="16"/>
              </w:rPr>
              <w:t>Retire LRN - CPU Monitor once Azure Monitor covers it.</w:t>
            </w:r>
          </w:p>
        </w:tc>
        <w:tc>
          <w:tcPr>
            <w:tcW w:type="dxa" w:w="1440"/>
          </w:tcPr>
          <w:p>
            <w:pPr>
              <w:spacing w:after="40" w:before="40"/>
            </w:pPr>
            <w:r/>
            <w:r>
              <w:rPr>
                <w:b w:val="0"/>
                <w:sz w:val="16"/>
              </w:rPr>
              <w:t>Hours</w:t>
            </w:r>
          </w:p>
        </w:tc>
        <w:tc>
          <w:tcPr>
            <w:tcW w:type="dxa" w:w="2736"/>
          </w:tcPr>
          <w:p>
            <w:pPr>
              <w:spacing w:after="40" w:before="40"/>
            </w:pPr>
            <w:r/>
            <w:r>
              <w:rPr>
                <w:b w:val="0"/>
                <w:sz w:val="16"/>
              </w:rPr>
              <w:t>Low</w:t>
            </w:r>
          </w:p>
        </w:tc>
      </w:tr>
    </w:tbl>
    <w:p>
      <w:pPr>
        <w:spacing w:after="80"/>
      </w:pPr>
    </w:p>
    <w:p>
      <w:pPr>
        <w:pStyle w:val="Heading2"/>
      </w:pPr>
      <w:r>
        <w:t>6.4 Secrets found in deployed configuration</w:t>
      </w:r>
    </w:p>
    <w:p>
      <w:pPr>
        <w:spacing w:after="120"/>
      </w:pPr>
      <w:r>
        <w:rPr>
          <w:b w:val="0"/>
          <w:i/>
          <w:sz w:val="18"/>
        </w:rPr>
        <w:t>Values are deliberately not reproduced. This document will be circulated, and copying a live credential into it makes the exposure worse.</w:t>
      </w:r>
    </w:p>
    <w:tbl>
      <w:tblPr>
        <w:tblStyle w:val="TableGrid"/>
        <w:tblW w:type="auto" w:w="0"/>
        <w:jc w:val="center"/>
        <w:tblLayout w:type="fixed"/>
        <w:tblLook w:firstColumn="1" w:firstRow="1" w:lastColumn="0" w:lastRow="0" w:noHBand="0" w:noVBand="1" w:val="04A0"/>
      </w:tblPr>
      <w:tblGrid>
        <w:gridCol w:w="3600"/>
        <w:gridCol w:w="2592"/>
        <w:gridCol w:w="4032"/>
      </w:tblGrid>
      <w:tr>
        <w:tc>
          <w:tcPr>
            <w:tcW w:type="dxa" w:w="3600"/>
            <w:shd w:val="clear" w:fill="0E3460"/>
          </w:tcPr>
          <w:p>
            <w:pPr>
              <w:spacing w:after="40" w:before="40"/>
            </w:pPr>
            <w:r/>
            <w:r>
              <w:rPr>
                <w:b/>
                <w:color w:val="FFFFFF"/>
                <w:sz w:val="16"/>
              </w:rPr>
              <w:t>Location</w:t>
            </w:r>
          </w:p>
        </w:tc>
        <w:tc>
          <w:tcPr>
            <w:tcW w:type="dxa" w:w="2592"/>
            <w:shd w:val="clear" w:fill="0E3460"/>
          </w:tcPr>
          <w:p>
            <w:pPr>
              <w:spacing w:after="40" w:before="40"/>
            </w:pPr>
            <w:r/>
            <w:r>
              <w:rPr>
                <w:b/>
                <w:color w:val="FFFFFF"/>
                <w:sz w:val="16"/>
              </w:rPr>
              <w:t>Secret</w:t>
            </w:r>
          </w:p>
        </w:tc>
        <w:tc>
          <w:tcPr>
            <w:tcW w:type="dxa" w:w="4032"/>
            <w:shd w:val="clear" w:fill="0E3460"/>
          </w:tcPr>
          <w:p>
            <w:pPr>
              <w:spacing w:after="40" w:before="40"/>
            </w:pPr>
            <w:r/>
            <w:r>
              <w:rPr>
                <w:b/>
                <w:color w:val="FFFFFF"/>
                <w:sz w:val="16"/>
              </w:rPr>
              <w:t>Note</w:t>
            </w:r>
          </w:p>
        </w:tc>
      </w:tr>
      <w:tr>
        <w:tc>
          <w:tcPr>
            <w:tcW w:type="dxa" w:w="3600"/>
          </w:tcPr>
          <w:p>
            <w:pPr>
              <w:spacing w:after="40" w:before="40"/>
            </w:pPr>
            <w:r/>
            <w:r>
              <w:rPr>
                <w:b w:val="0"/>
                <w:sz w:val="16"/>
              </w:rPr>
              <w:t>LRN.MasterSyncronizer\appsettings.json</w:t>
            </w:r>
          </w:p>
        </w:tc>
        <w:tc>
          <w:tcPr>
            <w:tcW w:type="dxa" w:w="2592"/>
          </w:tcPr>
          <w:p>
            <w:pPr>
              <w:spacing w:after="40" w:before="40"/>
            </w:pPr>
            <w:r/>
            <w:r>
              <w:rPr>
                <w:b w:val="0"/>
                <w:sz w:val="16"/>
              </w:rPr>
              <w:t>SharePoint app client secret</w:t>
            </w:r>
          </w:p>
        </w:tc>
        <w:tc>
          <w:tcPr>
            <w:tcW w:type="dxa" w:w="4032"/>
          </w:tcPr>
          <w:p>
            <w:pPr>
              <w:spacing w:after="40" w:before="40"/>
            </w:pPr>
            <w:r/>
            <w:r>
              <w:rPr>
                <w:b w:val="0"/>
                <w:sz w:val="16"/>
              </w:rPr>
              <w:t>MasterFileProcessor:SharePoint:ClientSecret</w:t>
            </w:r>
          </w:p>
        </w:tc>
      </w:tr>
      <w:tr>
        <w:tc>
          <w:tcPr>
            <w:tcW w:type="dxa" w:w="3600"/>
            <w:shd w:val="clear" w:fill="F2F6FA"/>
          </w:tcPr>
          <w:p>
            <w:pPr>
              <w:spacing w:after="40" w:before="40"/>
            </w:pPr>
            <w:r/>
            <w:r>
              <w:rPr>
                <w:b w:val="0"/>
                <w:sz w:val="16"/>
              </w:rPr>
              <w:t>LRN.SharePointUploader\appsettings.json</w:t>
            </w:r>
          </w:p>
        </w:tc>
        <w:tc>
          <w:tcPr>
            <w:tcW w:type="dxa" w:w="2592"/>
            <w:shd w:val="clear" w:fill="F2F6FA"/>
          </w:tcPr>
          <w:p>
            <w:pPr>
              <w:spacing w:after="40" w:before="40"/>
            </w:pPr>
            <w:r/>
            <w:r>
              <w:rPr>
                <w:b w:val="0"/>
                <w:sz w:val="16"/>
              </w:rPr>
              <w:t>Same client secret, duplicated</w:t>
            </w:r>
          </w:p>
        </w:tc>
        <w:tc>
          <w:tcPr>
            <w:tcW w:type="dxa" w:w="4032"/>
            <w:shd w:val="clear" w:fill="F2F6FA"/>
          </w:tcPr>
          <w:p>
            <w:pPr>
              <w:spacing w:after="40" w:before="40"/>
            </w:pPr>
            <w:r/>
            <w:r>
              <w:rPr>
                <w:b w:val="0"/>
                <w:sz w:val="16"/>
              </w:rPr>
              <w:t>BillingFrequency:SharePoint:ClientSecret</w:t>
            </w:r>
          </w:p>
        </w:tc>
      </w:tr>
      <w:tr>
        <w:tc>
          <w:tcPr>
            <w:tcW w:type="dxa" w:w="3600"/>
          </w:tcPr>
          <w:p>
            <w:pPr>
              <w:spacing w:after="40" w:before="40"/>
            </w:pPr>
            <w:r/>
            <w:r>
              <w:rPr>
                <w:b w:val="0"/>
                <w:sz w:val="16"/>
              </w:rPr>
              <w:t>LRN.SharePointUploader\appsettings.json</w:t>
            </w:r>
          </w:p>
        </w:tc>
        <w:tc>
          <w:tcPr>
            <w:tcW w:type="dxa" w:w="2592"/>
          </w:tcPr>
          <w:p>
            <w:pPr>
              <w:spacing w:after="40" w:before="40"/>
            </w:pPr>
            <w:r/>
            <w:r>
              <w:rPr>
                <w:b/>
                <w:color w:val="9B1C1C"/>
                <w:sz w:val="16"/>
              </w:rPr>
              <w:t>SQL sa password</w:t>
            </w:r>
          </w:p>
        </w:tc>
        <w:tc>
          <w:tcPr>
            <w:tcW w:type="dxa" w:w="4032"/>
          </w:tcPr>
          <w:p>
            <w:pPr>
              <w:spacing w:after="40" w:before="40"/>
            </w:pPr>
            <w:r/>
            <w:r>
              <w:rPr>
                <w:b w:val="0"/>
                <w:sz w:val="16"/>
              </w:rPr>
              <w:t>LrnStepLog:DefaultConnection. Block disabled; credential still on disk.</w:t>
            </w:r>
          </w:p>
        </w:tc>
      </w:tr>
      <w:tr>
        <w:tc>
          <w:tcPr>
            <w:tcW w:type="dxa" w:w="3600"/>
            <w:shd w:val="clear" w:fill="F2F6FA"/>
          </w:tcPr>
          <w:p>
            <w:pPr>
              <w:spacing w:after="40" w:before="40"/>
            </w:pPr>
            <w:r/>
            <w:r>
              <w:rPr>
                <w:b w:val="0"/>
                <w:sz w:val="16"/>
              </w:rPr>
              <w:t>LRN.AnalysisWorker\appsettings.json</w:t>
            </w:r>
          </w:p>
        </w:tc>
        <w:tc>
          <w:tcPr>
            <w:tcW w:type="dxa" w:w="2592"/>
            <w:shd w:val="clear" w:fill="F2F6FA"/>
          </w:tcPr>
          <w:p>
            <w:pPr>
              <w:spacing w:after="40" w:before="40"/>
            </w:pPr>
            <w:r/>
            <w:r>
              <w:rPr>
                <w:b/>
                <w:color w:val="9B1C1C"/>
                <w:sz w:val="16"/>
              </w:rPr>
              <w:t>SQL sa and sqladmin passwords</w:t>
            </w:r>
          </w:p>
        </w:tc>
        <w:tc>
          <w:tcPr>
            <w:tcW w:type="dxa" w:w="4032"/>
            <w:shd w:val="clear" w:fill="F2F6FA"/>
          </w:tcPr>
          <w:p>
            <w:pPr>
              <w:spacing w:after="40" w:before="40"/>
            </w:pPr>
            <w:r/>
            <w:r>
              <w:rPr>
                <w:b w:val="0"/>
                <w:sz w:val="16"/>
              </w:rPr>
              <w:t>One per lab connection string, 12 labs</w:t>
            </w:r>
          </w:p>
        </w:tc>
      </w:tr>
      <w:tr>
        <w:tc>
          <w:tcPr>
            <w:tcW w:type="dxa" w:w="3600"/>
          </w:tcPr>
          <w:p>
            <w:pPr>
              <w:spacing w:after="40" w:before="40"/>
            </w:pPr>
            <w:r/>
            <w:r>
              <w:rPr>
                <w:b w:val="0"/>
                <w:sz w:val="16"/>
              </w:rPr>
              <w:t>Both SharePoint configs</w:t>
            </w:r>
          </w:p>
        </w:tc>
        <w:tc>
          <w:tcPr>
            <w:tcW w:type="dxa" w:w="2592"/>
          </w:tcPr>
          <w:p>
            <w:pPr>
              <w:spacing w:after="40" w:before="40"/>
            </w:pPr>
            <w:r/>
            <w:r>
              <w:rPr>
                <w:b w:val="0"/>
                <w:sz w:val="16"/>
              </w:rPr>
              <w:t>Teams incoming-webhook URLs</w:t>
            </w:r>
          </w:p>
        </w:tc>
        <w:tc>
          <w:tcPr>
            <w:tcW w:type="dxa" w:w="4032"/>
          </w:tcPr>
          <w:p>
            <w:pPr>
              <w:spacing w:after="40" w:before="40"/>
            </w:pPr>
            <w:r/>
            <w:r>
              <w:rPr>
                <w:b w:val="0"/>
                <w:sz w:val="16"/>
              </w:rPr>
              <w:t>Allows posting into the channel</w:t>
            </w:r>
          </w:p>
        </w:tc>
      </w:tr>
    </w:tbl>
    <w:p>
      <w:pPr>
        <w:spacing w:after="80"/>
      </w:pPr>
    </w:p>
    <w:p>
      <w:pPr>
        <w:pStyle w:val="Heading2"/>
      </w:pPr>
      <w:r>
        <w:t>6.5 Naming inconsistencies</w:t>
      </w:r>
    </w:p>
    <w:tbl>
      <w:tblPr>
        <w:tblStyle w:val="TableGrid"/>
        <w:tblW w:type="auto" w:w="0"/>
        <w:jc w:val="center"/>
        <w:tblLayout w:type="fixed"/>
        <w:tblLook w:firstColumn="1" w:firstRow="1" w:lastColumn="0" w:lastRow="0" w:noHBand="0" w:noVBand="1" w:val="04A0"/>
      </w:tblPr>
      <w:tblGrid>
        <w:gridCol w:w="4320"/>
        <w:gridCol w:w="5904"/>
      </w:tblGrid>
      <w:tr>
        <w:tc>
          <w:tcPr>
            <w:tcW w:type="dxa" w:w="4320"/>
            <w:shd w:val="clear" w:fill="0E3460"/>
          </w:tcPr>
          <w:p>
            <w:pPr>
              <w:spacing w:after="40" w:before="40"/>
            </w:pPr>
            <w:r/>
            <w:r>
              <w:rPr>
                <w:b/>
                <w:color w:val="FFFFFF"/>
                <w:sz w:val="16"/>
              </w:rPr>
              <w:t>Folder</w:t>
            </w:r>
          </w:p>
        </w:tc>
        <w:tc>
          <w:tcPr>
            <w:tcW w:type="dxa" w:w="5904"/>
            <w:shd w:val="clear" w:fill="0E3460"/>
          </w:tcPr>
          <w:p>
            <w:pPr>
              <w:spacing w:after="40" w:before="40"/>
            </w:pPr>
            <w:r/>
            <w:r>
              <w:rPr>
                <w:b/>
                <w:color w:val="FFFFFF"/>
                <w:sz w:val="16"/>
              </w:rPr>
              <w:t>Actually contains</w:t>
            </w:r>
          </w:p>
        </w:tc>
      </w:tr>
      <w:tr>
        <w:tc>
          <w:tcPr>
            <w:tcW w:type="dxa" w:w="4320"/>
          </w:tcPr>
          <w:p>
            <w:pPr>
              <w:spacing w:after="40" w:before="40"/>
            </w:pPr>
            <w:r/>
            <w:r>
              <w:rPr>
                <w:b w:val="0"/>
                <w:sz w:val="16"/>
              </w:rPr>
              <w:t>C:\Services\LRN.MasterSyncronizer</w:t>
            </w:r>
          </w:p>
        </w:tc>
        <w:tc>
          <w:tcPr>
            <w:tcW w:type="dxa" w:w="5904"/>
          </w:tcPr>
          <w:p>
            <w:pPr>
              <w:spacing w:after="40" w:before="40"/>
            </w:pPr>
            <w:r/>
            <w:r>
              <w:rPr>
                <w:b w:val="0"/>
                <w:sz w:val="16"/>
              </w:rPr>
              <w:t>LRN.SharePointSynchronizer.exe</w:t>
            </w:r>
          </w:p>
        </w:tc>
      </w:tr>
      <w:tr>
        <w:tc>
          <w:tcPr>
            <w:tcW w:type="dxa" w:w="4320"/>
            <w:shd w:val="clear" w:fill="F2F6FA"/>
          </w:tcPr>
          <w:p>
            <w:pPr>
              <w:spacing w:after="40" w:before="40"/>
            </w:pPr>
            <w:r/>
            <w:r>
              <w:rPr>
                <w:b w:val="0"/>
                <w:sz w:val="16"/>
              </w:rPr>
              <w:t>C:\Services\LRN.AnalysisWorker</w:t>
            </w:r>
          </w:p>
        </w:tc>
        <w:tc>
          <w:tcPr>
            <w:tcW w:type="dxa" w:w="5904"/>
            <w:shd w:val="clear" w:fill="F2F6FA"/>
          </w:tcPr>
          <w:p>
            <w:pPr>
              <w:spacing w:after="40" w:before="40"/>
            </w:pPr>
            <w:r/>
            <w:r>
              <w:rPr>
                <w:b w:val="0"/>
                <w:sz w:val="16"/>
              </w:rPr>
              <w:t>LRN.AveragesImport.Worker.exe</w:t>
            </w:r>
          </w:p>
        </w:tc>
      </w:tr>
      <w:tr>
        <w:tc>
          <w:tcPr>
            <w:tcW w:type="dxa" w:w="4320"/>
          </w:tcPr>
          <w:p>
            <w:pPr>
              <w:spacing w:after="40" w:before="40"/>
            </w:pPr>
            <w:r/>
            <w:r>
              <w:rPr>
                <w:b w:val="0"/>
                <w:sz w:val="16"/>
              </w:rPr>
              <w:t>C:\Services\LRN.DenialAnalysisProcessor</w:t>
            </w:r>
          </w:p>
        </w:tc>
        <w:tc>
          <w:tcPr>
            <w:tcW w:type="dxa" w:w="5904"/>
          </w:tcPr>
          <w:p>
            <w:pPr>
              <w:spacing w:after="40" w:before="40"/>
            </w:pPr>
            <w:r/>
            <w:r>
              <w:rPr>
                <w:b w:val="0"/>
                <w:sz w:val="16"/>
              </w:rPr>
              <w:t>DenialDatabaseProcessorWorker.exe</w:t>
            </w:r>
          </w:p>
        </w:tc>
      </w:tr>
    </w:tbl>
    <w:p>
      <w:pPr>
        <w:spacing w:after="80"/>
      </w:pPr>
    </w:p>
    <w:p/>
    <w:p>
      <w:r>
        <w:rPr>
          <w:i/>
          <w:color w:val="556677"/>
          <w:sz w:val="17"/>
        </w:rPr>
        <w:t>Prepared from direct inspection of the ReportEngine server and the LRNMetricsApp repository. File counts and dates are as at 23 September 2026 and will drift.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34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34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34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