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onsolas" w:hAnsi="Consolas"/>
          <w:b/>
          <w:i w:val="0"/>
          <w:caps/>
          <w:color w:val="0A5250"/>
          <w:sz w:val="16"/>
          <w:spacing w:val="16"/>
        </w:rPr>
        <w:t>Integration guide</w:t>
      </w:r>
    </w:p>
    <w:p>
      <w:pPr>
        <w:spacing w:after="160"/>
      </w:pPr>
      <w:r>
        <w:rPr>
          <w:rFonts w:ascii="Georgia" w:hAnsi="Georgia"/>
          <w:b/>
          <w:i w:val="0"/>
          <w:color w:val="0F1A1C"/>
          <w:sz w:val="52"/>
        </w:rPr>
        <w:t>LRN Analytics API</w:t>
      </w:r>
    </w:p>
    <w:p>
      <w:pPr>
        <w:spacing w:after="240"/>
      </w:pPr>
      <w:r>
        <w:rPr>
          <w:rFonts w:ascii="Segoe UI" w:hAnsi="Segoe UI"/>
          <w:b w:val="0"/>
          <w:i w:val="0"/>
          <w:color w:val="3D4F51"/>
          <w:sz w:val="23"/>
        </w:rPr>
        <w:t>Read-only access to LRN reference data: CPT and panel reimbursement averages with mode and median rates, the global payer policy catalogue, and lab-level payer records with their mapping to it.</w:t>
      </w:r>
    </w:p>
    <w:p>
      <w:pPr>
        <w:spacing w:after="40"/>
        <w:shd w:val="clear" w:color="auto" w:fill="F1F5F5"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 xml:space="preserve">BASE URL   </w:t>
      </w:r>
      <w:r>
        <w:rPr>
          <w:rFonts w:ascii="Consolas" w:hAnsi="Consolas"/>
          <w:b/>
          <w:i w:val="0"/>
          <w:color w:val="0F1A1C"/>
          <w:sz w:val="20"/>
        </w:rPr>
        <w:t>https://&lt;host&gt;/LRNApi</w:t>
      </w:r>
    </w:p>
    <w:p>
      <w:pPr>
        <w:spacing w:after="320"/>
        <w:shd w:val="clear" w:color="auto" w:fill="F1F5F5"/>
      </w:pPr>
      <w:r>
        <w:rPr>
          <w:rFonts w:ascii="Segoe UI" w:hAnsi="Segoe UI"/>
          <w:b w:val="0"/>
          <w:i/>
          <w:color w:val="64777A"/>
          <w:sz w:val="18"/>
        </w:rPr>
        <w:t>Confirm the exact host with your LRN contact. All paths below are relative to it.</w:t>
      </w:r>
    </w:p>
    <w:p>
      <w:pPr>
        <w:pStyle w:val="Heading1"/>
        <w:spacing w:before="320" w:after="80"/>
        <w:keepNext/>
      </w:pPr>
      <w:r>
        <w:rPr>
          <w:rFonts w:ascii="Consolas" w:hAnsi="Consolas"/>
          <w:b w:val="0"/>
          <w:i w:val="0"/>
          <w:color w:val="0A5250"/>
          <w:sz w:val="20"/>
        </w:rPr>
        <w:t xml:space="preserve">00  </w:t>
      </w:r>
      <w:r>
        <w:rPr>
          <w:rFonts w:ascii="Georgia" w:hAnsi="Georgia"/>
          <w:b/>
          <w:i w:val="0"/>
          <w:color w:val="0F1A1C"/>
          <w:sz w:val="34"/>
        </w:rPr>
        <w:t>Getting started</w:t>
      </w:r>
    </w:p>
    <w:p>
      <w:pPr>
        <w:spacing w:after="220"/>
      </w:pPr>
      <w:r>
        <w:rPr>
          <w:rFonts w:ascii="Segoe UI" w:hAnsi="Segoe UI"/>
          <w:b w:val="0"/>
          <w:i w:val="0"/>
          <w:color w:val="3D4F51"/>
          <w:sz w:val="21"/>
        </w:rPr>
        <w:t xml:space="preserve">Every data endpoint is a </w:t>
      </w:r>
      <w:r>
        <w:rPr>
          <w:rFonts w:ascii="Consolas" w:hAnsi="Consolas"/>
          <w:b/>
          <w:i w:val="0"/>
          <w:color w:val="0A5250"/>
          <w:sz w:val="20"/>
        </w:rPr>
        <w:t>GET</w:t>
      </w:r>
      <w:r>
        <w:rPr>
          <w:rFonts w:ascii="Segoe UI" w:hAnsi="Segoe UI"/>
          <w:b w:val="0"/>
          <w:i w:val="0"/>
          <w:color w:val="3D4F51"/>
          <w:sz w:val="21"/>
        </w:rPr>
        <w:t xml:space="preserve"> returning JSON, and every request needs a bearer token. Three steps to your first response. </w:t>
      </w:r>
    </w:p>
    <w:p>
      <w:pPr>
        <w:spacing w:after="40" w:before="140"/>
        <w:keepNext/>
      </w:pPr>
      <w:r>
        <w:rPr>
          <w:rFonts w:ascii="Consolas" w:hAnsi="Consolas"/>
          <w:b/>
          <w:i w:val="0"/>
          <w:color w:val="0A5250"/>
          <w:sz w:val="20"/>
        </w:rPr>
        <w:t xml:space="preserve">1.  </w:t>
      </w:r>
      <w:r>
        <w:rPr>
          <w:rFonts w:ascii="Segoe UI" w:hAnsi="Segoe UI"/>
          <w:b/>
          <w:i w:val="0"/>
          <w:color w:val="0F1A1C"/>
          <w:sz w:val="21"/>
        </w:rPr>
        <w:t>Receive your credentials</w:t>
      </w:r>
    </w:p>
    <w:p>
      <w:pPr>
        <w:ind w:left="403"/>
      </w:pPr>
      <w:r>
        <w:rPr>
          <w:rFonts w:ascii="Segoe UI" w:hAnsi="Segoe UI"/>
          <w:b w:val="0"/>
          <w:i w:val="0"/>
          <w:color w:val="3D4F51"/>
          <w:sz w:val="20"/>
        </w:rPr>
        <w:t xml:space="preserve">LRN issues a </w:t>
      </w:r>
      <w:r>
        <w:rPr>
          <w:rFonts w:ascii="Segoe UI" w:hAnsi="Segoe UI"/>
          <w:b/>
          <w:i w:val="0"/>
          <w:color w:val="0F1A1C"/>
          <w:sz w:val="20"/>
        </w:rPr>
        <w:t>client 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and </w:t>
      </w:r>
      <w:r>
        <w:rPr>
          <w:rFonts w:ascii="Segoe UI" w:hAnsi="Segoe UI"/>
          <w:b/>
          <w:i w:val="0"/>
          <w:color w:val="0F1A1C"/>
          <w:sz w:val="20"/>
        </w:rPr>
        <w:t>client secret</w:t>
      </w:r>
      <w:r>
        <w:rPr>
          <w:rFonts w:ascii="Segoe UI" w:hAnsi="Segoe UI"/>
          <w:b w:val="0"/>
          <w:i w:val="0"/>
          <w:color w:val="3D4F51"/>
          <w:sz w:val="20"/>
        </w:rPr>
        <w:t>. The secret is shown once and cannot be recovered — store it in your secret manager, never in source control.</w:t>
      </w:r>
    </w:p>
    <w:p>
      <w:pPr>
        <w:spacing w:after="40" w:before="140"/>
        <w:keepNext/>
      </w:pPr>
      <w:r>
        <w:rPr>
          <w:rFonts w:ascii="Consolas" w:hAnsi="Consolas"/>
          <w:b/>
          <w:i w:val="0"/>
          <w:color w:val="0A5250"/>
          <w:sz w:val="20"/>
        </w:rPr>
        <w:t xml:space="preserve">2.  </w:t>
      </w:r>
      <w:r>
        <w:rPr>
          <w:rFonts w:ascii="Segoe UI" w:hAnsi="Segoe UI"/>
          <w:b/>
          <w:i w:val="0"/>
          <w:color w:val="0F1A1C"/>
          <w:sz w:val="21"/>
        </w:rPr>
        <w:t>Exchange them for a token</w:t>
      </w:r>
    </w:p>
    <w:p>
      <w:pPr>
        <w:ind w:left="403"/>
      </w:pPr>
      <w:r>
        <w:rPr>
          <w:rFonts w:ascii="Segoe UI" w:hAnsi="Segoe UI"/>
          <w:b w:val="0"/>
          <w:i w:val="0"/>
          <w:color w:val="3D4F51"/>
          <w:sz w:val="20"/>
        </w:rPr>
        <w:t xml:space="preserve">Call </w:t>
      </w:r>
      <w:r>
        <w:rPr>
          <w:rFonts w:ascii="Consolas" w:hAnsi="Consolas"/>
          <w:b/>
          <w:i w:val="0"/>
          <w:color w:val="0A5250"/>
          <w:sz w:val="19"/>
        </w:rPr>
        <w:t>POST /api/auth/token</w:t>
      </w:r>
      <w:r>
        <w:rPr>
          <w:rFonts w:ascii="Segoe UI" w:hAnsi="Segoe UI"/>
          <w:b w:val="0"/>
          <w:i w:val="0"/>
          <w:color w:val="3D4F51"/>
          <w:sz w:val="20"/>
        </w:rPr>
        <w:t>. You get a JWT valid for one hour. The secret itself is never sent to a data endpoint.</w:t>
      </w:r>
    </w:p>
    <w:p>
      <w:pPr>
        <w:spacing w:after="40" w:before="140"/>
        <w:keepNext/>
      </w:pPr>
      <w:r>
        <w:rPr>
          <w:rFonts w:ascii="Consolas" w:hAnsi="Consolas"/>
          <w:b/>
          <w:i w:val="0"/>
          <w:color w:val="0A5250"/>
          <w:sz w:val="20"/>
        </w:rPr>
        <w:t xml:space="preserve">3.  </w:t>
      </w:r>
      <w:r>
        <w:rPr>
          <w:rFonts w:ascii="Segoe UI" w:hAnsi="Segoe UI"/>
          <w:b/>
          <w:i w:val="0"/>
          <w:color w:val="0F1A1C"/>
          <w:sz w:val="21"/>
        </w:rPr>
        <w:t>Call the data endpoints</w:t>
      </w:r>
    </w:p>
    <w:p>
      <w:pPr>
        <w:ind w:left="403"/>
      </w:pPr>
      <w:r>
        <w:rPr>
          <w:rFonts w:ascii="Segoe UI" w:hAnsi="Segoe UI"/>
          <w:b w:val="0"/>
          <w:i w:val="0"/>
          <w:color w:val="3D4F51"/>
          <w:sz w:val="20"/>
        </w:rPr>
        <w:t xml:space="preserve">Send </w:t>
      </w:r>
      <w:r>
        <w:rPr>
          <w:rFonts w:ascii="Consolas" w:hAnsi="Consolas"/>
          <w:b/>
          <w:i w:val="0"/>
          <w:color w:val="0A5250"/>
          <w:sz w:val="19"/>
        </w:rPr>
        <w:t>Authorization: Bearer &lt;token&gt;</w:t>
      </w:r>
      <w:r>
        <w:rPr>
          <w:rFonts w:ascii="Segoe UI" w:hAnsi="Segoe UI"/>
          <w:b w:val="0"/>
          <w:i w:val="0"/>
          <w:color w:val="3D4F51"/>
          <w:sz w:val="20"/>
        </w:rPr>
        <w:t xml:space="preserve"> on every request. Cache the token and reuse it until it is near expiry.</w:t>
      </w:r>
    </w:p>
    <w:p>
      <w:pPr>
        <w:pStyle w:val="Heading1"/>
        <w:spacing w:before="320" w:after="80"/>
        <w:keepNext/>
      </w:pPr>
      <w:r>
        <w:rPr>
          <w:rFonts w:ascii="Consolas" w:hAnsi="Consolas"/>
          <w:b w:val="0"/>
          <w:i w:val="0"/>
          <w:color w:val="0A5250"/>
          <w:sz w:val="20"/>
        </w:rPr>
        <w:t xml:space="preserve">01  </w:t>
      </w:r>
      <w:r>
        <w:rPr>
          <w:rFonts w:ascii="Georgia" w:hAnsi="Georgia"/>
          <w:b/>
          <w:i w:val="0"/>
          <w:color w:val="0F1A1C"/>
          <w:sz w:val="34"/>
        </w:rPr>
        <w:t>Authentication</w:t>
      </w:r>
    </w:p>
    <w:p>
      <w:pPr>
        <w:spacing w:after="220"/>
      </w:pPr>
      <w:r>
        <w:rPr>
          <w:rFonts w:ascii="Segoe UI" w:hAnsi="Segoe UI"/>
          <w:b w:val="0"/>
          <w:i w:val="0"/>
          <w:color w:val="3D4F51"/>
          <w:sz w:val="21"/>
        </w:rPr>
        <w:t xml:space="preserve">A standard client-credentials exchange. Your credentials identify a machine client, not a person — there is no interactive login step. 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8A5312"/>
          <w:sz w:val="18"/>
        </w:rPr>
        <w:t xml:space="preserve">POST   </w:t>
      </w:r>
      <w:r>
        <w:rPr>
          <w:rFonts w:ascii="Consolas" w:hAnsi="Consolas"/>
          <w:b/>
          <w:i w:val="0"/>
          <w:color w:val="0F1A1C"/>
          <w:sz w:val="22"/>
        </w:rPr>
        <w:t>/api/auth/token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>Exchange client credentials for a bearer token.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Request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POST /api/auth/token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Content-Type: application/json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{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"clientId": "your-client-id",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"clientSecret": "your-client-secret"</w:t>
      </w:r>
    </w:p>
    <w:p>
      <w:pPr>
        <w:spacing w:after="18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}</w:t>
      </w:r>
    </w:p>
    <w:p>
      <w:r>
        <w:rPr>
          <w:rFonts w:ascii="Consolas" w:hAnsi="Consolas"/>
          <w:b/>
          <w:i w:val="0"/>
          <w:color w:val="0A5250"/>
          <w:sz w:val="19"/>
        </w:rPr>
        <w:t>grantType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may be included as </w:t>
      </w:r>
      <w:r>
        <w:rPr>
          <w:rFonts w:ascii="Consolas" w:hAnsi="Consolas"/>
          <w:b/>
          <w:i w:val="0"/>
          <w:color w:val="0A5250"/>
          <w:sz w:val="19"/>
        </w:rPr>
        <w:t>"client_credentials"</w:t>
      </w:r>
      <w:r>
        <w:rPr>
          <w:rFonts w:ascii="Segoe UI" w:hAnsi="Segoe UI"/>
          <w:b w:val="0"/>
          <w:i w:val="0"/>
          <w:color w:val="3D4F51"/>
          <w:sz w:val="20"/>
        </w:rPr>
        <w:t>; it is the only grant supported and may be omitted.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200 OK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{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"access_token": "eyJhbGciOiJIUzI1NiIsInR5cCI6IkpXVCJ9...",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"token_type": "Bearer",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"expires_in": 3600,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"expires_at_utc": "2026-08-14T16:05:36.999Z",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"roles": ["ETL"]</w:t>
      </w:r>
    </w:p>
    <w:p>
      <w:pPr>
        <w:spacing w:after="18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}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Error responses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Status</w:t>
            </w:r>
          </w:p>
        </w:tc>
        <w:tc>
          <w:tcPr>
            <w:tcW w:type="dxa" w:w="4896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400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clientId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or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clientSecret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missing, or an unsupported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grantType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401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Client id or secret is not valid, or the client is disabled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429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Too many failed attempts. The client id is locked out for a short period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500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Server-side signing configuration problem — contact LRN support</w:t>
            </w:r>
          </w:p>
        </w:tc>
      </w:tr>
    </w:tbl>
    <w:p>
      <w:pPr>
        <w:spacing w:after="80"/>
      </w:pP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Using and refreshing the token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Send it as a bearer token on every data request. A missing, expired or invalid token returns </w:t>
      </w:r>
      <w:r>
        <w:rPr>
          <w:rFonts w:ascii="Consolas" w:hAnsi="Consolas"/>
          <w:b/>
          <w:i w:val="0"/>
          <w:color w:val="0A5250"/>
          <w:sz w:val="19"/>
        </w:rPr>
        <w:t>401</w:t>
      </w:r>
      <w:r>
        <w:rPr>
          <w:rFonts w:ascii="Segoe UI" w:hAnsi="Segoe UI"/>
          <w:b w:val="0"/>
          <w:i w:val="0"/>
          <w:color w:val="3D4F51"/>
          <w:sz w:val="20"/>
        </w:rPr>
        <w:t xml:space="preserve"> with a JSON body explaining which. </w:t>
      </w:r>
    </w:p>
    <w:p>
      <w:pPr>
        <w:spacing w:after="18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Authorization: Bearer &lt;access_token&gt;</w:t>
      </w:r>
    </w:p>
    <w:p>
      <w:pPr>
        <w:spacing w:after="20" w:before="160"/>
        <w:ind w:left="173"/>
        <w:shd w:val="clear" w:color="auto" w:fill="E2F0EF"/>
        <w:pBdr>
          <w:left w:val="single" w:sz="18" w:space="8" w:color="0A5250"/>
        </w:pBdr>
      </w:pPr>
      <w:r>
        <w:rPr>
          <w:rFonts w:ascii="Consolas" w:hAnsi="Consolas"/>
          <w:b/>
          <w:i w:val="0"/>
          <w:caps/>
          <w:color w:val="0A5250"/>
          <w:sz w:val="15"/>
          <w:spacing w:val="12"/>
        </w:rPr>
        <w:t>Token lifecycle</w:t>
      </w:r>
    </w:p>
    <w:p>
      <w:pPr>
        <w:spacing w:after="200"/>
        <w:ind w:left="173"/>
        <w:shd w:val="clear" w:color="auto" w:fill="E2F0EF"/>
        <w:pBdr>
          <w:left w:val="single" w:sz="18" w:space="8" w:color="0A5250"/>
        </w:pBdr>
      </w:pPr>
      <w:r>
        <w:rPr>
          <w:rFonts w:ascii="Consolas" w:hAnsi="Consolas"/>
          <w:b/>
          <w:i w:val="0"/>
          <w:color w:val="0A5250"/>
          <w:sz w:val="18"/>
        </w:rPr>
        <w:t>expires_in</w:t>
      </w:r>
      <w:r>
        <w:rPr>
          <w:rFonts w:ascii="Segoe UI" w:hAnsi="Segoe UI"/>
          <w:b w:val="0"/>
          <w:i w:val="0"/>
          <w:color w:val="3D4F51"/>
          <w:sz w:val="19"/>
        </w:rPr>
        <w:t xml:space="preserve"> is seconds — one hour by default. </w:t>
      </w:r>
      <w:r>
        <w:rPr>
          <w:rFonts w:ascii="Segoe UI" w:hAnsi="Segoe UI"/>
          <w:b/>
          <w:i w:val="0"/>
          <w:color w:val="0F1A1C"/>
          <w:sz w:val="19"/>
        </w:rPr>
        <w:t>Cache the token and reuse it</w:t>
      </w:r>
      <w:r>
        <w:rPr>
          <w:rFonts w:ascii="Segoe UI" w:hAnsi="Segoe UI"/>
          <w:b w:val="0"/>
          <w:i w:val="0"/>
          <w:color w:val="3D4F51"/>
          <w:sz w:val="19"/>
        </w:rPr>
        <w:t xml:space="preserve">; do not request a new one per call. Re-request when it has under about five minutes left, or when a call returns </w:t>
      </w:r>
      <w:r>
        <w:rPr>
          <w:rFonts w:ascii="Consolas" w:hAnsi="Consolas"/>
          <w:b/>
          <w:i w:val="0"/>
          <w:color w:val="0A5250"/>
          <w:sz w:val="18"/>
        </w:rPr>
        <w:t>401</w:t>
      </w:r>
      <w:r>
        <w:rPr>
          <w:rFonts w:ascii="Segoe UI" w:hAnsi="Segoe UI"/>
          <w:b w:val="0"/>
          <w:i w:val="0"/>
          <w:color w:val="3D4F51"/>
          <w:sz w:val="19"/>
        </w:rPr>
        <w:t>. Repeated failed token requests will lock the client id out temporarily.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Worked example</w:t>
      </w:r>
    </w:p>
    <w:p>
      <w:pPr>
        <w:spacing w:after="20" w:before="160"/>
      </w:pPr>
      <w:r>
        <w:rPr>
          <w:rFonts w:ascii="Consolas" w:hAnsi="Consolas"/>
          <w:b/>
          <w:i w:val="0"/>
          <w:caps/>
          <w:color w:val="64777A"/>
          <w:sz w:val="15"/>
          <w:spacing w:val="12"/>
        </w:rPr>
        <w:t>curl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TOKEN=$(curl -s -X POST https://&lt;host&gt;/LRNApi/api/auth/token \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-H "Content-Type: application/json" \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-d '{"clientId":"your-client-id","clientSecret":"your-client-secret"}' \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| jq -r .access_token)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curl -s "https://&lt;host&gt;/LRNApi/api/analytics/cpt-lookup?windowType=YTD&amp;pageSize=100" \</w:t>
      </w:r>
    </w:p>
    <w:p>
      <w:pPr>
        <w:spacing w:after="18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-H "Authorization: Bearer $TOKEN"</w:t>
      </w:r>
    </w:p>
    <w:p>
      <w:pPr>
        <w:spacing w:after="20" w:before="160"/>
      </w:pPr>
      <w:r>
        <w:rPr>
          <w:rFonts w:ascii="Consolas" w:hAnsi="Consolas"/>
          <w:b/>
          <w:i w:val="0"/>
          <w:caps/>
          <w:color w:val="64777A"/>
          <w:sz w:val="15"/>
          <w:spacing w:val="12"/>
        </w:rPr>
        <w:t>Python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import requests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BASE = "https://&lt;host&gt;/LRNApi"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token = requests.post(f"{BASE}/api/auth/token", json={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"clientId": "your-client-id",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"clientSecret": "your-client-secret",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}, timeout=30).json()["access_token"]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headers = {"Authorization": f"Bearer {token}"}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page = 1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# Page sequentially off totalPages, not a fixed count.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while True: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r = requests.get(f"{BASE}/api/analytics/cpt-lookup",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                 params={"windowType": "YTD", "page": page, "pageSize": 500},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                 headers=headers, timeout=120)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r.raise_for_status()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body = r.json()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for row in body["items"]: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    ...  # handle row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if page &gt;= body["totalPages"]: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    break</w:t>
      </w:r>
    </w:p>
    <w:p>
      <w:pPr>
        <w:spacing w:after="18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page += 1</w:t>
      </w:r>
    </w:p>
    <w:p>
      <w:pPr>
        <w:spacing w:after="20" w:before="160"/>
      </w:pPr>
      <w:r>
        <w:rPr>
          <w:rFonts w:ascii="Consolas" w:hAnsi="Consolas"/>
          <w:b/>
          <w:i w:val="0"/>
          <w:caps/>
          <w:color w:val="64777A"/>
          <w:sz w:val="15"/>
          <w:spacing w:val="12"/>
        </w:rPr>
        <w:t>C#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using var http = new HttpClient { BaseAddress = new Uri("https://&lt;host&gt;/LRNApi/") };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var auth = await http.PostAsJsonAsync("api/auth/token", new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{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clientId = "your-client-id",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clientSecret = "your-client-secret"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});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var token = (await auth.Content.ReadFromJsonAsync&lt;JsonElement&gt;())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.GetProperty("access_token").GetString();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http.DefaultRequestHeaders.Authorization = new AuthenticationHeaderValue("Bearer", token);</w:t>
      </w:r>
    </w:p>
    <w:p>
      <w:pPr>
        <w:spacing w:after="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var rows = await http.GetFromJsonAsync&lt;JsonElement&gt;(</w:t>
      </w:r>
    </w:p>
    <w:p>
      <w:pPr>
        <w:spacing w:after="18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 xml:space="preserve">    "api/analytics/cpt-lookup?windowType=YTD&amp;pageSize=500");</w:t>
      </w:r>
    </w:p>
    <w:p>
      <w:pPr>
        <w:pStyle w:val="Heading1"/>
        <w:spacing w:before="320" w:after="80"/>
        <w:keepNext/>
      </w:pPr>
      <w:r>
        <w:rPr>
          <w:rFonts w:ascii="Consolas" w:hAnsi="Consolas"/>
          <w:b w:val="0"/>
          <w:i w:val="0"/>
          <w:color w:val="0A5250"/>
          <w:sz w:val="20"/>
        </w:rPr>
        <w:t xml:space="preserve">02  </w:t>
      </w:r>
      <w:r>
        <w:rPr>
          <w:rFonts w:ascii="Georgia" w:hAnsi="Georgia"/>
          <w:b/>
          <w:i w:val="0"/>
          <w:color w:val="0F1A1C"/>
          <w:sz w:val="34"/>
        </w:rPr>
        <w:t>Conventions</w:t>
      </w:r>
    </w:p>
    <w:p>
      <w:pPr>
        <w:spacing w:after="220"/>
      </w:pPr>
      <w:r>
        <w:rPr>
          <w:rFonts w:ascii="Segoe UI" w:hAnsi="Segoe UI"/>
          <w:b w:val="0"/>
          <w:i w:val="0"/>
          <w:color w:val="3D4F51"/>
          <w:sz w:val="21"/>
        </w:rPr>
        <w:t>These hold across every endpoint in this guide.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Paging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List endpoints take </w:t>
      </w:r>
      <w:r>
        <w:rPr>
          <w:rFonts w:ascii="Consolas" w:hAnsi="Consolas"/>
          <w:b/>
          <w:i w:val="0"/>
          <w:color w:val="0A5250"/>
          <w:sz w:val="19"/>
        </w:rPr>
        <w:t>page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(1-based) and </w:t>
      </w:r>
      <w:r>
        <w:rPr>
          <w:rFonts w:ascii="Consolas" w:hAnsi="Consolas"/>
          <w:b/>
          <w:i w:val="0"/>
          <w:color w:val="0A5250"/>
          <w:sz w:val="19"/>
        </w:rPr>
        <w:t>pageSize</w:t>
      </w:r>
      <w:r>
        <w:rPr>
          <w:rFonts w:ascii="Segoe UI" w:hAnsi="Segoe UI"/>
          <w:b w:val="0"/>
          <w:i w:val="0"/>
          <w:color w:val="3D4F51"/>
          <w:sz w:val="20"/>
        </w:rPr>
        <w:t>, and return an envelope:</w:t>
      </w:r>
    </w:p>
    <w:p>
      <w:pPr>
        <w:spacing w:after="18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{ "items": [ ... ], "page": 1, "pageSize": 50, "totalCount": 1234, "totalPages": 25 }</w:t>
      </w:r>
    </w:p>
    <w:p>
      <w:r>
        <w:rPr>
          <w:rFonts w:ascii="Consolas" w:hAnsi="Consolas"/>
          <w:b/>
          <w:i w:val="0"/>
          <w:color w:val="0A5250"/>
          <w:sz w:val="19"/>
        </w:rPr>
        <w:t>pageSize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is clamped to </w:t>
      </w:r>
      <w:r>
        <w:rPr>
          <w:rFonts w:ascii="Segoe UI" w:hAnsi="Segoe UI"/>
          <w:b/>
          <w:i w:val="0"/>
          <w:color w:val="0F1A1C"/>
          <w:sz w:val="20"/>
        </w:rPr>
        <w:t>10–1000</w:t>
      </w:r>
      <w:r>
        <w:rPr>
          <w:rFonts w:ascii="Segoe UI" w:hAnsi="Segoe UI"/>
          <w:b w:val="0"/>
          <w:i w:val="0"/>
          <w:color w:val="3D4F51"/>
          <w:sz w:val="20"/>
        </w:rPr>
        <w:t xml:space="preserve"> on every list endpoint — a larger value is silently reduced and a smaller one silently raised to 10. Always page off </w:t>
      </w:r>
      <w:r>
        <w:rPr>
          <w:rFonts w:ascii="Consolas" w:hAnsi="Consolas"/>
          <w:b/>
          <w:i w:val="0"/>
          <w:color w:val="0A5250"/>
          <w:sz w:val="19"/>
        </w:rPr>
        <w:t>totalPages</w:t>
      </w:r>
      <w:r>
        <w:rPr>
          <w:rFonts w:ascii="Segoe UI" w:hAnsi="Segoe UI"/>
          <w:b w:val="0"/>
          <w:i w:val="0"/>
          <w:color w:val="3D4F51"/>
          <w:sz w:val="20"/>
        </w:rPr>
        <w:t xml:space="preserve"> rather than assuming a fixed count. 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Sorting and filtering</w:t>
      </w:r>
    </w:p>
    <w:p>
      <w:r>
        <w:rPr>
          <w:rFonts w:ascii="Consolas" w:hAnsi="Consolas"/>
          <w:b/>
          <w:i w:val="0"/>
          <w:color w:val="0A5250"/>
          <w:sz w:val="19"/>
        </w:rPr>
        <w:t>sortColumn</w:t>
      </w:r>
      <w:r>
        <w:rPr>
          <w:rFonts w:ascii="Segoe UI" w:hAnsi="Segoe UI"/>
          <w:b w:val="0"/>
          <w:i w:val="0"/>
          <w:color w:val="3D4F51"/>
          <w:sz w:val="20"/>
        </w:rPr>
        <w:t xml:space="preserve"> pairs with </w:t>
      </w:r>
      <w:r>
        <w:rPr>
          <w:rFonts w:ascii="Consolas" w:hAnsi="Consolas"/>
          <w:b/>
          <w:i w:val="0"/>
          <w:color w:val="0A5250"/>
          <w:sz w:val="19"/>
        </w:rPr>
        <w:t>sortDirection</w:t>
      </w:r>
      <w:r>
        <w:rPr>
          <w:rFonts w:ascii="Segoe UI" w:hAnsi="Segoe UI"/>
          <w:b w:val="0"/>
          <w:i w:val="0"/>
          <w:color w:val="3D4F51"/>
          <w:sz w:val="20"/>
        </w:rPr>
        <w:t xml:space="preserve"> (</w:t>
      </w:r>
      <w:r>
        <w:rPr>
          <w:rFonts w:ascii="Consolas" w:hAnsi="Consolas"/>
          <w:b/>
          <w:i w:val="0"/>
          <w:color w:val="0A5250"/>
          <w:sz w:val="19"/>
        </w:rPr>
        <w:t>asc</w:t>
      </w:r>
      <w:r>
        <w:rPr>
          <w:rFonts w:ascii="Segoe UI" w:hAnsi="Segoe UI"/>
          <w:b w:val="0"/>
          <w:i w:val="0"/>
          <w:color w:val="3D4F51"/>
          <w:sz w:val="20"/>
        </w:rPr>
        <w:t xml:space="preserve"> | </w:t>
      </w:r>
      <w:r>
        <w:rPr>
          <w:rFonts w:ascii="Consolas" w:hAnsi="Consolas"/>
          <w:b/>
          <w:i w:val="0"/>
          <w:color w:val="0A5250"/>
          <w:sz w:val="19"/>
        </w:rPr>
        <w:t>desc</w:t>
      </w:r>
      <w:r>
        <w:rPr>
          <w:rFonts w:ascii="Segoe UI" w:hAnsi="Segoe UI"/>
          <w:b w:val="0"/>
          <w:i w:val="0"/>
          <w:color w:val="3D4F51"/>
          <w:sz w:val="20"/>
        </w:rPr>
        <w:t xml:space="preserve">). Only the columns listed per endpoint are accepted; anything else falls back to that endpoint's default order. All filter parameters are optional and combine with AND — omitted or empty means no restriction, so leaving out </w:t>
      </w:r>
      <w:r>
        <w:rPr>
          <w:rFonts w:ascii="Consolas" w:hAnsi="Consolas"/>
          <w:b/>
          <w:i w:val="0"/>
          <w:color w:val="0A5250"/>
          <w:sz w:val="19"/>
        </w:rPr>
        <w:t>labId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returns every lab. 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Nulls</w:t>
      </w:r>
    </w:p>
    <w:p>
      <w:pPr>
        <w:spacing w:after="20" w:before="160"/>
        <w:ind w:left="173"/>
        <w:shd w:val="clear" w:color="auto" w:fill="E2F0EF"/>
        <w:pBdr>
          <w:left w:val="single" w:sz="18" w:space="8" w:color="0A5250"/>
        </w:pBdr>
      </w:pPr>
      <w:r>
        <w:rPr>
          <w:rFonts w:ascii="Consolas" w:hAnsi="Consolas"/>
          <w:b/>
          <w:i w:val="0"/>
          <w:caps/>
          <w:color w:val="0A5250"/>
          <w:sz w:val="15"/>
          <w:spacing w:val="12"/>
        </w:rPr>
        <w:t>Read this before modelling the data</w:t>
      </w:r>
    </w:p>
    <w:p>
      <w:pPr>
        <w:spacing w:after="200"/>
        <w:ind w:left="173"/>
        <w:shd w:val="clear" w:color="auto" w:fill="E2F0EF"/>
        <w:pBdr>
          <w:left w:val="single" w:sz="18" w:space="8" w:color="0A5250"/>
        </w:pBdr>
      </w:pPr>
      <w:r>
        <w:rPr>
          <w:rFonts w:ascii="Segoe UI" w:hAnsi="Segoe UI"/>
          <w:b w:val="0"/>
          <w:i w:val="0"/>
          <w:color w:val="3D4F51"/>
          <w:sz w:val="19"/>
        </w:rPr>
        <w:t xml:space="preserve">A </w:t>
      </w:r>
      <w:r>
        <w:rPr>
          <w:rFonts w:ascii="Consolas" w:hAnsi="Consolas"/>
          <w:b/>
          <w:i w:val="0"/>
          <w:color w:val="0A5250"/>
          <w:sz w:val="18"/>
        </w:rPr>
        <w:t>null</w:t>
      </w:r>
      <w:r>
        <w:rPr>
          <w:rFonts w:ascii="Segoe UI" w:hAnsi="Segoe UI"/>
          <w:b w:val="0"/>
          <w:i w:val="0"/>
          <w:color w:val="3D4F51"/>
          <w:sz w:val="19"/>
        </w:rPr>
        <w:t xml:space="preserve"> numeric means the value </w:t>
      </w:r>
      <w:r>
        <w:rPr>
          <w:rFonts w:ascii="Segoe UI" w:hAnsi="Segoe UI"/>
          <w:b/>
          <w:i w:val="0"/>
          <w:color w:val="0F1A1C"/>
          <w:sz w:val="19"/>
        </w:rPr>
        <w:t>does not exist</w:t>
      </w:r>
      <w:r>
        <w:rPr>
          <w:rFonts w:ascii="Segoe UI" w:hAnsi="Segoe UI"/>
          <w:b w:val="0"/>
          <w:i w:val="0"/>
          <w:color w:val="3D4F51"/>
          <w:sz w:val="19"/>
        </w:rPr>
        <w:t xml:space="preserve"> for that combination — not zero. Mode and median rates come from different source tables than the averages, and the payer names only partly overlap between them, so a missing rate on a row that has averages is normal rather than an error.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Errors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Status</w:t>
            </w:r>
          </w:p>
        </w:tc>
        <w:tc>
          <w:tcPr>
            <w:tcW w:type="dxa" w:w="4896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401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Unauthenticated — missing, expired or invalid token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403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Your token's role cannot view this resource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404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Unknown id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500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Server error. The response carries an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X-Correlation-ID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header — quote it to support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 w:val="0"/>
          <w:i w:val="0"/>
          <w:color w:val="3D4F51"/>
          <w:sz w:val="20"/>
        </w:rPr>
        <w:t>Dates are ISO-8601 UTC.</w:t>
      </w:r>
    </w:p>
    <w:p>
      <w:pPr>
        <w:pStyle w:val="Heading1"/>
        <w:spacing w:before="320" w:after="80"/>
        <w:keepNext/>
      </w:pPr>
      <w:r>
        <w:rPr>
          <w:rFonts w:ascii="Consolas" w:hAnsi="Consolas"/>
          <w:b w:val="0"/>
          <w:i w:val="0"/>
          <w:color w:val="0A5250"/>
          <w:sz w:val="20"/>
        </w:rPr>
        <w:t xml:space="preserve">03  </w:t>
      </w:r>
      <w:r>
        <w:rPr>
          <w:rFonts w:ascii="Georgia" w:hAnsi="Georgia"/>
          <w:b/>
          <w:i w:val="0"/>
          <w:color w:val="0F1A1C"/>
          <w:sz w:val="34"/>
        </w:rPr>
        <w:t>CPT &amp; Panel Lookup</w:t>
      </w:r>
    </w:p>
    <w:p>
      <w:pPr>
        <w:spacing w:after="220"/>
      </w:pPr>
      <w:r>
        <w:rPr>
          <w:rFonts w:ascii="Segoe UI" w:hAnsi="Segoe UI"/>
          <w:b w:val="0"/>
          <w:i w:val="0"/>
          <w:color w:val="3D4F51"/>
          <w:sz w:val="21"/>
        </w:rPr>
        <w:t xml:space="preserve">Reimbursement averages joined to mode and median rates. Windows are </w:t>
      </w:r>
      <w:r>
        <w:rPr>
          <w:rFonts w:ascii="Consolas" w:hAnsi="Consolas"/>
          <w:b/>
          <w:i w:val="0"/>
          <w:color w:val="0A5250"/>
          <w:sz w:val="20"/>
        </w:rPr>
        <w:t>YTD</w:t>
      </w:r>
      <w:r>
        <w:rPr>
          <w:rFonts w:ascii="Segoe UI" w:hAnsi="Segoe UI"/>
          <w:b w:val="0"/>
          <w:i w:val="0"/>
          <w:color w:val="3D4F51"/>
          <w:sz w:val="21"/>
        </w:rPr>
        <w:t xml:space="preserve">, </w:t>
      </w:r>
      <w:r>
        <w:rPr>
          <w:rFonts w:ascii="Consolas" w:hAnsi="Consolas"/>
          <w:b/>
          <w:i w:val="0"/>
          <w:color w:val="0A5250"/>
          <w:sz w:val="20"/>
        </w:rPr>
        <w:t>Rolling180</w:t>
      </w:r>
      <w:r>
        <w:rPr>
          <w:rFonts w:ascii="Segoe UI" w:hAnsi="Segoe UI"/>
          <w:b w:val="0"/>
          <w:i w:val="0"/>
          <w:color w:val="3D4F51"/>
          <w:sz w:val="21"/>
        </w:rPr>
        <w:t xml:space="preserve"> and </w:t>
      </w:r>
      <w:r>
        <w:rPr>
          <w:rFonts w:ascii="Consolas" w:hAnsi="Consolas"/>
          <w:b/>
          <w:i w:val="0"/>
          <w:color w:val="0A5250"/>
          <w:sz w:val="20"/>
        </w:rPr>
        <w:t>Rolling90</w:t>
      </w:r>
      <w:r>
        <w:rPr>
          <w:rFonts w:ascii="Segoe UI" w:hAnsi="Segoe UI"/>
          <w:b w:val="0"/>
          <w:i w:val="0"/>
          <w:color w:val="3D4F51"/>
          <w:sz w:val="21"/>
        </w:rPr>
        <w:t xml:space="preserve">; omit </w:t>
      </w:r>
      <w:r>
        <w:rPr>
          <w:rFonts w:ascii="Consolas" w:hAnsi="Consolas"/>
          <w:b/>
          <w:i w:val="0"/>
          <w:color w:val="0A5250"/>
          <w:sz w:val="20"/>
        </w:rPr>
        <w:t>windowType</w:t>
      </w:r>
      <w:r>
        <w:rPr>
          <w:rFonts w:ascii="Segoe UI" w:hAnsi="Segoe UI"/>
          <w:b w:val="0"/>
          <w:i w:val="0"/>
          <w:color w:val="3D4F51"/>
          <w:sz w:val="21"/>
        </w:rPr>
        <w:t xml:space="preserve"> to get all three. 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/api/analytics/cpt-lookup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>CPT-level rows, paged, with a summary computed over the whole filtered set.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Parameters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Parameter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Type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Notes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cptCode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Exact CPT code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panelName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Matches the payer display name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windowType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YTD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|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Rolling180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|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Rolling90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labId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Omit for all labs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sortColumn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See below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sortDirection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asc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|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desc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page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pageSize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Default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1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/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50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max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1000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Sortable columns</w:t>
      </w:r>
    </w:p>
    <w:p>
      <w:r>
        <w:rPr>
          <w:rFonts w:ascii="Consolas" w:hAnsi="Consolas"/>
          <w:b/>
          <w:i w:val="0"/>
          <w:color w:val="0A5250"/>
          <w:sz w:val="19"/>
        </w:rPr>
        <w:t>cptCode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panelName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payerDisplayName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windowType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labName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avgUnits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avgChargeAmountPerUnit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avgAllowedAmountPerUnit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avgPaidAmountPerUnit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medianPaidAmount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paidLineCount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totalLineCount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deniedLineCount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modeAllowedAmount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modeInsurancePaymentAmount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allowedAmountPerUnitMode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insurancePaymentPerUnitMode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medianAllowedAmount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medianInsurancePaymentAmount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allowedAmountPerUnitMedian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insurancePaymentPerUnitMedian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denialRate</w:t>
      </w:r>
      <w:r>
        <w:rPr>
          <w:rFonts w:ascii="Segoe UI" w:hAnsi="Segoe UI"/>
          <w:b w:val="0"/>
          <w:i w:val="0"/>
          <w:color w:val="3D4F51"/>
          <w:sz w:val="20"/>
        </w:rPr>
        <w:t>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Response fields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Field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Type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Notes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labId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labName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int, 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cptCode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panelName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payerDisplayName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payerCommonCode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globalPayerId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string, string, 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windowType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startDate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endDate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asOfDate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string, date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Window the figures cover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avgUnits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avgChargeAmountPerUnit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avgAllowedAmountPerUnit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avgPaidAmountPerUnit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avgPatientResponsibilityPerUnit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decimal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Per unit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medianPaidAmount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p25PaidAmount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p75PaidAmount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decimal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Paid distribution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paidLineCount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totalLineCount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deniedLineCount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adjustedLineCount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denialRate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decimal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Denied ÷ total as a percentage, 1 dp;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null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when there are no lines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modeAllowedAmount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modeInsurancePaymentAmount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allowedAmountPerUnitMode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insurancePaymentPerUnitMode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decimal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From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LabModes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medianAllowedAmount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medianInsurancePaymentAmount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allowedAmountPerUnitMedian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insurancePaymentPerUnitMedian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decimal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From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LabMedians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modeMatch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medianMatch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olor w:val="0F1A1C"/>
                <w:sz w:val="17"/>
              </w:rPr>
              <w:t>How the rate was resolved.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"payer"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= this payer's own rate;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"lab"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= the lab-wide fallback because no row exists for this payer;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null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= no rate at all</w:t>
            </w:r>
          </w:p>
        </w:tc>
      </w:tr>
    </w:tbl>
    <w:p>
      <w:pPr>
        <w:spacing w:after="80"/>
      </w:pPr>
    </w:p>
    <w:p>
      <w:pPr>
        <w:spacing w:after="20" w:before="160"/>
        <w:ind w:left="173"/>
        <w:shd w:val="clear" w:color="auto" w:fill="E2F0EF"/>
        <w:pBdr>
          <w:left w:val="single" w:sz="18" w:space="8" w:color="0A5250"/>
        </w:pBdr>
      </w:pPr>
      <w:r>
        <w:rPr>
          <w:rFonts w:ascii="Consolas" w:hAnsi="Consolas"/>
          <w:b/>
          <w:i w:val="0"/>
          <w:caps/>
          <w:color w:val="0A5250"/>
          <w:sz w:val="15"/>
          <w:spacing w:val="12"/>
        </w:rPr>
        <w:t>Interpreting modeMatch and medianMatch</w:t>
      </w:r>
    </w:p>
    <w:p>
      <w:pPr>
        <w:spacing w:after="200"/>
        <w:ind w:left="173"/>
        <w:shd w:val="clear" w:color="auto" w:fill="E2F0EF"/>
        <w:pBdr>
          <w:left w:val="single" w:sz="18" w:space="8" w:color="0A5250"/>
        </w:pBdr>
      </w:pPr>
      <w:r>
        <w:rPr>
          <w:rFonts w:ascii="Segoe UI" w:hAnsi="Segoe UI"/>
          <w:b w:val="0"/>
          <w:i w:val="0"/>
          <w:color w:val="3D4F51"/>
          <w:sz w:val="19"/>
        </w:rPr>
        <w:t xml:space="preserve">Treat </w:t>
      </w:r>
      <w:r>
        <w:rPr>
          <w:rFonts w:ascii="Consolas" w:hAnsi="Consolas"/>
          <w:b/>
          <w:i w:val="0"/>
          <w:color w:val="0A5250"/>
          <w:sz w:val="18"/>
        </w:rPr>
        <w:t>"lab"</w:t>
      </w:r>
      <w:r>
        <w:rPr>
          <w:rFonts w:ascii="Segoe UI" w:hAnsi="Segoe UI"/>
          <w:b w:val="0"/>
          <w:i w:val="0"/>
          <w:color w:val="3D4F51"/>
          <w:sz w:val="19"/>
        </w:rPr>
        <w:t xml:space="preserve"> as materially less specific than </w:t>
      </w:r>
      <w:r>
        <w:rPr>
          <w:rFonts w:ascii="Consolas" w:hAnsi="Consolas"/>
          <w:b/>
          <w:i w:val="0"/>
          <w:color w:val="0A5250"/>
          <w:sz w:val="18"/>
        </w:rPr>
        <w:t>"payer"</w:t>
      </w:r>
      <w:r>
        <w:rPr>
          <w:rFonts w:ascii="Segoe UI" w:hAnsi="Segoe UI"/>
          <w:b w:val="0"/>
          <w:i w:val="0"/>
          <w:color w:val="3D4F51"/>
          <w:sz w:val="19"/>
        </w:rPr>
        <w:t>. A lab-wide fallback rate is an average across every payer at that lab, so it should not be presented as that payer's negotiated rate.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The </w:t>
      </w:r>
      <w:r>
        <w:rPr>
          <w:rFonts w:ascii="Consolas" w:hAnsi="Consolas"/>
          <w:b/>
          <w:i w:val="0"/>
          <w:color w:val="0A5250"/>
          <w:sz w:val="19"/>
        </w:rPr>
        <w:t>summary</w:t>
      </w:r>
      <w:r>
        <w:rPr>
          <w:rFonts w:ascii="Segoe UI" w:hAnsi="Segoe UI"/>
          <w:b w:val="0"/>
          <w:i w:val="0"/>
          <w:color w:val="3D4F51"/>
          <w:sz w:val="20"/>
        </w:rPr>
        <w:t xml:space="preserve"> block carries </w:t>
      </w:r>
      <w:r>
        <w:rPr>
          <w:rFonts w:ascii="Consolas" w:hAnsi="Consolas"/>
          <w:b/>
          <w:i w:val="0"/>
          <w:color w:val="0A5250"/>
          <w:sz w:val="19"/>
        </w:rPr>
        <w:t>rowCount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avgAllowed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avgPaid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and </w:t>
      </w:r>
      <w:r>
        <w:rPr>
          <w:rFonts w:ascii="Consolas" w:hAnsi="Consolas"/>
          <w:b/>
          <w:i w:val="0"/>
          <w:color w:val="0A5250"/>
          <w:sz w:val="19"/>
        </w:rPr>
        <w:t>denialRate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computed over </w:t>
      </w:r>
      <w:r>
        <w:rPr>
          <w:rFonts w:ascii="Segoe UI" w:hAnsi="Segoe UI"/>
          <w:b/>
          <w:i w:val="0"/>
          <w:color w:val="0F1A1C"/>
          <w:sz w:val="20"/>
        </w:rPr>
        <w:t>every</w:t>
      </w:r>
      <w:r>
        <w:rPr>
          <w:rFonts w:ascii="Segoe UI" w:hAnsi="Segoe UI"/>
          <w:b w:val="0"/>
          <w:i w:val="0"/>
          <w:color w:val="3D4F51"/>
          <w:sz w:val="20"/>
        </w:rPr>
        <w:t xml:space="preserve"> row matching the filters, not just the current page.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/api/analytics/panel-lookup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 xml:space="preserve">Panel-level rows. Same parameters as the CPT endpoint, minus </w:t>
      </w:r>
      <w:r>
        <w:rPr>
          <w:rFonts w:ascii="Consolas" w:hAnsi="Consolas"/>
          <w:b/>
          <w:i w:val="0"/>
          <w:color w:val="0A5250"/>
          <w:sz w:val="17"/>
        </w:rPr>
        <w:t>cptCode</w:t>
      </w:r>
      <w:r>
        <w:rPr>
          <w:rFonts w:ascii="Segoe UI" w:hAnsi="Segoe UI"/>
          <w:b w:val="0"/>
          <w:i w:val="0"/>
          <w:color w:val="64777A"/>
          <w:sz w:val="18"/>
        </w:rPr>
        <w:t>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Sortable columns</w:t>
      </w:r>
    </w:p>
    <w:p>
      <w:r>
        <w:rPr>
          <w:rFonts w:ascii="Consolas" w:hAnsi="Consolas"/>
          <w:b/>
          <w:i w:val="0"/>
          <w:color w:val="0A5250"/>
          <w:sz w:val="19"/>
        </w:rPr>
        <w:t>panelName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payerDisplayName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windowType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labName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avgChargeAmount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avgAllowedAmount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medianPaidAmount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p25PaidAmount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p75PaidAmount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paidLineCount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totalLineCount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deniedLineCount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modeAllowedAmount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modeInsurancePaymentAmount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modeCptCount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denialRate</w:t>
      </w:r>
      <w:r>
        <w:rPr>
          <w:rFonts w:ascii="Segoe UI" w:hAnsi="Segoe UI"/>
          <w:b w:val="0"/>
          <w:i w:val="0"/>
          <w:color w:val="3D4F51"/>
          <w:sz w:val="20"/>
        </w:rPr>
        <w:t>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Response fields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Items carry </w:t>
      </w:r>
      <w:r>
        <w:rPr>
          <w:rFonts w:ascii="Consolas" w:hAnsi="Consolas"/>
          <w:b/>
          <w:i w:val="0"/>
          <w:color w:val="0A5250"/>
          <w:sz w:val="19"/>
        </w:rPr>
        <w:t>labId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labName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panelName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payerDisplayName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the window fields, </w:t>
      </w:r>
      <w:r>
        <w:rPr>
          <w:rFonts w:ascii="Consolas" w:hAnsi="Consolas"/>
          <w:b/>
          <w:i w:val="0"/>
          <w:color w:val="0A5250"/>
          <w:sz w:val="19"/>
        </w:rPr>
        <w:t>avgChargeAmount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avgAllowedAmount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avgPatientResponsibility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medianPaidAmount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p25PaidAmount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p75PaidAmount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the four line counts, </w:t>
      </w:r>
      <w:r>
        <w:rPr>
          <w:rFonts w:ascii="Consolas" w:hAnsi="Consolas"/>
          <w:b/>
          <w:i w:val="0"/>
          <w:color w:val="0A5250"/>
          <w:sz w:val="19"/>
        </w:rPr>
        <w:t>denialRate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modeAllowedAmount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modeInsurancePaymentAmount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modeCptCount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 and </w:t>
      </w:r>
      <w:r>
        <w:rPr>
          <w:rFonts w:ascii="Consolas" w:hAnsi="Consolas"/>
          <w:b/>
          <w:i w:val="0"/>
          <w:color w:val="0A5250"/>
          <w:sz w:val="19"/>
        </w:rPr>
        <w:t>modeMatch</w:t>
      </w:r>
      <w:r>
        <w:rPr>
          <w:rFonts w:ascii="Segoe UI" w:hAnsi="Segoe UI"/>
          <w:b w:val="0"/>
          <w:i w:val="0"/>
          <w:color w:val="3D4F51"/>
          <w:sz w:val="20"/>
        </w:rPr>
        <w:t>.</w:t>
      </w:r>
    </w:p>
    <w:p>
      <w:pPr>
        <w:spacing w:after="20" w:before="160"/>
        <w:ind w:left="173"/>
        <w:shd w:val="clear" w:color="auto" w:fill="E2F0EF"/>
        <w:pBdr>
          <w:left w:val="single" w:sz="18" w:space="8" w:color="0A5250"/>
        </w:pBdr>
      </w:pPr>
      <w:r>
        <w:rPr>
          <w:rFonts w:ascii="Consolas" w:hAnsi="Consolas"/>
          <w:b/>
          <w:i w:val="0"/>
          <w:caps/>
          <w:color w:val="0A5250"/>
          <w:sz w:val="15"/>
          <w:spacing w:val="12"/>
        </w:rPr>
        <w:t>Panel mode figures are derived</w:t>
      </w:r>
    </w:p>
    <w:p>
      <w:pPr>
        <w:spacing w:after="200"/>
        <w:ind w:left="173"/>
        <w:shd w:val="clear" w:color="auto" w:fill="E2F0EF"/>
        <w:pBdr>
          <w:left w:val="single" w:sz="18" w:space="8" w:color="0A5250"/>
        </w:pBdr>
      </w:pPr>
      <w:r>
        <w:rPr>
          <w:rFonts w:ascii="Consolas" w:hAnsi="Consolas"/>
          <w:b/>
          <w:i w:val="0"/>
          <w:color w:val="0A5250"/>
          <w:sz w:val="18"/>
        </w:rPr>
        <w:t>LabModes</w:t>
      </w:r>
      <w:r>
        <w:rPr>
          <w:rFonts w:ascii="Segoe UI" w:hAnsi="Segoe UI"/>
          <w:b w:val="0"/>
          <w:i w:val="0"/>
          <w:color w:val="3D4F51"/>
          <w:sz w:val="19"/>
        </w:rPr>
        <w:t xml:space="preserve"> is CPT-level, so panel mode figures are the </w:t>
      </w:r>
      <w:r>
        <w:rPr>
          <w:rFonts w:ascii="Segoe UI" w:hAnsi="Segoe UI"/>
          <w:b/>
          <w:i w:val="0"/>
          <w:color w:val="0F1A1C"/>
          <w:sz w:val="19"/>
        </w:rPr>
        <w:t>average of the per-CPT modes</w:t>
      </w:r>
      <w:r>
        <w:rPr>
          <w:rFonts w:ascii="Segoe UI" w:hAnsi="Segoe UI"/>
          <w:b w:val="0"/>
          <w:i w:val="0"/>
          <w:color w:val="3D4F51"/>
          <w:sz w:val="19"/>
        </w:rPr>
        <w:t xml:space="preserve"> across the panel. </w:t>
      </w:r>
      <w:r>
        <w:rPr>
          <w:rFonts w:ascii="Consolas" w:hAnsi="Consolas"/>
          <w:b/>
          <w:i w:val="0"/>
          <w:color w:val="0A5250"/>
          <w:sz w:val="18"/>
        </w:rPr>
        <w:t>modeCptCount</w:t>
      </w:r>
      <w:r>
        <w:rPr>
          <w:rFonts w:ascii="Segoe UI" w:hAnsi="Segoe UI"/>
          <w:b w:val="0"/>
          <w:i w:val="0"/>
          <w:color w:val="3D4F51"/>
          <w:sz w:val="19"/>
        </w:rPr>
        <w:t xml:space="preserve"> says how many CPTs that average covers — a value of 1 is not a broad panel rate.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/api/analytics/cpt-lookup/windows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 xml:space="preserve">Also: </w:t>
      </w:r>
      <w:r>
        <w:rPr>
          <w:rFonts w:ascii="Consolas" w:hAnsi="Consolas"/>
          <w:b/>
          <w:i w:val="0"/>
          <w:color w:val="0A5250"/>
          <w:sz w:val="17"/>
        </w:rPr>
        <w:t>/api/analytics/panel-lookup/windows</w:t>
      </w:r>
    </w:p>
    <w:p>
      <w:r>
        <w:rPr>
          <w:rFonts w:ascii="Segoe UI" w:hAnsi="Segoe UI"/>
          <w:b w:val="0"/>
          <w:i w:val="0"/>
          <w:color w:val="3D4F51"/>
          <w:sz w:val="20"/>
        </w:rPr>
        <w:t>Every window (</w:t>
      </w:r>
      <w:r>
        <w:rPr>
          <w:rFonts w:ascii="Consolas" w:hAnsi="Consolas"/>
          <w:b/>
          <w:i w:val="0"/>
          <w:color w:val="0A5250"/>
          <w:sz w:val="19"/>
        </w:rPr>
        <w:t>YTD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Rolling180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Rolling90</w:t>
      </w:r>
      <w:r>
        <w:rPr>
          <w:rFonts w:ascii="Segoe UI" w:hAnsi="Segoe UI"/>
          <w:b w:val="0"/>
          <w:i w:val="0"/>
          <w:color w:val="3D4F51"/>
          <w:sz w:val="20"/>
        </w:rPr>
        <w:t xml:space="preserve">) for one combination, for side-by-side comparison. Takes the same filters and returns a plain array of the row shape above — </w:t>
      </w:r>
      <w:r>
        <w:rPr>
          <w:rFonts w:ascii="Segoe UI" w:hAnsi="Segoe UI"/>
          <w:b/>
          <w:i w:val="0"/>
          <w:color w:val="0F1A1C"/>
          <w:sz w:val="20"/>
        </w:rPr>
        <w:t>not</w:t>
      </w:r>
      <w:r>
        <w:rPr>
          <w:rFonts w:ascii="Segoe UI" w:hAnsi="Segoe UI"/>
          <w:b w:val="0"/>
          <w:i w:val="0"/>
          <w:color w:val="3D4F51"/>
          <w:sz w:val="20"/>
        </w:rPr>
        <w:t xml:space="preserve"> the paged envelope.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/api/analytics/cpt-lookup/options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 xml:space="preserve">Also: </w:t>
      </w:r>
      <w:r>
        <w:rPr>
          <w:rFonts w:ascii="Consolas" w:hAnsi="Consolas"/>
          <w:b/>
          <w:i w:val="0"/>
          <w:color w:val="0A5250"/>
          <w:sz w:val="17"/>
        </w:rPr>
        <w:t>/api/analytics/panel-lookup/options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Autocomplete values. </w:t>
      </w:r>
      <w:r>
        <w:rPr>
          <w:rFonts w:ascii="Consolas" w:hAnsi="Consolas"/>
          <w:b/>
          <w:i w:val="0"/>
          <w:color w:val="0A5250"/>
          <w:sz w:val="19"/>
        </w:rPr>
        <w:t>field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is </w:t>
      </w:r>
      <w:r>
        <w:rPr>
          <w:rFonts w:ascii="Consolas" w:hAnsi="Consolas"/>
          <w:b/>
          <w:i w:val="0"/>
          <w:color w:val="0A5250"/>
          <w:sz w:val="19"/>
        </w:rPr>
        <w:t>cptCode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| </w:t>
      </w:r>
      <w:r>
        <w:rPr>
          <w:rFonts w:ascii="Consolas" w:hAnsi="Consolas"/>
          <w:b/>
          <w:i w:val="0"/>
          <w:color w:val="0A5250"/>
          <w:sz w:val="19"/>
        </w:rPr>
        <w:t>panelName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| </w:t>
      </w:r>
      <w:r>
        <w:rPr>
          <w:rFonts w:ascii="Consolas" w:hAnsi="Consolas"/>
          <w:b/>
          <w:i w:val="0"/>
          <w:color w:val="0A5250"/>
          <w:sz w:val="19"/>
        </w:rPr>
        <w:t>payer</w:t>
      </w:r>
      <w:r>
        <w:rPr>
          <w:rFonts w:ascii="Segoe UI" w:hAnsi="Segoe UI"/>
          <w:b w:val="0"/>
          <w:i w:val="0"/>
          <w:color w:val="3D4F51"/>
          <w:sz w:val="20"/>
        </w:rPr>
        <w:t xml:space="preserve"> (</w:t>
      </w:r>
      <w:r>
        <w:rPr>
          <w:rFonts w:ascii="Consolas" w:hAnsi="Consolas"/>
          <w:b/>
          <w:i w:val="0"/>
          <w:color w:val="0A5250"/>
          <w:sz w:val="19"/>
        </w:rPr>
        <w:t>panelName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| </w:t>
      </w:r>
      <w:r>
        <w:rPr>
          <w:rFonts w:ascii="Consolas" w:hAnsi="Consolas"/>
          <w:b/>
          <w:i w:val="0"/>
          <w:color w:val="0A5250"/>
          <w:sz w:val="19"/>
        </w:rPr>
        <w:t>payer</w:t>
      </w:r>
      <w:r>
        <w:rPr>
          <w:rFonts w:ascii="Segoe UI" w:hAnsi="Segoe UI"/>
          <w:b w:val="0"/>
          <w:i w:val="0"/>
          <w:color w:val="3D4F51"/>
          <w:sz w:val="20"/>
        </w:rPr>
        <w:t xml:space="preserve"> on the panel endpoint), plus optional </w:t>
      </w:r>
      <w:r>
        <w:rPr>
          <w:rFonts w:ascii="Consolas" w:hAnsi="Consolas"/>
          <w:b/>
          <w:i w:val="0"/>
          <w:color w:val="0A5250"/>
          <w:sz w:val="19"/>
        </w:rPr>
        <w:t>term</w:t>
      </w:r>
      <w:r>
        <w:rPr>
          <w:rFonts w:ascii="Segoe UI" w:hAnsi="Segoe UI"/>
          <w:b w:val="0"/>
          <w:i w:val="0"/>
          <w:color w:val="3D4F51"/>
          <w:sz w:val="20"/>
        </w:rPr>
        <w:t xml:space="preserve"> and </w:t>
      </w:r>
      <w:r>
        <w:rPr>
          <w:rFonts w:ascii="Consolas" w:hAnsi="Consolas"/>
          <w:b/>
          <w:i w:val="0"/>
          <w:color w:val="0A5250"/>
          <w:sz w:val="19"/>
        </w:rPr>
        <w:t>labId</w:t>
      </w:r>
      <w:r>
        <w:rPr>
          <w:rFonts w:ascii="Segoe UI" w:hAnsi="Segoe UI"/>
          <w:b w:val="0"/>
          <w:i w:val="0"/>
          <w:color w:val="3D4F51"/>
          <w:sz w:val="20"/>
        </w:rPr>
        <w:t>. Returns a JSON array of strings.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/api/analytics/lookup-labs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>Labs that have averages data.</w:t>
      </w:r>
    </w:p>
    <w:p>
      <w:pPr>
        <w:spacing w:after="180" w:before="0"/>
        <w:ind w:left="173"/>
        <w:shd w:val="clear" w:color="auto" w:fill="F1F5F5"/>
      </w:pPr>
      <w:r>
        <w:rPr>
          <w:rFonts w:ascii="Consolas" w:hAnsi="Consolas"/>
          <w:b w:val="0"/>
          <w:i w:val="0"/>
          <w:color w:val="0F1A1C"/>
          <w:sz w:val="17"/>
        </w:rPr>
        <w:t>[{ "labId": 4, "labName": "Cove" }, ...]</w:t>
      </w:r>
    </w:p>
    <w:p>
      <w:pPr>
        <w:spacing w:after="20" w:before="160"/>
        <w:ind w:left="173"/>
        <w:shd w:val="clear" w:color="auto" w:fill="FAE3DF"/>
        <w:pBdr>
          <w:left w:val="single" w:sz="18" w:space="8" w:color="A33020"/>
        </w:pBdr>
      </w:pPr>
      <w:r>
        <w:rPr>
          <w:rFonts w:ascii="Consolas" w:hAnsi="Consolas"/>
          <w:b/>
          <w:i w:val="0"/>
          <w:caps/>
          <w:color w:val="A33020"/>
          <w:sz w:val="15"/>
          <w:spacing w:val="12"/>
        </w:rPr>
        <w:t>Lab names are not unique</w:t>
      </w:r>
    </w:p>
    <w:p>
      <w:pPr>
        <w:spacing w:after="200"/>
        <w:ind w:left="173"/>
        <w:shd w:val="clear" w:color="auto" w:fill="FAE3DF"/>
        <w:pBdr>
          <w:left w:val="single" w:sz="18" w:space="8" w:color="A33020"/>
        </w:pBdr>
      </w:pPr>
      <w:r>
        <w:rPr>
          <w:rFonts w:ascii="Segoe UI" w:hAnsi="Segoe UI"/>
          <w:b w:val="0"/>
          <w:i w:val="0"/>
          <w:color w:val="3D4F51"/>
          <w:sz w:val="19"/>
        </w:rPr>
        <w:t xml:space="preserve">Two different </w:t>
      </w:r>
      <w:r>
        <w:rPr>
          <w:rFonts w:ascii="Consolas" w:hAnsi="Consolas"/>
          <w:b/>
          <w:i w:val="0"/>
          <w:color w:val="0A5250"/>
          <w:sz w:val="18"/>
        </w:rPr>
        <w:t>labId</w:t>
      </w:r>
      <w:r>
        <w:rPr>
          <w:rFonts w:ascii="Segoe UI" w:hAnsi="Segoe UI"/>
          <w:b w:val="0"/>
          <w:i w:val="0"/>
          <w:color w:val="3D4F51"/>
          <w:sz w:val="19"/>
        </w:rPr>
        <w:t xml:space="preserve"> values can both be named "NorthWest". Always key on </w:t>
      </w:r>
      <w:r>
        <w:rPr>
          <w:rFonts w:ascii="Consolas" w:hAnsi="Consolas"/>
          <w:b/>
          <w:i w:val="0"/>
          <w:color w:val="0A5250"/>
          <w:sz w:val="18"/>
        </w:rPr>
        <w:t>labId</w:t>
      </w:r>
      <w:r>
        <w:rPr>
          <w:rFonts w:ascii="Segoe UI" w:hAnsi="Segoe UI"/>
          <w:b w:val="0"/>
          <w:i w:val="0"/>
          <w:color w:val="3D4F51"/>
          <w:sz w:val="19"/>
        </w:rPr>
        <w:t xml:space="preserve"> and treat the name as a display label only.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/api/analytics/lab-modes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 xml:space="preserve">Also: </w:t>
      </w:r>
      <w:r>
        <w:rPr>
          <w:rFonts w:ascii="Consolas" w:hAnsi="Consolas"/>
          <w:b/>
          <w:i w:val="0"/>
          <w:color w:val="0A5250"/>
          <w:sz w:val="17"/>
        </w:rPr>
        <w:t>/api/analytics/lab-medians</w:t>
      </w:r>
      <w:r>
        <w:rPr>
          <w:rFonts w:ascii="Segoe UI" w:hAnsi="Segoe UI"/>
          <w:b w:val="0"/>
          <w:i w:val="0"/>
          <w:color w:val="64777A"/>
          <w:sz w:val="18"/>
        </w:rPr>
        <w:t xml:space="preserve">, and </w:t>
      </w:r>
      <w:r>
        <w:rPr>
          <w:rFonts w:ascii="Consolas" w:hAnsi="Consolas"/>
          <w:b/>
          <w:i w:val="0"/>
          <w:color w:val="0A5250"/>
          <w:sz w:val="17"/>
        </w:rPr>
        <w:t>/api/analytics/labs</w:t>
      </w:r>
      <w:r>
        <w:rPr>
          <w:rFonts w:ascii="Segoe UI" w:hAnsi="Segoe UI"/>
          <w:b w:val="0"/>
          <w:i w:val="0"/>
          <w:color w:val="64777A"/>
          <w:sz w:val="18"/>
        </w:rPr>
        <w:t xml:space="preserve"> for the labs present in these two tables.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The rate tables exposed directly. Filters: </w:t>
      </w:r>
      <w:r>
        <w:rPr>
          <w:rFonts w:ascii="Consolas" w:hAnsi="Consolas"/>
          <w:b/>
          <w:i w:val="0"/>
          <w:color w:val="0A5250"/>
          <w:sz w:val="19"/>
        </w:rPr>
        <w:t>payerName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panelName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cptCode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labId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sortColumn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sortDirection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page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pageSize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(default 25).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Rows carry </w:t>
      </w:r>
      <w:r>
        <w:rPr>
          <w:rFonts w:ascii="Consolas" w:hAnsi="Consolas"/>
          <w:b/>
          <w:i w:val="0"/>
          <w:color w:val="0A5250"/>
          <w:sz w:val="19"/>
        </w:rPr>
        <w:t>payerName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panelName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cptCode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allowedAmount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insurancePayment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distinctAllowedPaymentCount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labName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plus </w:t>
      </w:r>
      <w:r>
        <w:rPr>
          <w:rFonts w:ascii="Consolas" w:hAnsi="Consolas"/>
          <w:b/>
          <w:i w:val="0"/>
          <w:color w:val="0A5250"/>
          <w:sz w:val="19"/>
        </w:rPr>
        <w:t>modeAllowedAmount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modeInsurancePaymentAmount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allowedAmountPerUnitMode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insurancePaymentPerUnitMode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for modes, or the </w:t>
      </w:r>
      <w:r>
        <w:rPr>
          <w:rFonts w:ascii="Consolas" w:hAnsi="Consolas"/>
          <w:b/>
          <w:i w:val="0"/>
          <w:color w:val="0A5250"/>
          <w:sz w:val="19"/>
        </w:rPr>
        <w:t>median*</w:t>
      </w:r>
      <w:r>
        <w:rPr>
          <w:rFonts w:ascii="Segoe UI" w:hAnsi="Segoe UI"/>
          <w:b w:val="0"/>
          <w:i w:val="0"/>
          <w:color w:val="3D4F51"/>
          <w:sz w:val="20"/>
        </w:rPr>
        <w:t xml:space="preserve"> equivalents for medians.</w:t>
      </w:r>
    </w:p>
    <w:p>
      <w:pPr>
        <w:pStyle w:val="Heading1"/>
        <w:spacing w:before="320" w:after="80"/>
        <w:keepNext/>
      </w:pPr>
      <w:r>
        <w:rPr>
          <w:rFonts w:ascii="Consolas" w:hAnsi="Consolas"/>
          <w:b w:val="0"/>
          <w:i w:val="0"/>
          <w:color w:val="0A5250"/>
          <w:sz w:val="20"/>
        </w:rPr>
        <w:t xml:space="preserve">04  </w:t>
      </w:r>
      <w:r>
        <w:rPr>
          <w:rFonts w:ascii="Georgia" w:hAnsi="Georgia"/>
          <w:b/>
          <w:i w:val="0"/>
          <w:color w:val="0F1A1C"/>
          <w:sz w:val="34"/>
        </w:rPr>
        <w:t>Payer Policy Insurance Master</w:t>
      </w:r>
    </w:p>
    <w:p>
      <w:pPr>
        <w:spacing w:after="220"/>
      </w:pPr>
      <w:r>
        <w:rPr>
          <w:rFonts w:ascii="Segoe UI" w:hAnsi="Segoe UI"/>
          <w:b w:val="0"/>
          <w:i w:val="0"/>
          <w:color w:val="3D4F51"/>
          <w:sz w:val="21"/>
        </w:rPr>
        <w:t xml:space="preserve">The global payer catalogue — one record per payer policy, independent of any lab. 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/api/master-values/payer-policy-insurance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>Paged list.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Parameters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Parameter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Type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Notes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search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Free text across the main name and code columns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globalPayerCode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payerName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payerShortCode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planType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payerState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globalPayerId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isActive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sortColumn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sortDirection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See below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page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pageSize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Default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1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/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25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Sortable columns</w:t>
      </w:r>
    </w:p>
    <w:p>
      <w:r>
        <w:rPr>
          <w:rFonts w:ascii="Consolas" w:hAnsi="Consolas"/>
          <w:b/>
          <w:i w:val="0"/>
          <w:color w:val="0A5250"/>
          <w:sz w:val="19"/>
        </w:rPr>
        <w:t>globalPayerId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globalPayerCode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payerGroupCode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benefitAdminCode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benefitAdministrator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payerNameRaw</w:t>
      </w:r>
      <w:r>
        <w:rPr>
          <w:rFonts w:ascii="Segoe UI" w:hAnsi="Segoe UI"/>
          <w:b w:val="0"/>
          <w:i w:val="0"/>
          <w:color w:val="3D4F51"/>
          <w:sz w:val="20"/>
        </w:rPr>
        <w:t xml:space="preserve"> (or </w:t>
      </w:r>
      <w:r>
        <w:rPr>
          <w:rFonts w:ascii="Consolas" w:hAnsi="Consolas"/>
          <w:b/>
          <w:i w:val="0"/>
          <w:color w:val="0A5250"/>
          <w:sz w:val="19"/>
        </w:rPr>
        <w:t>payerName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), </w:t>
      </w:r>
      <w:r>
        <w:rPr>
          <w:rFonts w:ascii="Consolas" w:hAnsi="Consolas"/>
          <w:b/>
          <w:i w:val="0"/>
          <w:color w:val="0A5250"/>
          <w:sz w:val="19"/>
        </w:rPr>
        <w:t>payerNameNormalized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payerShortCode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planType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payerState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isActive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remarks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payerFamily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payerFamilySource</w:t>
      </w:r>
      <w:r>
        <w:rPr>
          <w:rFonts w:ascii="Segoe UI" w:hAnsi="Segoe UI"/>
          <w:b w:val="0"/>
          <w:i w:val="0"/>
          <w:color w:val="3D4F51"/>
          <w:sz w:val="20"/>
        </w:rPr>
        <w:t xml:space="preserve">. Default order is </w:t>
      </w:r>
      <w:r>
        <w:rPr>
          <w:rFonts w:ascii="Consolas" w:hAnsi="Consolas"/>
          <w:b/>
          <w:i w:val="0"/>
          <w:color w:val="0A5250"/>
          <w:sz w:val="19"/>
        </w:rPr>
        <w:t>ppInsuranceMasterId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descending.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Response fields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Field</w:t>
            </w:r>
          </w:p>
        </w:tc>
        <w:tc>
          <w:tcPr>
            <w:tcW w:type="dxa" w:w="4896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Type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ppInsuranceMasterId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 — primary key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globalPayerId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globalPayerCode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 — always present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payerGroupCode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benefitAdminCode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benefitAdministrator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payerNameRaw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payerNameNormalized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payerShortCode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planType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payerState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isActive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remarks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payerFamily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payerFamilySource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 — brand-family classification</w:t>
            </w:r>
          </w:p>
        </w:tc>
      </w:tr>
    </w:tbl>
    <w:p>
      <w:pPr>
        <w:spacing w:after="80"/>
      </w:pP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/api/master-values/payer-policy-insurance/{id}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 xml:space="preserve">One record by </w:t>
      </w:r>
      <w:r>
        <w:rPr>
          <w:rFonts w:ascii="Consolas" w:hAnsi="Consolas"/>
          <w:b/>
          <w:i w:val="0"/>
          <w:color w:val="0A5250"/>
          <w:sz w:val="17"/>
        </w:rPr>
        <w:t>ppInsuranceMasterId</w:t>
      </w:r>
      <w:r>
        <w:rPr>
          <w:rFonts w:ascii="Segoe UI" w:hAnsi="Segoe UI"/>
          <w:b w:val="0"/>
          <w:i w:val="0"/>
          <w:color w:val="64777A"/>
          <w:sz w:val="18"/>
        </w:rPr>
        <w:t xml:space="preserve">. Returns </w:t>
      </w:r>
      <w:r>
        <w:rPr>
          <w:rFonts w:ascii="Consolas" w:hAnsi="Consolas"/>
          <w:b/>
          <w:i w:val="0"/>
          <w:color w:val="0A5250"/>
          <w:sz w:val="17"/>
        </w:rPr>
        <w:t>404</w:t>
      </w:r>
      <w:r>
        <w:rPr>
          <w:rFonts w:ascii="Segoe UI" w:hAnsi="Segoe UI"/>
          <w:b w:val="0"/>
          <w:i w:val="0"/>
          <w:color w:val="64777A"/>
          <w:sz w:val="18"/>
        </w:rPr>
        <w:t xml:space="preserve"> when it does not exist.</w:t>
      </w:r>
    </w:p>
    <w:p>
      <w:pPr>
        <w:pStyle w:val="Heading1"/>
        <w:spacing w:before="320" w:after="80"/>
        <w:keepNext/>
      </w:pPr>
      <w:r>
        <w:rPr>
          <w:rFonts w:ascii="Consolas" w:hAnsi="Consolas"/>
          <w:b w:val="0"/>
          <w:i w:val="0"/>
          <w:color w:val="0A5250"/>
          <w:sz w:val="20"/>
        </w:rPr>
        <w:t xml:space="preserve">05  </w:t>
      </w:r>
      <w:r>
        <w:rPr>
          <w:rFonts w:ascii="Georgia" w:hAnsi="Georgia"/>
          <w:b/>
          <w:i w:val="0"/>
          <w:color w:val="0F1A1C"/>
          <w:sz w:val="34"/>
        </w:rPr>
        <w:t>Insurance Payer Master</w:t>
      </w:r>
    </w:p>
    <w:p>
      <w:pPr>
        <w:spacing w:after="220"/>
      </w:pPr>
      <w:r>
        <w:rPr>
          <w:rFonts w:ascii="Segoe UI" w:hAnsi="Segoe UI"/>
          <w:b w:val="0"/>
          <w:i w:val="0"/>
          <w:color w:val="3D4F51"/>
          <w:sz w:val="21"/>
        </w:rPr>
        <w:t xml:space="preserve">Lab-level payer records and how each maps to the global catalogue. 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/api/master-values/insurance-payers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>Paged list.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Parameters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Parameter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Type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Notes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search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Free text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labId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payerName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globalPayerId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isActive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mappingStatus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Mapped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|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Unmapped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|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Unmapped - Pending Review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|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No Match Found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sortColumn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sortDirection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See below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page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pageSize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Default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1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/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25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Sortable columns</w:t>
      </w:r>
    </w:p>
    <w:p>
      <w:r>
        <w:rPr>
          <w:rFonts w:ascii="Consolas" w:hAnsi="Consolas"/>
          <w:b/>
          <w:i w:val="0"/>
          <w:color w:val="0A5250"/>
          <w:sz w:val="19"/>
        </w:rPr>
        <w:t>payerCode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payerNameRaw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payerNameNormalized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globalPayerID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payerGroupCode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payerCommonCode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parent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planType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mcoType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payerState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isActive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benefitAdminCode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benefitAdministrator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labName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labState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labStateCode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remarks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mappingStatus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mappedSource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mappedBy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mappedOn</w:t>
      </w:r>
      <w:r>
        <w:rPr>
          <w:rFonts w:ascii="Segoe UI" w:hAnsi="Segoe UI"/>
          <w:b w:val="0"/>
          <w:i w:val="0"/>
          <w:color w:val="3D4F51"/>
          <w:sz w:val="20"/>
        </w:rPr>
        <w:t xml:space="preserve">. Default order is </w:t>
      </w:r>
      <w:r>
        <w:rPr>
          <w:rFonts w:ascii="Consolas" w:hAnsi="Consolas"/>
          <w:b/>
          <w:i w:val="0"/>
          <w:color w:val="0A5250"/>
          <w:sz w:val="19"/>
        </w:rPr>
        <w:t>labInsuranceMasterId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descending.</w:t>
      </w:r>
    </w:p>
    <w:p>
      <w:pPr>
        <w:pStyle w:val="Heading3"/>
        <w:spacing w:before="200" w:after="60"/>
        <w:keepNext/>
      </w:pPr>
      <w:r>
        <w:rPr>
          <w:rFonts w:ascii="Segoe UI" w:hAnsi="Segoe UI"/>
          <w:b/>
          <w:i w:val="0"/>
          <w:caps/>
          <w:color w:val="64777A"/>
          <w:sz w:val="16"/>
          <w:spacing w:val="12"/>
        </w:rPr>
        <w:t>Response fields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Field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Type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Notes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labInsuranceMasterId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Primary key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payerNameRaw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payerNameNormalized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globalPayerID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Link to the policy master. </w:t>
            </w:r>
            <w:r>
              <w:rPr>
                <w:rFonts w:ascii="Segoe UI" w:hAnsi="Segoe UI"/>
                <w:b/>
                <w:i w:val="0"/>
                <w:color w:val="0F1A1C"/>
                <w:sz w:val="17"/>
              </w:rPr>
              <w:t>null means unmapped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payerGroupCode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payerCommonCode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parent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planType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mcoType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payerState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isActive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benefitAdminCode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benefitAdministrator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remarks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labName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labId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labState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labStateCode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string, int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mappingStatus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mappedBy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mappedSource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mappedOn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string, date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mappedSource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is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System</w:t>
            </w:r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 xml:space="preserve"> or </w:t>
            </w:r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User</w:t>
            </w:r>
          </w:p>
        </w:tc>
      </w:tr>
    </w:tbl>
    <w:p>
      <w:pPr>
        <w:spacing w:after="80"/>
      </w:pPr>
    </w:p>
    <w:p>
      <w:pPr>
        <w:spacing w:after="20" w:before="160"/>
        <w:ind w:left="173"/>
        <w:shd w:val="clear" w:color="auto" w:fill="E2F0EF"/>
        <w:pBdr>
          <w:left w:val="single" w:sz="18" w:space="8" w:color="0A5250"/>
        </w:pBdr>
      </w:pPr>
      <w:r>
        <w:rPr>
          <w:rFonts w:ascii="Consolas" w:hAnsi="Consolas"/>
          <w:b/>
          <w:i w:val="0"/>
          <w:caps/>
          <w:color w:val="0A5250"/>
          <w:sz w:val="15"/>
          <w:spacing w:val="12"/>
        </w:rPr>
        <w:t>Joining the two masters</w:t>
      </w:r>
    </w:p>
    <w:p>
      <w:pPr>
        <w:spacing w:after="200"/>
        <w:ind w:left="173"/>
        <w:shd w:val="clear" w:color="auto" w:fill="E2F0EF"/>
        <w:pBdr>
          <w:left w:val="single" w:sz="18" w:space="8" w:color="0A5250"/>
        </w:pBdr>
      </w:pPr>
      <w:r>
        <w:rPr>
          <w:rFonts w:ascii="Segoe UI" w:hAnsi="Segoe UI"/>
          <w:b w:val="0"/>
          <w:i w:val="0"/>
          <w:color w:val="3D4F51"/>
          <w:sz w:val="19"/>
        </w:rPr>
        <w:t xml:space="preserve">Join </w:t>
      </w:r>
      <w:r>
        <w:rPr>
          <w:rFonts w:ascii="Consolas" w:hAnsi="Consolas"/>
          <w:b/>
          <w:i w:val="0"/>
          <w:color w:val="0A5250"/>
          <w:sz w:val="18"/>
        </w:rPr>
        <w:t>globalPayerID</w:t>
      </w:r>
      <w:r>
        <w:rPr>
          <w:rFonts w:ascii="Segoe UI" w:hAnsi="Segoe UI"/>
          <w:b w:val="0"/>
          <w:i w:val="0"/>
          <w:color w:val="3D4F51"/>
          <w:sz w:val="19"/>
        </w:rPr>
        <w:t xml:space="preserve"> here to </w:t>
      </w:r>
      <w:r>
        <w:rPr>
          <w:rFonts w:ascii="Consolas" w:hAnsi="Consolas"/>
          <w:b/>
          <w:i w:val="0"/>
          <w:color w:val="0A5250"/>
          <w:sz w:val="18"/>
        </w:rPr>
        <w:t>globalPayerId</w:t>
      </w:r>
      <w:r>
        <w:rPr>
          <w:rFonts w:ascii="Segoe UI" w:hAnsi="Segoe UI"/>
          <w:b w:val="0"/>
          <w:i w:val="0"/>
          <w:color w:val="3D4F51"/>
          <w:sz w:val="19"/>
        </w:rPr>
        <w:t xml:space="preserve"> on the payer policy master to resolve a lab payer to its global record.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/api/master-values/insurance-payers/{id}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 xml:space="preserve">One record by </w:t>
      </w:r>
      <w:r>
        <w:rPr>
          <w:rFonts w:ascii="Consolas" w:hAnsi="Consolas"/>
          <w:b/>
          <w:i w:val="0"/>
          <w:color w:val="0A5250"/>
          <w:sz w:val="17"/>
        </w:rPr>
        <w:t>labInsuranceMasterId</w:t>
      </w:r>
      <w:r>
        <w:rPr>
          <w:rFonts w:ascii="Segoe UI" w:hAnsi="Segoe UI"/>
          <w:b w:val="0"/>
          <w:i w:val="0"/>
          <w:color w:val="64777A"/>
          <w:sz w:val="18"/>
        </w:rPr>
        <w:t xml:space="preserve">. Returns </w:t>
      </w:r>
      <w:r>
        <w:rPr>
          <w:rFonts w:ascii="Consolas" w:hAnsi="Consolas"/>
          <w:b/>
          <w:i w:val="0"/>
          <w:color w:val="0A5250"/>
          <w:sz w:val="17"/>
        </w:rPr>
        <w:t>404</w:t>
      </w:r>
      <w:r>
        <w:rPr>
          <w:rFonts w:ascii="Segoe UI" w:hAnsi="Segoe UI"/>
          <w:b w:val="0"/>
          <w:i w:val="0"/>
          <w:color w:val="64777A"/>
          <w:sz w:val="18"/>
        </w:rPr>
        <w:t xml:space="preserve"> when it does not exist.</w:t>
      </w:r>
    </w:p>
    <w:p>
      <w:pPr>
        <w:spacing w:before="280" w:after="20"/>
        <w:ind w:left="144"/>
        <w:shd w:val="clear" w:color="auto" w:fill="E6EDED"/>
        <w:keepNext/>
      </w:pPr>
      <w:r>
        <w:rPr>
          <w:rFonts w:ascii="Consolas" w:hAnsi="Consolas"/>
          <w:b/>
          <w:i w:val="0"/>
          <w:color w:val="1A6647"/>
          <w:sz w:val="18"/>
        </w:rPr>
        <w:t xml:space="preserve">GET   </w:t>
      </w:r>
      <w:r>
        <w:rPr>
          <w:rFonts w:ascii="Consolas" w:hAnsi="Consolas"/>
          <w:b/>
          <w:i w:val="0"/>
          <w:color w:val="0F1A1C"/>
          <w:sz w:val="22"/>
        </w:rPr>
        <w:t>/api/master-values/insurance-payers/labs</w:t>
      </w:r>
    </w:p>
    <w:p>
      <w:pPr>
        <w:spacing w:after="140"/>
        <w:ind w:left="144"/>
        <w:shd w:val="clear" w:color="auto" w:fill="E6EDED"/>
      </w:pPr>
      <w:r>
        <w:rPr>
          <w:rFonts w:ascii="Segoe UI" w:hAnsi="Segoe UI"/>
          <w:b w:val="0"/>
          <w:i w:val="0"/>
          <w:color w:val="64777A"/>
          <w:sz w:val="18"/>
        </w:rPr>
        <w:t>Labs present in the payer master.</w:t>
      </w:r>
    </w:p>
    <w:p>
      <w:pPr>
        <w:pStyle w:val="Heading1"/>
        <w:spacing w:before="320" w:after="80"/>
        <w:keepNext/>
      </w:pPr>
      <w:r>
        <w:rPr>
          <w:rFonts w:ascii="Consolas" w:hAnsi="Consolas"/>
          <w:b w:val="0"/>
          <w:i w:val="0"/>
          <w:color w:val="0A5250"/>
          <w:sz w:val="20"/>
        </w:rPr>
        <w:t xml:space="preserve">06  </w:t>
      </w:r>
      <w:r>
        <w:rPr>
          <w:rFonts w:ascii="Georgia" w:hAnsi="Georgia"/>
          <w:b/>
          <w:i w:val="0"/>
          <w:color w:val="0F1A1C"/>
          <w:sz w:val="34"/>
        </w:rPr>
        <w:t>Practical notes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Access is read-only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Standard external credentials are issued with a view-only role. </w:t>
      </w:r>
      <w:r>
        <w:rPr>
          <w:rFonts w:ascii="Consolas" w:hAnsi="Consolas"/>
          <w:b/>
          <w:i w:val="0"/>
          <w:color w:val="0A5250"/>
          <w:sz w:val="19"/>
        </w:rPr>
        <w:t>POST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PUT</w:t>
      </w:r>
      <w:r>
        <w:rPr>
          <w:rFonts w:ascii="Segoe UI" w:hAnsi="Segoe UI"/>
          <w:b w:val="0"/>
          <w:i w:val="0"/>
          <w:color w:val="3D4F51"/>
          <w:sz w:val="20"/>
        </w:rPr>
        <w:t xml:space="preserve"> and import endpoints exist on these routes for internal use and will return </w:t>
      </w:r>
      <w:r>
        <w:rPr>
          <w:rFonts w:ascii="Consolas" w:hAnsi="Consolas"/>
          <w:b/>
          <w:i w:val="0"/>
          <w:color w:val="0A5250"/>
          <w:sz w:val="19"/>
        </w:rPr>
        <w:t>403</w:t>
      </w:r>
      <w:r>
        <w:rPr>
          <w:rFonts w:ascii="Segoe UI" w:hAnsi="Segoe UI"/>
          <w:b w:val="0"/>
          <w:i w:val="0"/>
          <w:color w:val="3D4F51"/>
          <w:sz w:val="20"/>
        </w:rPr>
        <w:t xml:space="preserve">. 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Lab scope</w:t>
      </w:r>
    </w:p>
    <w:p>
      <w:pPr>
        <w:spacing w:after="20" w:before="160"/>
        <w:ind w:left="173"/>
        <w:shd w:val="clear" w:color="auto" w:fill="FAE3DF"/>
        <w:pBdr>
          <w:left w:val="single" w:sz="18" w:space="8" w:color="A33020"/>
        </w:pBdr>
      </w:pPr>
      <w:r>
        <w:rPr>
          <w:rFonts w:ascii="Consolas" w:hAnsi="Consolas"/>
          <w:b/>
          <w:i w:val="0"/>
          <w:caps/>
          <w:color w:val="A33020"/>
          <w:sz w:val="15"/>
          <w:spacing w:val="12"/>
        </w:rPr>
        <w:t>Pass labId explicitly</w:t>
      </w:r>
    </w:p>
    <w:p>
      <w:pPr>
        <w:spacing w:after="200"/>
        <w:ind w:left="173"/>
        <w:shd w:val="clear" w:color="auto" w:fill="FAE3DF"/>
        <w:pBdr>
          <w:left w:val="single" w:sz="18" w:space="8" w:color="A33020"/>
        </w:pBdr>
      </w:pPr>
      <w:r>
        <w:rPr>
          <w:rFonts w:ascii="Segoe UI" w:hAnsi="Segoe UI"/>
          <w:b w:val="0"/>
          <w:i w:val="0"/>
          <w:color w:val="3D4F51"/>
          <w:sz w:val="19"/>
        </w:rPr>
        <w:t xml:space="preserve">Your token may name specific labs, but these endpoints do not currently filter by that — omitting </w:t>
      </w:r>
      <w:r>
        <w:rPr>
          <w:rFonts w:ascii="Consolas" w:hAnsi="Consolas"/>
          <w:b/>
          <w:i w:val="0"/>
          <w:color w:val="0A5250"/>
          <w:sz w:val="18"/>
        </w:rPr>
        <w:t>labId</w:t>
      </w:r>
      <w:r>
        <w:rPr>
          <w:rFonts w:ascii="Segoe UI" w:hAnsi="Segoe UI"/>
          <w:b w:val="0"/>
          <w:i w:val="0"/>
          <w:color w:val="3D4F51"/>
          <w:sz w:val="19"/>
        </w:rPr>
        <w:t xml:space="preserve"> returns rows for every lab. Pass it explicitly if you only want your own.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Volume and timeouts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color w:val="3D4F51"/>
          <w:sz w:val="20"/>
        </w:rPr>
        <w:t xml:space="preserve">An unfiltered CPT lookup spans every lab, payer and window and is large. Filter by </w:t>
      </w:r>
      <w:r>
        <w:rPr>
          <w:rFonts w:ascii="Consolas" w:hAnsi="Consolas"/>
          <w:b/>
          <w:i w:val="0"/>
          <w:color w:val="0A5250"/>
          <w:sz w:val="19"/>
        </w:rPr>
        <w:t>labId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and </w:t>
      </w:r>
      <w:r>
        <w:rPr>
          <w:rFonts w:ascii="Consolas" w:hAnsi="Consolas"/>
          <w:b/>
          <w:i w:val="0"/>
          <w:color w:val="0A5250"/>
          <w:sz w:val="19"/>
        </w:rPr>
        <w:t>windowType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where you can.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color w:val="3D4F51"/>
          <w:sz w:val="20"/>
        </w:rPr>
        <w:t xml:space="preserve">Use </w:t>
      </w:r>
      <w:r>
        <w:rPr>
          <w:rFonts w:ascii="Consolas" w:hAnsi="Consolas"/>
          <w:b/>
          <w:i w:val="0"/>
          <w:color w:val="0A5250"/>
          <w:sz w:val="19"/>
        </w:rPr>
        <w:t>pageSize</w:t>
      </w:r>
      <w:r>
        <w:rPr>
          <w:rFonts w:ascii="Segoe UI" w:hAnsi="Segoe UI"/>
          <w:b w:val="0"/>
          <w:i w:val="0"/>
          <w:color w:val="3D4F51"/>
          <w:sz w:val="20"/>
        </w:rPr>
        <w:t xml:space="preserve"> of 500–1000 and page </w:t>
      </w:r>
      <w:r>
        <w:rPr>
          <w:rFonts w:ascii="Segoe UI" w:hAnsi="Segoe UI"/>
          <w:b/>
          <w:i w:val="0"/>
          <w:color w:val="0F1A1C"/>
          <w:sz w:val="20"/>
        </w:rPr>
        <w:t>sequentially</w:t>
      </w:r>
      <w:r>
        <w:rPr>
          <w:rFonts w:ascii="Segoe UI" w:hAnsi="Segoe UI"/>
          <w:b w:val="0"/>
          <w:i w:val="0"/>
          <w:color w:val="3D4F51"/>
          <w:sz w:val="20"/>
        </w:rPr>
        <w:t>, not in parallel.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color w:val="3D4F51"/>
          <w:sz w:val="20"/>
        </w:rPr>
        <w:t>Broad queries can take tens of seconds. Set a client timeout of at least 120 seconds.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  <w:color w:val="3D4F51"/>
          <w:sz w:val="20"/>
        </w:rPr>
        <w:t xml:space="preserve">Retry </w:t>
      </w:r>
      <w:r>
        <w:rPr>
          <w:rFonts w:ascii="Consolas" w:hAnsi="Consolas"/>
          <w:b/>
          <w:i w:val="0"/>
          <w:color w:val="0A5250"/>
          <w:sz w:val="19"/>
        </w:rPr>
        <w:t>500</w:t>
      </w:r>
      <w:r>
        <w:rPr>
          <w:rFonts w:ascii="Segoe UI" w:hAnsi="Segoe UI"/>
          <w:b w:val="0"/>
          <w:i w:val="0"/>
          <w:color w:val="3D4F51"/>
          <w:sz w:val="20"/>
        </w:rPr>
        <w:t xml:space="preserve"> and </w:t>
      </w:r>
      <w:r>
        <w:rPr>
          <w:rFonts w:ascii="Consolas" w:hAnsi="Consolas"/>
          <w:b/>
          <w:i w:val="0"/>
          <w:color w:val="0A5250"/>
          <w:sz w:val="19"/>
        </w:rPr>
        <w:t>503</w:t>
      </w:r>
      <w:r>
        <w:rPr>
          <w:rFonts w:ascii="Segoe UI" w:hAnsi="Segoe UI"/>
          <w:b w:val="0"/>
          <w:i w:val="0"/>
          <w:color w:val="3D4F51"/>
          <w:sz w:val="20"/>
        </w:rPr>
        <w:t xml:space="preserve"> with exponential backoff. Do not retry </w:t>
      </w:r>
      <w:r>
        <w:rPr>
          <w:rFonts w:ascii="Consolas" w:hAnsi="Consolas"/>
          <w:b/>
          <w:i w:val="0"/>
          <w:color w:val="0A5250"/>
          <w:sz w:val="19"/>
        </w:rPr>
        <w:t>400</w:t>
      </w:r>
      <w:r>
        <w:rPr>
          <w:rFonts w:ascii="Segoe UI" w:hAnsi="Segoe UI"/>
          <w:b w:val="0"/>
          <w:i w:val="0"/>
          <w:color w:val="3D4F51"/>
          <w:sz w:val="20"/>
        </w:rPr>
        <w:t xml:space="preserve">, </w:t>
      </w:r>
      <w:r>
        <w:rPr>
          <w:rFonts w:ascii="Consolas" w:hAnsi="Consolas"/>
          <w:b/>
          <w:i w:val="0"/>
          <w:color w:val="0A5250"/>
          <w:sz w:val="19"/>
        </w:rPr>
        <w:t>401</w:t>
      </w:r>
      <w:r>
        <w:rPr>
          <w:rFonts w:ascii="Segoe UI" w:hAnsi="Segoe UI"/>
          <w:b w:val="0"/>
          <w:i w:val="0"/>
          <w:color w:val="3D4F51"/>
          <w:sz w:val="20"/>
        </w:rPr>
        <w:t xml:space="preserve"> or </w:t>
      </w:r>
      <w:r>
        <w:rPr>
          <w:rFonts w:ascii="Consolas" w:hAnsi="Consolas"/>
          <w:b/>
          <w:i w:val="0"/>
          <w:color w:val="0A5250"/>
          <w:sz w:val="19"/>
        </w:rPr>
        <w:t>403</w:t>
      </w:r>
      <w:r>
        <w:rPr>
          <w:rFonts w:ascii="Segoe UI" w:hAnsi="Segoe UI"/>
          <w:b w:val="0"/>
          <w:i w:val="0"/>
          <w:color w:val="3D4F51"/>
          <w:sz w:val="20"/>
        </w:rPr>
        <w:t>.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Schema stability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Fields may be </w:t>
      </w:r>
      <w:r>
        <w:rPr>
          <w:rFonts w:ascii="Segoe UI" w:hAnsi="Segoe UI"/>
          <w:b/>
          <w:i w:val="0"/>
          <w:color w:val="0F1A1C"/>
          <w:sz w:val="20"/>
        </w:rPr>
        <w:t>added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to responses without notice — deserialize tolerantly and ignore unknown properties. Removals and renames will be announced in advance. </w:t>
      </w:r>
    </w:p>
    <w:p>
      <w:pPr>
        <w:pStyle w:val="Heading2"/>
        <w:spacing w:before="320" w:after="80"/>
        <w:keepNext/>
      </w:pPr>
      <w:r>
        <w:rPr>
          <w:rFonts w:ascii="Segoe UI" w:hAnsi="Segoe UI"/>
          <w:b/>
          <w:i w:val="0"/>
          <w:color w:val="0F1A1C"/>
          <w:sz w:val="25"/>
        </w:rPr>
        <w:t>Support</w:t>
      </w:r>
    </w:p>
    <w:p>
      <w:r>
        <w:rPr>
          <w:rFonts w:ascii="Segoe UI" w:hAnsi="Segoe UI"/>
          <w:b w:val="0"/>
          <w:i w:val="0"/>
          <w:color w:val="3D4F51"/>
          <w:sz w:val="20"/>
        </w:rPr>
        <w:t xml:space="preserve">Quote the </w:t>
      </w:r>
      <w:r>
        <w:rPr>
          <w:rFonts w:ascii="Consolas" w:hAnsi="Consolas"/>
          <w:b/>
          <w:i w:val="0"/>
          <w:color w:val="0A5250"/>
          <w:sz w:val="19"/>
        </w:rPr>
        <w:t>X-Correlation-ID</w:t>
      </w:r>
      <w:r>
        <w:rPr>
          <w:rFonts w:ascii="Segoe UI" w:hAnsi="Segoe UI"/>
          <w:b w:val="0"/>
          <w:i w:val="0"/>
          <w:color w:val="3D4F51"/>
          <w:sz w:val="20"/>
        </w:rPr>
        <w:t xml:space="preserve"> response header, the endpoint, the exact query string and the UTC timestamp. </w:t>
      </w:r>
    </w:p>
    <w:p>
      <w:pPr>
        <w:pStyle w:val="Heading1"/>
        <w:spacing w:before="320" w:after="80"/>
        <w:keepNext/>
      </w:pPr>
      <w:r>
        <w:rPr>
          <w:rFonts w:ascii="Consolas" w:hAnsi="Consolas"/>
          <w:b w:val="0"/>
          <w:i w:val="0"/>
          <w:color w:val="0A5250"/>
          <w:sz w:val="20"/>
        </w:rPr>
        <w:t xml:space="preserve">07  </w:t>
      </w:r>
      <w:r>
        <w:rPr>
          <w:rFonts w:ascii="Georgia" w:hAnsi="Georgia"/>
          <w:b/>
          <w:i w:val="0"/>
          <w:color w:val="0F1A1C"/>
          <w:sz w:val="34"/>
        </w:rPr>
        <w:t>Endpoint summary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Method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Path</w:t>
            </w:r>
          </w:p>
        </w:tc>
        <w:tc>
          <w:tcPr>
            <w:tcW w:type="dxa" w:w="3264"/>
            <w:shd w:val="clear" w:color="auto" w:fill="E6EDED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i w:val="0"/>
                <w:caps/>
                <w:color w:val="64777A"/>
                <w:sz w:val="16"/>
                <w:spacing w:val="10"/>
              </w:rPr>
              <w:t>Returns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8A5312"/>
                <w:sz w:val="16"/>
              </w:rPr>
              <w:t>POST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/api/auth/token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Bearer token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/api/analytics/cpt-lookup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Paged CPT rows + summary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/api/analytics/cpt-lookup/windows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All windows for one combination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/api/analytics/cpt-lookup/options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Autocomplete values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/api/analytics/panel-lookup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Paged panel rows + summary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/api/analytics/panel-lookup/windows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All windows for one combination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/api/analytics/panel-lookup/options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Autocomplete values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/api/analytics/lookup-labs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Labs with averages data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/api/analytics/lab-modes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Paged mode rates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/api/analytics/lab-medians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Paged median rates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/api/analytics/labs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Labs in the rate tables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/api/master-values/payer-policy-insurance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Paged policy payers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/api/master-values/payer-policy-insurance/{id}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One policy payer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/api/master-values/insurance-payers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Paged lab payers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/api/master-values/insurance-payers/{id}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One lab payer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1A6647"/>
                <w:sz w:val="16"/>
              </w:rPr>
              <w:t>GET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i w:val="0"/>
                <w:color w:val="0A5250"/>
                <w:sz w:val="16"/>
              </w:rPr>
              <w:t>/api/master-values/insurance-payers/labs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 w:val="0"/>
                <w:i w:val="0"/>
                <w:color w:val="3D4F51"/>
                <w:sz w:val="17"/>
              </w:rPr>
              <w:t>Labs in the payer master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rFonts w:ascii="Segoe UI" w:hAnsi="Segoe UI"/>
          <w:b w:val="0"/>
          <w:i w:val="0"/>
          <w:color w:val="64777A"/>
          <w:sz w:val="17"/>
        </w:rPr>
        <w:t>LRN Analytics API integration guide  ·  Lab Revenue Navigator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Segoe UI" w:hAnsi="Segoe UI"/>
      <w:color w:val="3D4F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