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8"/>
          <w:szCs w:val="48"/>
        </w:rPr>
        <w:t xml:space="preserve">Plugin Stats</w:t>
      </w:r>
    </w:p>
    <w:p>
      <w:pPr>
        <w:spacing w:after="240"/>
      </w:pPr>
      <w:r>
        <w:rPr>
          <w:color w:val="555555"/>
          <w:sz w:val="32"/>
          <w:szCs w:val="32"/>
        </w:rPr>
        <w:t xml:space="preserve">Documentation de fonctionnement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shd w:fill="1F4E79" w:color="auto" w:val="clear"/>
            <w:tcMar>
              <w:top w:type="dxa" w:w="60"/>
              <w:left w:type="dxa" w:w="100"/>
              <w:bottom w:type="dxa" w:w="60"/>
              <w:right w:type="dxa" w:w="100"/>
            </w:tcMar>
          </w:tcPr>
          <w:p>
            <w:r>
              <w:rPr>
                <w:b/>
                <w:bCs/>
                <w:color w:val="FFFFFF"/>
              </w:rPr>
              <w:t xml:space="preserve">Élément</w:t>
            </w:r>
          </w:p>
        </w:tc>
        <w:tc>
          <w:tcPr>
            <w:tcW w:type="dxa" w:w="6638"/>
            <w:shd w:fill="1F4E79" w:color="auto" w:val="clear"/>
            <w:tcMar>
              <w:top w:type="dxa" w:w="60"/>
              <w:left w:type="dxa" w:w="100"/>
              <w:bottom w:type="dxa" w:w="60"/>
              <w:right w:type="dxa" w:w="100"/>
            </w:tcMar>
          </w:tcPr>
          <w:p>
            <w:r>
              <w:rPr>
                <w:b/>
                <w:bCs/>
                <w:color w:val="FFFFFF"/>
              </w:rPr>
              <w:t xml:space="preserve">Valeur</w:t>
            </w:r>
          </w:p>
        </w:tc>
      </w:tr>
      <w:tr>
        <w:trPr>
          <w:tblHeader w:val="off"/>
        </w:trPr>
        <w:tc>
          <w:tcPr>
            <w:tcW w:type="dxa" w:w="3000"/>
            <w:tcMar>
              <w:top w:type="dxa" w:w="60"/>
              <w:left w:type="dxa" w:w="100"/>
              <w:bottom w:type="dxa" w:w="60"/>
              <w:right w:type="dxa" w:w="100"/>
            </w:tcMar>
          </w:tcPr>
          <w:p>
            <w:r>
              <w:t xml:space="preserve">Plugin</w:t>
            </w:r>
          </w:p>
        </w:tc>
        <w:tc>
          <w:tcPr>
            <w:tcW w:type="dxa" w:w="6638"/>
            <w:tcMar>
              <w:top w:type="dxa" w:w="60"/>
              <w:left w:type="dxa" w:w="100"/>
              <w:bottom w:type="dxa" w:w="60"/>
              <w:right w:type="dxa" w:w="100"/>
            </w:tcMar>
          </w:tcPr>
          <w:p>
            <w:r>
              <w:rPr>
                <w:rFonts w:ascii="Consolas" w:cs="Consolas" w:eastAsia="Consolas" w:hAnsi="Consolas"/>
                <w:color w:val="444444"/>
                <w:sz w:val="20"/>
                <w:szCs w:val="20"/>
              </w:rPr>
              <w:t xml:space="preserve">stats</w:t>
            </w:r>
            <w:r>
              <w:t xml:space="preserve"> (menu Outils &gt; Stats)</w:t>
            </w:r>
          </w:p>
        </w:tc>
      </w:tr>
      <w:tr>
        <w:trPr>
          <w:tblHeader w:val="off"/>
        </w:trPr>
        <w:tc>
          <w:tcPr>
            <w:tcW w:type="dxa" w:w="3000"/>
            <w:tcMar>
              <w:top w:type="dxa" w:w="60"/>
              <w:left w:type="dxa" w:w="100"/>
              <w:bottom w:type="dxa" w:w="60"/>
              <w:right w:type="dxa" w:w="100"/>
            </w:tcMar>
          </w:tcPr>
          <w:p>
            <w:r>
              <w:t xml:space="preserve">Version</w:t>
            </w:r>
          </w:p>
        </w:tc>
        <w:tc>
          <w:tcPr>
            <w:tcW w:type="dxa" w:w="6638"/>
            <w:tcMar>
              <w:top w:type="dxa" w:w="60"/>
              <w:left w:type="dxa" w:w="100"/>
              <w:bottom w:type="dxa" w:w="60"/>
              <w:right w:type="dxa" w:w="100"/>
            </w:tcMar>
          </w:tcPr>
          <w:p>
            <w:r>
              <w:rPr>
                <w:b/>
                <w:bCs/>
              </w:rPr>
              <w:t xml:space="preserve">1.0.6</w:t>
            </w:r>
          </w:p>
        </w:tc>
      </w:tr>
      <w:tr>
        <w:trPr>
          <w:tblHeader w:val="off"/>
        </w:trPr>
        <w:tc>
          <w:tcPr>
            <w:tcW w:type="dxa" w:w="3000"/>
            <w:tcMar>
              <w:top w:type="dxa" w:w="60"/>
              <w:left w:type="dxa" w:w="100"/>
              <w:bottom w:type="dxa" w:w="60"/>
              <w:right w:type="dxa" w:w="100"/>
            </w:tcMar>
          </w:tcPr>
          <w:p>
            <w:r>
              <w:t xml:space="preserve">Compatibilité GLPI</w:t>
            </w:r>
          </w:p>
        </w:tc>
        <w:tc>
          <w:tcPr>
            <w:tcW w:type="dxa" w:w="6638"/>
            <w:tcMar>
              <w:top w:type="dxa" w:w="60"/>
              <w:left w:type="dxa" w:w="100"/>
              <w:bottom w:type="dxa" w:w="60"/>
              <w:right w:type="dxa" w:w="100"/>
            </w:tcMar>
          </w:tcPr>
          <w:p>
            <w:r>
              <w:t xml:space="preserve">11.0.0 à 11.0.99</w:t>
            </w:r>
          </w:p>
        </w:tc>
      </w:tr>
      <w:tr>
        <w:trPr>
          <w:tblHeader w:val="off"/>
        </w:trPr>
        <w:tc>
          <w:tcPr>
            <w:tcW w:type="dxa" w:w="3000"/>
            <w:tcMar>
              <w:top w:type="dxa" w:w="60"/>
              <w:left w:type="dxa" w:w="100"/>
              <w:bottom w:type="dxa" w:w="60"/>
              <w:right w:type="dxa" w:w="100"/>
            </w:tcMar>
          </w:tcPr>
          <w:p>
            <w:r>
              <w:t xml:space="preserve">Auteur</w:t>
            </w:r>
          </w:p>
        </w:tc>
        <w:tc>
          <w:tcPr>
            <w:tcW w:type="dxa" w:w="6638"/>
            <w:tcMar>
              <w:top w:type="dxa" w:w="60"/>
              <w:left w:type="dxa" w:w="100"/>
              <w:bottom w:type="dxa" w:w="60"/>
              <w:right w:type="dxa" w:w="100"/>
            </w:tcMar>
          </w:tcPr>
          <w:p>
            <w:r>
              <w:t xml:space="preserve">REINERT Joris</w:t>
            </w:r>
          </w:p>
        </w:tc>
      </w:tr>
      <w:tr>
        <w:trPr>
          <w:tblHeader w:val="off"/>
        </w:trPr>
        <w:tc>
          <w:tcPr>
            <w:tcW w:type="dxa" w:w="3000"/>
            <w:tcMar>
              <w:top w:type="dxa" w:w="60"/>
              <w:left w:type="dxa" w:w="100"/>
              <w:bottom w:type="dxa" w:w="60"/>
              <w:right w:type="dxa" w:w="100"/>
            </w:tcMar>
          </w:tcPr>
          <w:p>
            <w:r>
              <w:t xml:space="preserve">Mise à jour du document</w:t>
            </w:r>
          </w:p>
        </w:tc>
        <w:tc>
          <w:tcPr>
            <w:tcW w:type="dxa" w:w="6638"/>
            <w:tcMar>
              <w:top w:type="dxa" w:w="60"/>
              <w:left w:type="dxa" w:w="100"/>
              <w:bottom w:type="dxa" w:w="60"/>
              <w:right w:type="dxa" w:w="100"/>
            </w:tcMar>
          </w:tcPr>
          <w:p>
            <w:r>
              <w:t xml:space="preserve">06/10/2026</w:t>
            </w:r>
          </w:p>
        </w:tc>
      </w:tr>
    </w:tbl>
    <w:p>
      <w:pPr>
        <w:spacing w:after="120"/>
      </w:pPr>
    </w:p>
    <w:p>
      <w:pPr>
        <w:pStyle w:val="Heading1"/>
      </w:pPr>
      <w:r>
        <w:t xml:space="preserve">1. Objectif du plugin</w:t>
      </w:r>
    </w:p>
    <w:p>
      <w:pPr>
        <w:spacing w:after="120"/>
      </w:pPr>
      <w:r>
        <w:t xml:space="preserve">Le plugin Stats regroupe, dans une seule page à onglets, les tableaux de bord d'exploitation du support : temps passé sur les tickets, consommation des crédits, satisfaction client, signature des rapports d'intervention et des bons de livraison.</w:t>
      </w:r>
    </w:p>
    <w:p>
      <w:pPr>
        <w:spacing w:after="120"/>
      </w:pPr>
      <w:r>
        <w:t xml:space="preserve">Il ajoute aussi une liste de travail, « Rapports hotline à générer », qui recense les tickets facturés en crédit qui n'ont pas encore leur rapport hotline, et permet de produire ces rapports un par un ou en masse.</w:t>
      </w:r>
    </w:p>
    <w:p>
      <w:pPr>
        <w:spacing w:after="120"/>
      </w:pPr>
      <w:r>
        <w:t xml:space="preserve">Chaque onglet n'apparaît que si le plugin qui fournit ses données est installé et actif, et si le profil de l'utilisateur a le droit correspondant.</w:t>
      </w:r>
    </w:p>
    <w:p>
      <w:pPr>
        <w:pStyle w:val="Heading1"/>
      </w:pPr>
      <w:r>
        <w:t xml:space="preserve">2. Onglets et prérequis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638"/>
        <w:gridCol w:w="2500"/>
      </w:tblGrid>
      <w:tr>
        <w:trPr>
          <w:tblHeader/>
        </w:trPr>
        <w:tc>
          <w:tcPr>
            <w:tcW w:type="dxa" w:w="2500"/>
            <w:shd w:fill="1F4E79" w:color="auto" w:val="clear"/>
            <w:tcMar>
              <w:top w:type="dxa" w:w="60"/>
              <w:left w:type="dxa" w:w="100"/>
              <w:bottom w:type="dxa" w:w="60"/>
              <w:right w:type="dxa" w:w="100"/>
            </w:tcMar>
          </w:tcPr>
          <w:p>
            <w:r>
              <w:rPr>
                <w:b/>
                <w:bCs/>
                <w:color w:val="FFFFFF"/>
              </w:rPr>
              <w:t xml:space="preserve">Onglet</w:t>
            </w:r>
          </w:p>
        </w:tc>
        <w:tc>
          <w:tcPr>
            <w:tcW w:type="dxa" w:w="4638"/>
            <w:shd w:fill="1F4E79" w:color="auto" w:val="clear"/>
            <w:tcMar>
              <w:top w:type="dxa" w:w="60"/>
              <w:left w:type="dxa" w:w="100"/>
              <w:bottom w:type="dxa" w:w="60"/>
              <w:right w:type="dxa" w:w="100"/>
            </w:tcMar>
          </w:tcPr>
          <w:p>
            <w:r>
              <w:rPr>
                <w:b/>
                <w:bCs/>
                <w:color w:val="FFFFFF"/>
              </w:rPr>
              <w:t xml:space="preserve">Ce qu’il montre</w:t>
            </w:r>
          </w:p>
        </w:tc>
        <w:tc>
          <w:tcPr>
            <w:tcW w:type="dxa" w:w="2500"/>
            <w:shd w:fill="1F4E79" w:color="auto" w:val="clear"/>
            <w:tcMar>
              <w:top w:type="dxa" w:w="60"/>
              <w:left w:type="dxa" w:w="100"/>
              <w:bottom w:type="dxa" w:w="60"/>
              <w:right w:type="dxa" w:w="100"/>
            </w:tcMar>
          </w:tcPr>
          <w:p>
            <w:r>
              <w:rPr>
                <w:b/>
                <w:bCs/>
                <w:color w:val="FFFFFF"/>
              </w:rPr>
              <w:t xml:space="preserve">Plugins requis</w:t>
            </w:r>
          </w:p>
        </w:tc>
      </w:tr>
      <w:tr>
        <w:trPr>
          <w:tblHeader w:val="off"/>
        </w:trPr>
        <w:tc>
          <w:tcPr>
            <w:tcW w:type="dxa" w:w="2500"/>
            <w:tcMar>
              <w:top w:type="dxa" w:w="60"/>
              <w:left w:type="dxa" w:w="100"/>
              <w:bottom w:type="dxa" w:w="60"/>
              <w:right w:type="dxa" w:w="100"/>
            </w:tcMar>
          </w:tcPr>
          <w:p>
            <w:r>
              <w:t xml:space="preserve">Stats crédits</w:t>
            </w:r>
          </w:p>
        </w:tc>
        <w:tc>
          <w:tcPr>
            <w:tcW w:type="dxa" w:w="4638"/>
            <w:tcMar>
              <w:top w:type="dxa" w:w="60"/>
              <w:left w:type="dxa" w:w="100"/>
              <w:bottom w:type="dxa" w:w="60"/>
              <w:right w:type="dxa" w:w="100"/>
            </w:tcMar>
          </w:tcPr>
          <w:p>
            <w:r>
              <w:t xml:space="preserve">Crédits vendus / consommés, dépassements, expirations, top clients et crédits</w:t>
            </w:r>
          </w:p>
        </w:tc>
        <w:tc>
          <w:tcPr>
            <w:tcW w:type="dxa" w:w="2500"/>
            <w:tcMar>
              <w:top w:type="dxa" w:w="60"/>
              <w:left w:type="dxa" w:w="100"/>
              <w:bottom w:type="dxa" w:w="60"/>
              <w:right w:type="dxa" w:w="100"/>
            </w:tcMar>
          </w:tcPr>
          <w:p>
            <w:r>
              <w:rPr>
                <w:rFonts w:ascii="Consolas" w:cs="Consolas" w:eastAsia="Consolas" w:hAnsi="Consolas"/>
                <w:color w:val="444444"/>
                <w:sz w:val="20"/>
                <w:szCs w:val="20"/>
              </w:rPr>
              <w:t xml:space="preserve">credit</w:t>
            </w:r>
            <w:r>
              <w:t xml:space="preserve"> + </w:t>
            </w:r>
            <w:r>
              <w:rPr>
                <w:rFonts w:ascii="Consolas" w:cs="Consolas" w:eastAsia="Consolas" w:hAnsi="Consolas"/>
                <w:color w:val="444444"/>
                <w:sz w:val="20"/>
                <w:szCs w:val="20"/>
              </w:rPr>
              <w:t xml:space="preserve">creditalert</w:t>
            </w:r>
          </w:p>
        </w:tc>
      </w:tr>
      <w:tr>
        <w:trPr>
          <w:tblHeader w:val="off"/>
        </w:trPr>
        <w:tc>
          <w:tcPr>
            <w:tcW w:type="dxa" w:w="2500"/>
            <w:tcMar>
              <w:top w:type="dxa" w:w="60"/>
              <w:left w:type="dxa" w:w="100"/>
              <w:bottom w:type="dxa" w:w="60"/>
              <w:right w:type="dxa" w:w="100"/>
            </w:tcMar>
          </w:tcPr>
          <w:p>
            <w:r>
              <w:t xml:space="preserve">Stats tickets</w:t>
            </w:r>
          </w:p>
        </w:tc>
        <w:tc>
          <w:tcPr>
            <w:tcW w:type="dxa" w:w="4638"/>
            <w:tcMar>
              <w:top w:type="dxa" w:w="60"/>
              <w:left w:type="dxa" w:w="100"/>
              <w:bottom w:type="dxa" w:w="60"/>
              <w:right w:type="dxa" w:w="100"/>
            </w:tcMar>
          </w:tcPr>
          <w:p>
            <w:r>
              <w:t xml:space="preserve">Temps tâche, temps crédit et temps de trajet, par entité et par technicien</w:t>
            </w:r>
          </w:p>
        </w:tc>
        <w:tc>
          <w:tcPr>
            <w:tcW w:type="dxa" w:w="2500"/>
            <w:tcMar>
              <w:top w:type="dxa" w:w="60"/>
              <w:left w:type="dxa" w:w="100"/>
              <w:bottom w:type="dxa" w:w="60"/>
              <w:right w:type="dxa" w:w="100"/>
            </w:tcMar>
          </w:tcPr>
          <w:p>
            <w:r>
              <w:t xml:space="preserve">aucun (</w:t>
            </w:r>
            <w:r>
              <w:rPr>
                <w:rFonts w:ascii="Consolas" w:cs="Consolas" w:eastAsia="Consolas" w:hAnsi="Consolas"/>
                <w:color w:val="444444"/>
                <w:sz w:val="20"/>
                <w:szCs w:val="20"/>
              </w:rPr>
              <w:t xml:space="preserve">rt</w:t>
            </w:r>
            <w:r>
              <w:t xml:space="preserve"> pour le temps de trajet)</w:t>
            </w:r>
          </w:p>
        </w:tc>
      </w:tr>
      <w:tr>
        <w:trPr>
          <w:tblHeader w:val="off"/>
        </w:trPr>
        <w:tc>
          <w:tcPr>
            <w:tcW w:type="dxa" w:w="2500"/>
            <w:tcMar>
              <w:top w:type="dxa" w:w="60"/>
              <w:left w:type="dxa" w:w="100"/>
              <w:bottom w:type="dxa" w:w="60"/>
              <w:right w:type="dxa" w:w="100"/>
            </w:tcMar>
          </w:tcPr>
          <w:p>
            <w:r>
              <w:t xml:space="preserve">Satisfaction</w:t>
            </w:r>
          </w:p>
        </w:tc>
        <w:tc>
          <w:tcPr>
            <w:tcW w:type="dxa" w:w="4638"/>
            <w:tcMar>
              <w:top w:type="dxa" w:w="60"/>
              <w:left w:type="dxa" w:w="100"/>
              <w:bottom w:type="dxa" w:w="60"/>
              <w:right w:type="dxa" w:w="100"/>
            </w:tcMar>
          </w:tcPr>
          <w:p>
            <w:r>
              <w:t xml:space="preserve">Notes et taux de satisfaction par entité et par technicien</w:t>
            </w:r>
          </w:p>
        </w:tc>
        <w:tc>
          <w:tcPr>
            <w:tcW w:type="dxa" w:w="2500"/>
            <w:tcMar>
              <w:top w:type="dxa" w:w="60"/>
              <w:left w:type="dxa" w:w="100"/>
              <w:bottom w:type="dxa" w:w="60"/>
              <w:right w:type="dxa" w:w="100"/>
            </w:tcMar>
          </w:tcPr>
          <w:p>
            <w:r>
              <w:rPr>
                <w:rFonts w:ascii="Consolas" w:cs="Consolas" w:eastAsia="Consolas" w:hAnsi="Consolas"/>
                <w:color w:val="444444"/>
                <w:sz w:val="20"/>
                <w:szCs w:val="20"/>
              </w:rPr>
              <w:t xml:space="preserve">satisfactionclient</w:t>
            </w:r>
          </w:p>
        </w:tc>
      </w:tr>
      <w:tr>
        <w:trPr>
          <w:tblHeader w:val="off"/>
        </w:trPr>
        <w:tc>
          <w:tcPr>
            <w:tcW w:type="dxa" w:w="2500"/>
            <w:tcMar>
              <w:top w:type="dxa" w:w="60"/>
              <w:left w:type="dxa" w:w="100"/>
              <w:bottom w:type="dxa" w:w="60"/>
              <w:right w:type="dxa" w:w="100"/>
            </w:tcMar>
          </w:tcPr>
          <w:p>
            <w:r>
              <w:t xml:space="preserve">Stats rapports</w:t>
            </w:r>
          </w:p>
        </w:tc>
        <w:tc>
          <w:tcPr>
            <w:tcW w:type="dxa" w:w="4638"/>
            <w:tcMar>
              <w:top w:type="dxa" w:w="60"/>
              <w:left w:type="dxa" w:w="100"/>
              <w:bottom w:type="dxa" w:w="60"/>
              <w:right w:type="dxa" w:w="100"/>
            </w:tcMar>
          </w:tcPr>
          <w:p>
            <w:r>
              <w:t xml:space="preserve">Rapports d’intervention signés, couverture des tickets travaillés</w:t>
            </w:r>
          </w:p>
        </w:tc>
        <w:tc>
          <w:tcPr>
            <w:tcW w:type="dxa" w:w="2500"/>
            <w:tcMar>
              <w:top w:type="dxa" w:w="60"/>
              <w:left w:type="dxa" w:w="100"/>
              <w:bottom w:type="dxa" w:w="60"/>
              <w:right w:type="dxa" w:w="100"/>
            </w:tcMar>
          </w:tcPr>
          <w:p>
            <w:r>
              <w:rPr>
                <w:rFonts w:ascii="Consolas" w:cs="Consolas" w:eastAsia="Consolas" w:hAnsi="Consolas"/>
                <w:color w:val="444444"/>
                <w:sz w:val="20"/>
                <w:szCs w:val="20"/>
              </w:rPr>
              <w:t xml:space="preserve">rp</w:t>
            </w:r>
          </w:p>
        </w:tc>
      </w:tr>
      <w:tr>
        <w:trPr>
          <w:tblHeader w:val="off"/>
        </w:trPr>
        <w:tc>
          <w:tcPr>
            <w:tcW w:type="dxa" w:w="2500"/>
            <w:tcMar>
              <w:top w:type="dxa" w:w="60"/>
              <w:left w:type="dxa" w:w="100"/>
              <w:bottom w:type="dxa" w:w="60"/>
              <w:right w:type="dxa" w:w="100"/>
            </w:tcMar>
          </w:tcPr>
          <w:p>
            <w:r>
              <w:t xml:space="preserve">Stats bons de livraison</w:t>
            </w:r>
          </w:p>
        </w:tc>
        <w:tc>
          <w:tcPr>
            <w:tcW w:type="dxa" w:w="4638"/>
            <w:tcMar>
              <w:top w:type="dxa" w:w="60"/>
              <w:left w:type="dxa" w:w="100"/>
              <w:bottom w:type="dxa" w:w="60"/>
              <w:right w:type="dxa" w:w="100"/>
            </w:tcMar>
          </w:tcPr>
          <w:p>
            <w:r>
              <w:t xml:space="preserve">Bons de livraison signés, rythme, bons en retard de signature</w:t>
            </w:r>
          </w:p>
        </w:tc>
        <w:tc>
          <w:tcPr>
            <w:tcW w:type="dxa" w:w="2500"/>
            <w:tcMar>
              <w:top w:type="dxa" w:w="60"/>
              <w:left w:type="dxa" w:w="100"/>
              <w:bottom w:type="dxa" w:w="60"/>
              <w:right w:type="dxa" w:w="100"/>
            </w:tcMar>
          </w:tcPr>
          <w:p>
            <w:r>
              <w:rPr>
                <w:rFonts w:ascii="Consolas" w:cs="Consolas" w:eastAsia="Consolas" w:hAnsi="Consolas"/>
                <w:color w:val="444444"/>
                <w:sz w:val="20"/>
                <w:szCs w:val="20"/>
              </w:rPr>
              <w:t xml:space="preserve">gestion</w:t>
            </w:r>
          </w:p>
        </w:tc>
      </w:tr>
      <w:tr>
        <w:trPr>
          <w:tblHeader w:val="off"/>
        </w:trPr>
        <w:tc>
          <w:tcPr>
            <w:tcW w:type="dxa" w:w="2500"/>
            <w:tcMar>
              <w:top w:type="dxa" w:w="60"/>
              <w:left w:type="dxa" w:w="100"/>
              <w:bottom w:type="dxa" w:w="60"/>
              <w:right w:type="dxa" w:w="100"/>
            </w:tcMar>
          </w:tcPr>
          <w:p>
            <w:r>
              <w:t xml:space="preserve">Rapports hotline à générer</w:t>
            </w:r>
          </w:p>
        </w:tc>
        <w:tc>
          <w:tcPr>
            <w:tcW w:type="dxa" w:w="4638"/>
            <w:tcMar>
              <w:top w:type="dxa" w:w="60"/>
              <w:left w:type="dxa" w:w="100"/>
              <w:bottom w:type="dxa" w:w="60"/>
              <w:right w:type="dxa" w:w="100"/>
            </w:tcMar>
          </w:tcPr>
          <w:p>
            <w:r>
              <w:t xml:space="preserve">Tickets facturés en crédit sans rapport hotline, génération des rapports</w:t>
            </w:r>
          </w:p>
        </w:tc>
        <w:tc>
          <w:tcPr>
            <w:tcW w:type="dxa" w:w="2500"/>
            <w:tcMar>
              <w:top w:type="dxa" w:w="60"/>
              <w:left w:type="dxa" w:w="100"/>
              <w:bottom w:type="dxa" w:w="60"/>
              <w:right w:type="dxa" w:w="100"/>
            </w:tcMar>
          </w:tcPr>
          <w:p>
            <w:r>
              <w:rPr>
                <w:rFonts w:ascii="Consolas" w:cs="Consolas" w:eastAsia="Consolas" w:hAnsi="Consolas"/>
                <w:color w:val="444444"/>
                <w:sz w:val="20"/>
                <w:szCs w:val="20"/>
              </w:rPr>
              <w:t xml:space="preserve">rp</w:t>
            </w:r>
            <w:r>
              <w:t xml:space="preserve"> + </w:t>
            </w:r>
            <w:r>
              <w:rPr>
                <w:rFonts w:ascii="Consolas" w:cs="Consolas" w:eastAsia="Consolas" w:hAnsi="Consolas"/>
                <w:color w:val="444444"/>
                <w:sz w:val="20"/>
                <w:szCs w:val="20"/>
              </w:rPr>
              <w:t xml:space="preserve">credit</w:t>
            </w:r>
          </w:p>
        </w:tc>
      </w:tr>
    </w:tbl>
    <w:p>
      <w:pPr>
        <w:spacing w:after="120"/>
      </w:pPr>
    </w:p>
    <w:p>
      <w:pPr>
        <w:spacing w:after="120"/>
      </w:pPr>
      <w:r>
        <w:t xml:space="preserve">Prérequis généraux : GLPI 11.0.x et une version de PHP compatible avec cette version de GLPI. Avant toute mise à jour, sauvegarder la base de données, le dossier </w:t>
      </w:r>
      <w:r>
        <w:rPr>
          <w:rFonts w:ascii="Consolas" w:cs="Consolas" w:eastAsia="Consolas" w:hAnsi="Consolas"/>
          <w:color w:val="444444"/>
          <w:sz w:val="20"/>
          <w:szCs w:val="20"/>
        </w:rPr>
        <w:t xml:space="preserve">files/</w:t>
      </w:r>
      <w:r>
        <w:t xml:space="preserve"> et le dossier du plugin.</w:t>
      </w:r>
    </w:p>
    <w:p>
      <w:pPr>
        <w:pStyle w:val="Heading1"/>
      </w:pPr>
      <w:r>
        <w:t xml:space="preserve">3. Droits et profils</w:t>
      </w:r>
    </w:p>
    <w:p>
      <w:pPr>
        <w:spacing w:after="120"/>
      </w:pPr>
      <w:r>
        <w:t xml:space="preserve">Les droits se règlent dans </w:t>
      </w:r>
      <w:r>
        <w:rPr>
          <w:b/>
          <w:bCs/>
        </w:rPr>
        <w:t xml:space="preserve">Administration &gt; Profils &gt; onglet Statistiques</w:t>
      </w:r>
      <w:r>
        <w:t xml:space="preserve">, avec un droit de lecture par onglet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shd w:fill="1F4E79" w:color="auto" w:val="clear"/>
            <w:tcMar>
              <w:top w:type="dxa" w:w="60"/>
              <w:left w:type="dxa" w:w="100"/>
              <w:bottom w:type="dxa" w:w="60"/>
              <w:right w:type="dxa" w:w="100"/>
            </w:tcMar>
          </w:tcPr>
          <w:p>
            <w:r>
              <w:rPr>
                <w:b/>
                <w:bCs/>
                <w:color w:val="FFFFFF"/>
              </w:rPr>
              <w:t xml:space="preserve">Droit</w:t>
            </w:r>
          </w:p>
        </w:tc>
        <w:tc>
          <w:tcPr>
            <w:tcW w:type="dxa" w:w="5338"/>
            <w:shd w:fill="1F4E79" w:color="auto" w:val="clear"/>
            <w:tcMar>
              <w:top w:type="dxa" w:w="60"/>
              <w:left w:type="dxa" w:w="100"/>
              <w:bottom w:type="dxa" w:w="60"/>
              <w:right w:type="dxa" w:w="100"/>
            </w:tcMar>
          </w:tcPr>
          <w:p>
            <w:r>
              <w:rPr>
                <w:b/>
                <w:bCs/>
                <w:color w:val="FFFFFF"/>
              </w:rPr>
              <w:t xml:space="preserve">Donne accès à</w:t>
            </w:r>
          </w:p>
        </w:tc>
      </w:tr>
      <w:tr>
        <w:trPr>
          <w:tblHeader w:val="off"/>
        </w:trPr>
        <w:tc>
          <w:tcPr>
            <w:tcW w:type="dxa" w:w="4300"/>
            <w:tcMar>
              <w:top w:type="dxa" w:w="60"/>
              <w:left w:type="dxa" w:w="100"/>
              <w:bottom w:type="dxa" w:w="60"/>
              <w:right w:type="dxa" w:w="100"/>
            </w:tcMar>
          </w:tcPr>
          <w:p>
            <w:r>
              <w:t xml:space="preserve">Stats crédits</w:t>
            </w:r>
          </w:p>
        </w:tc>
        <w:tc>
          <w:tcPr>
            <w:tcW w:type="dxa" w:w="5338"/>
            <w:tcMar>
              <w:top w:type="dxa" w:w="60"/>
              <w:left w:type="dxa" w:w="100"/>
              <w:bottom w:type="dxa" w:w="60"/>
              <w:right w:type="dxa" w:w="100"/>
            </w:tcMar>
          </w:tcPr>
          <w:p>
            <w:r>
              <w:t xml:space="preserve">l’onglet Stats crédits</w:t>
            </w:r>
          </w:p>
        </w:tc>
      </w:tr>
      <w:tr>
        <w:trPr>
          <w:tblHeader w:val="off"/>
        </w:trPr>
        <w:tc>
          <w:tcPr>
            <w:tcW w:type="dxa" w:w="4300"/>
            <w:tcMar>
              <w:top w:type="dxa" w:w="60"/>
              <w:left w:type="dxa" w:w="100"/>
              <w:bottom w:type="dxa" w:w="60"/>
              <w:right w:type="dxa" w:w="100"/>
            </w:tcMar>
          </w:tcPr>
          <w:p>
            <w:r>
              <w:t xml:space="preserve">Stats tickets</w:t>
            </w:r>
          </w:p>
        </w:tc>
        <w:tc>
          <w:tcPr>
            <w:tcW w:type="dxa" w:w="5338"/>
            <w:tcMar>
              <w:top w:type="dxa" w:w="60"/>
              <w:left w:type="dxa" w:w="100"/>
              <w:bottom w:type="dxa" w:w="60"/>
              <w:right w:type="dxa" w:w="100"/>
            </w:tcMar>
          </w:tcPr>
          <w:p>
            <w:r>
              <w:t xml:space="preserve">l’onglet Stats tickets</w:t>
            </w:r>
          </w:p>
        </w:tc>
      </w:tr>
      <w:tr>
        <w:trPr>
          <w:tblHeader w:val="off"/>
        </w:trPr>
        <w:tc>
          <w:tcPr>
            <w:tcW w:type="dxa" w:w="4300"/>
            <w:tcMar>
              <w:top w:type="dxa" w:w="60"/>
              <w:left w:type="dxa" w:w="100"/>
              <w:bottom w:type="dxa" w:w="60"/>
              <w:right w:type="dxa" w:w="100"/>
            </w:tcMar>
          </w:tcPr>
          <w:p>
            <w:r>
              <w:t xml:space="preserve">Satisfaction</w:t>
            </w:r>
          </w:p>
        </w:tc>
        <w:tc>
          <w:tcPr>
            <w:tcW w:type="dxa" w:w="5338"/>
            <w:tcMar>
              <w:top w:type="dxa" w:w="60"/>
              <w:left w:type="dxa" w:w="100"/>
              <w:bottom w:type="dxa" w:w="60"/>
              <w:right w:type="dxa" w:w="100"/>
            </w:tcMar>
          </w:tcPr>
          <w:p>
            <w:r>
              <w:t xml:space="preserve">l’onglet Satisfaction</w:t>
            </w:r>
          </w:p>
        </w:tc>
      </w:tr>
      <w:tr>
        <w:trPr>
          <w:tblHeader w:val="off"/>
        </w:trPr>
        <w:tc>
          <w:tcPr>
            <w:tcW w:type="dxa" w:w="4300"/>
            <w:tcMar>
              <w:top w:type="dxa" w:w="60"/>
              <w:left w:type="dxa" w:w="100"/>
              <w:bottom w:type="dxa" w:w="60"/>
              <w:right w:type="dxa" w:w="100"/>
            </w:tcMar>
          </w:tcPr>
          <w:p>
            <w:r>
              <w:t xml:space="preserve">Stats rapports (RP)</w:t>
            </w:r>
          </w:p>
        </w:tc>
        <w:tc>
          <w:tcPr>
            <w:tcW w:type="dxa" w:w="5338"/>
            <w:tcMar>
              <w:top w:type="dxa" w:w="60"/>
              <w:left w:type="dxa" w:w="100"/>
              <w:bottom w:type="dxa" w:w="60"/>
              <w:right w:type="dxa" w:w="100"/>
            </w:tcMar>
          </w:tcPr>
          <w:p>
            <w:r>
              <w:t xml:space="preserve">les statistiques de signature des rapports</w:t>
            </w:r>
          </w:p>
        </w:tc>
      </w:tr>
      <w:tr>
        <w:trPr>
          <w:tblHeader w:val="off"/>
        </w:trPr>
        <w:tc>
          <w:tcPr>
            <w:tcW w:type="dxa" w:w="4300"/>
            <w:tcMar>
              <w:top w:type="dxa" w:w="60"/>
              <w:left w:type="dxa" w:w="100"/>
              <w:bottom w:type="dxa" w:w="60"/>
              <w:right w:type="dxa" w:w="100"/>
            </w:tcMar>
          </w:tcPr>
          <w:p>
            <w:r>
              <w:t xml:space="preserve">Stats bons de livraison (Gestion)</w:t>
            </w:r>
          </w:p>
        </w:tc>
        <w:tc>
          <w:tcPr>
            <w:tcW w:type="dxa" w:w="5338"/>
            <w:tcMar>
              <w:top w:type="dxa" w:w="60"/>
              <w:left w:type="dxa" w:w="100"/>
              <w:bottom w:type="dxa" w:w="60"/>
              <w:right w:type="dxa" w:w="100"/>
            </w:tcMar>
          </w:tcPr>
          <w:p>
            <w:r>
              <w:t xml:space="preserve">les statistiques de signature des bons de livraison</w:t>
            </w:r>
          </w:p>
        </w:tc>
      </w:tr>
      <w:tr>
        <w:trPr>
          <w:tblHeader w:val="off"/>
        </w:trPr>
        <w:tc>
          <w:tcPr>
            <w:tcW w:type="dxa" w:w="4300"/>
            <w:tcMar>
              <w:top w:type="dxa" w:w="60"/>
              <w:left w:type="dxa" w:w="100"/>
              <w:bottom w:type="dxa" w:w="60"/>
              <w:right w:type="dxa" w:w="100"/>
            </w:tcMar>
          </w:tcPr>
          <w:p>
            <w:r>
              <w:t xml:space="preserve">Rapports hotline à générer (RP + Credit)</w:t>
            </w:r>
          </w:p>
        </w:tc>
        <w:tc>
          <w:tcPr>
            <w:tcW w:type="dxa" w:w="5338"/>
            <w:tcMar>
              <w:top w:type="dxa" w:w="60"/>
              <w:left w:type="dxa" w:w="100"/>
              <w:bottom w:type="dxa" w:w="60"/>
              <w:right w:type="dxa" w:w="100"/>
            </w:tcMar>
          </w:tcPr>
          <w:p>
            <w:r>
              <w:t xml:space="preserve">la liste des tickets facturés en crédit sans rapport hotline</w:t>
            </w:r>
          </w:p>
        </w:tc>
      </w:tr>
    </w:tbl>
    <w:p>
      <w:pPr>
        <w:spacing w:after="120"/>
      </w:pPr>
    </w:p>
    <w:p>
      <w:pPr>
        <w:pStyle w:val="ListParagraph"/>
        <w:numPr>
          <w:ilvl w:val="0"/>
          <w:numId w:val="2"/>
        </w:numPr>
        <w:spacing w:after="60"/>
      </w:pPr>
      <w:r>
        <w:t xml:space="preserve">La page s’ouvre sur le premier onglet autorisé. Un onglet dont le droit est fermé, ou dont le plugin source est absent, n’est pas affiché.</w:t>
      </w:r>
    </w:p>
    <w:p>
      <w:pPr>
        <w:pStyle w:val="ListParagraph"/>
        <w:numPr>
          <w:ilvl w:val="0"/>
          <w:numId w:val="2"/>
        </w:numPr>
        <w:spacing w:after="60"/>
      </w:pPr>
      <w:r>
        <w:t xml:space="preserve">Un profil qui n’a aucun onglet affichable (par exemple le seul droit « Rapports hotline » sans le plugin Credit) reçoit un refus d’accès.</w:t>
      </w:r>
    </w:p>
    <w:p>
      <w:pPr>
        <w:pStyle w:val="ListParagraph"/>
        <w:numPr>
          <w:ilvl w:val="0"/>
          <w:numId w:val="2"/>
        </w:numPr>
        <w:spacing w:after="60"/>
      </w:pPr>
      <w:r>
        <w:t xml:space="preserve">Les chiffres restent limités par les droits GLPI de l’utilisateur : entités et tickets visibles.</w:t>
      </w:r>
    </w:p>
    <w:p>
      <w:pPr>
        <w:pStyle w:val="ListParagraph"/>
        <w:numPr>
          <w:ilvl w:val="0"/>
          <w:numId w:val="2"/>
        </w:numPr>
        <w:spacing w:after="60"/>
      </w:pPr>
      <w:r>
        <w:t xml:space="preserve">Générer un rapport hotline demande en plus le droit « Rapport hotline » du plugin RP, avec ses règles individuelles. Sans lui, la liste est consultable mais les boutons « Générer » sont grisés.</w:t>
      </w:r>
    </w:p>
    <w:p>
      <w:pPr>
        <w:pBdr>
          <w:left w:val="single" w:color="1F4E79" w:sz="18" w:space="8"/>
        </w:pBdr>
        <w:shd w:fill="EAF1F8" w:color="auto" w:val="clear"/>
        <w:spacing w:after="160" w:before="120"/>
        <w:ind w:left="200"/>
      </w:pPr>
      <w:r>
        <w:rPr>
          <w:b/>
          <w:bCs/>
        </w:rPr>
        <w:t xml:space="preserve">À faire après la mise à jour 1.0.6 :</w:t>
      </w:r>
      <w:r>
        <w:t xml:space="preserve"> le droit « Rapports hotline à générer (RP + Credit) » est créé fermé pour tous les profils. Il faut l’ouvrir aux profils concernés.</w:t>
      </w:r>
    </w:p>
    <w:p>
      <w:pPr>
        <w:pStyle w:val="Heading1"/>
      </w:pPr>
      <w:r>
        <w:t xml:space="preserve">4. Utilisation générale</w:t>
      </w:r>
    </w:p>
    <w:p>
      <w:pPr>
        <w:pStyle w:val="Heading2"/>
      </w:pPr>
      <w:r>
        <w:t xml:space="preserve">4.1 Parcours type</w:t>
      </w:r>
    </w:p>
    <w:p>
      <w:pPr>
        <w:pStyle w:val="ListParagraph"/>
        <w:numPr>
          <w:ilvl w:val="0"/>
          <w:numId w:val="3"/>
        </w:numPr>
        <w:spacing w:after="60"/>
      </w:pPr>
      <w:r>
        <w:t xml:space="preserve">Ouvrir </w:t>
      </w:r>
      <w:r>
        <w:rPr>
          <w:b/>
          <w:bCs/>
        </w:rPr>
        <w:t xml:space="preserve">Outils &gt; Stats</w:t>
      </w:r>
      <w:r>
        <w:t xml:space="preserve">.</w:t>
      </w:r>
    </w:p>
    <w:p>
      <w:pPr>
        <w:pStyle w:val="ListParagraph"/>
        <w:numPr>
          <w:ilvl w:val="0"/>
          <w:numId w:val="3"/>
        </w:numPr>
        <w:spacing w:after="60"/>
      </w:pPr>
      <w:r>
        <w:t xml:space="preserve">Choisir l’onglet.</w:t>
      </w:r>
    </w:p>
    <w:p>
      <w:pPr>
        <w:pStyle w:val="ListParagraph"/>
        <w:numPr>
          <w:ilvl w:val="0"/>
          <w:numId w:val="3"/>
        </w:numPr>
        <w:spacing w:after="60"/>
      </w:pPr>
      <w:r>
        <w:t xml:space="preserve">Régler les filtres : période (date de début, date de fin), entité (sous-entités comprises), techniciens, et selon l’onglet catégorie et mots-clés.</w:t>
      </w:r>
    </w:p>
    <w:p>
      <w:pPr>
        <w:pStyle w:val="ListParagraph"/>
        <w:numPr>
          <w:ilvl w:val="0"/>
          <w:numId w:val="3"/>
        </w:numPr>
        <w:spacing w:after="60"/>
      </w:pPr>
      <w:r>
        <w:t xml:space="preserve">Cliquer sur </w:t>
      </w:r>
      <w:r>
        <w:rPr>
          <w:b/>
          <w:bCs/>
        </w:rPr>
        <w:t xml:space="preserve">Filtrer</w:t>
      </w:r>
      <w:r>
        <w:t xml:space="preserve"> pour charger les statistiques.</w:t>
      </w:r>
    </w:p>
    <w:p>
      <w:pPr>
        <w:pStyle w:val="ListParagraph"/>
        <w:numPr>
          <w:ilvl w:val="0"/>
          <w:numId w:val="3"/>
        </w:numPr>
        <w:spacing w:after="60"/>
      </w:pPr>
      <w:r>
        <w:t xml:space="preserve">Ouvrir une fenêtre de détail pour vérifier le chiffre derrière un indicateur, puis exporter en CSV si besoin.</w:t>
      </w:r>
    </w:p>
    <w:p>
      <w:pPr>
        <w:pStyle w:val="Heading2"/>
      </w:pPr>
      <w:r>
        <w:t xml:space="preserve">4.2 Filtres favoris</w:t>
      </w:r>
    </w:p>
    <w:p>
      <w:pPr>
        <w:spacing w:after="120"/>
      </w:pPr>
      <w:r>
        <w:t xml:space="preserve">Une combinaison de filtres peut être enregistrée sous un nom, pour un onglet donné, avec </w:t>
      </w:r>
      <w:r>
        <w:rPr>
          <w:b/>
          <w:bCs/>
        </w:rPr>
        <w:t xml:space="preserve">Enregistrer le filtre actuel</w:t>
      </w:r>
      <w:r>
        <w:t xml:space="preserve">. Les favoris sont privés : chaque utilisateur ne voit que les siens, dans la liste </w:t>
      </w:r>
      <w:r>
        <w:rPr>
          <w:b/>
          <w:bCs/>
        </w:rPr>
        <w:t xml:space="preserve">Mes filtres</w:t>
      </w:r>
      <w:r>
        <w:t xml:space="preserve">.</w:t>
      </w:r>
    </w:p>
    <w:p>
      <w:pPr>
        <w:pStyle w:val="ListParagraph"/>
        <w:numPr>
          <w:ilvl w:val="0"/>
          <w:numId w:val="2"/>
        </w:numPr>
        <w:spacing w:after="60"/>
      </w:pPr>
      <w:r>
        <w:rPr>
          <w:b/>
          <w:bCs/>
        </w:rPr>
        <w:t xml:space="preserve">Appliquer</w:t>
      </w:r>
      <w:r>
        <w:t xml:space="preserve"> recharge le favori choisi ; </w:t>
      </w:r>
      <w:r>
        <w:rPr>
          <w:b/>
          <w:bCs/>
        </w:rPr>
        <w:t xml:space="preserve">Supprimer le favori sélectionné</w:t>
      </w:r>
      <w:r>
        <w:t xml:space="preserve"> l’efface.</w:t>
      </w:r>
    </w:p>
    <w:p>
      <w:pPr>
        <w:pStyle w:val="ListParagraph"/>
        <w:numPr>
          <w:ilvl w:val="0"/>
          <w:numId w:val="2"/>
        </w:numPr>
        <w:spacing w:after="60"/>
      </w:pPr>
      <w:r>
        <w:t xml:space="preserve">Un favori peut être marqué </w:t>
      </w:r>
      <w:r>
        <w:rPr>
          <w:b/>
          <w:bCs/>
        </w:rPr>
        <w:t xml:space="preserve">Par défaut</w:t>
      </w:r>
      <w:r>
        <w:t xml:space="preserve"> : il est rechargé automatiquement à chaque ouverture de l’onglet sans filtre dans l’adresse.</w:t>
      </w:r>
    </w:p>
    <w:p>
      <w:pPr>
        <w:pStyle w:val="Heading2"/>
      </w:pPr>
      <w:r>
        <w:t xml:space="preserve">4.3 Fenêtres de détail et exports</w:t>
      </w:r>
    </w:p>
    <w:p>
      <w:pPr>
        <w:spacing w:after="120"/>
      </w:pPr>
      <w:r>
        <w:t xml:space="preserve">Les onglets Stats tickets et Satisfaction ouvrent des fenêtres de détail (tâches d’un technicien, tickets d’une entité, réponses d’un technicien ou d’une entité). Elles appliquent les mêmes contrôles de droits que la page et proposent un export CSV.</w:t>
      </w:r>
    </w:p>
    <w:p>
      <w:pPr>
        <w:pStyle w:val="Heading1"/>
      </w:pPr>
      <w:r>
        <w:t xml:space="preserve">5. Les onglets en détail</w:t>
      </w:r>
    </w:p>
    <w:p>
      <w:pPr>
        <w:pStyle w:val="Heading2"/>
      </w:pPr>
      <w:r>
        <w:t xml:space="preserve">5.1 Stats crédits</w:t>
      </w:r>
    </w:p>
    <w:p>
      <w:pPr>
        <w:spacing w:after="120"/>
      </w:pPr>
      <w:r>
        <w:t xml:space="preserve">Vue d’ensemble des crédits du plugin Credit sur la période et les entités choisies :</w:t>
      </w:r>
    </w:p>
    <w:p>
      <w:pPr>
        <w:pStyle w:val="ListParagraph"/>
        <w:numPr>
          <w:ilvl w:val="0"/>
          <w:numId w:val="2"/>
        </w:numPr>
        <w:spacing w:after="60"/>
      </w:pPr>
      <w:r>
        <w:t xml:space="preserve">quantités vendues et consommées, pourcentage consommé et dépassements ;</w:t>
      </w:r>
    </w:p>
    <w:p>
      <w:pPr>
        <w:pStyle w:val="ListParagraph"/>
        <w:numPr>
          <w:ilvl w:val="0"/>
          <w:numId w:val="2"/>
        </w:numPr>
        <w:spacing w:after="60"/>
      </w:pPr>
      <w:r>
        <w:t xml:space="preserve">statut des crédits : actifs / inactifs, avec ou sans consommation, crédits PROV, dates d’expiration ;</w:t>
      </w:r>
    </w:p>
    <w:p>
      <w:pPr>
        <w:pStyle w:val="ListParagraph"/>
        <w:numPr>
          <w:ilvl w:val="0"/>
          <w:numId w:val="2"/>
        </w:numPr>
        <w:spacing w:after="60"/>
      </w:pPr>
      <w:r>
        <w:t xml:space="preserve">classements : crédits les plus consommés et entités qui consomment le plus.</w:t>
      </w:r>
    </w:p>
    <w:p>
      <w:pPr>
        <w:pStyle w:val="Heading2"/>
      </w:pPr>
      <w:r>
        <w:t xml:space="preserve">5.2 Stats tickets</w:t>
      </w:r>
    </w:p>
    <w:p>
      <w:pPr>
        <w:spacing w:after="120"/>
      </w:pPr>
      <w:r>
        <w:t xml:space="preserve">Temps passé sur les tickets, par entité et par technicien :</w:t>
      </w:r>
    </w:p>
    <w:p>
      <w:pPr>
        <w:pStyle w:val="ListParagraph"/>
        <w:numPr>
          <w:ilvl w:val="0"/>
          <w:numId w:val="2"/>
        </w:numPr>
        <w:spacing w:after="60"/>
      </w:pPr>
      <w:r>
        <w:t xml:space="preserve">temps tâche, temps crédit et, si le plugin </w:t>
      </w:r>
      <w:r>
        <w:rPr>
          <w:rFonts w:ascii="Consolas" w:cs="Consolas" w:eastAsia="Consolas" w:hAnsi="Consolas"/>
          <w:color w:val="444444"/>
          <w:sz w:val="20"/>
          <w:szCs w:val="20"/>
        </w:rPr>
        <w:t xml:space="preserve">rt</w:t>
      </w:r>
      <w:r>
        <w:t xml:space="preserve"> est présent, temps de trajet, avec leurs totaux ;</w:t>
      </w:r>
    </w:p>
    <w:p>
      <w:pPr>
        <w:pStyle w:val="ListParagraph"/>
        <w:numPr>
          <w:ilvl w:val="0"/>
          <w:numId w:val="2"/>
        </w:numPr>
        <w:spacing w:after="60"/>
      </w:pPr>
      <w:r>
        <w:t xml:space="preserve">filtres par catégorie et par mots-clés, combinés en </w:t>
      </w:r>
      <w:r>
        <w:rPr>
          <w:b/>
          <w:bCs/>
        </w:rPr>
        <w:t xml:space="preserve">ET</w:t>
      </w:r>
      <w:r>
        <w:t xml:space="preserve"> (catégorie et mots-clés) ou en </w:t>
      </w:r>
      <w:r>
        <w:rPr>
          <w:b/>
          <w:bCs/>
        </w:rPr>
        <w:t xml:space="preserve">OU</w:t>
      </w:r>
      <w:r>
        <w:t xml:space="preserve"> (l’un ou l’autre) ;</w:t>
      </w:r>
    </w:p>
    <w:p>
      <w:pPr>
        <w:pStyle w:val="ListParagraph"/>
        <w:numPr>
          <w:ilvl w:val="0"/>
          <w:numId w:val="2"/>
        </w:numPr>
        <w:spacing w:after="60"/>
      </w:pPr>
      <w:r>
        <w:t xml:space="preserve">détail des tâches d’un technicien ou des tickets d’une entité dans une fenêtre exportable.</w:t>
      </w:r>
    </w:p>
    <w:p>
      <w:pPr>
        <w:pStyle w:val="Heading2"/>
      </w:pPr>
      <w:r>
        <w:t xml:space="preserve">5.3 Satisfaction</w:t>
      </w:r>
    </w:p>
    <w:p>
      <w:pPr>
        <w:spacing w:after="120"/>
      </w:pPr>
      <w:r>
        <w:t xml:space="preserve">Résultats des enquêtes du plugin Satisfactionclient, pour la question analysée choisie :</w:t>
      </w:r>
    </w:p>
    <w:p>
      <w:pPr>
        <w:pStyle w:val="ListParagraph"/>
        <w:numPr>
          <w:ilvl w:val="0"/>
          <w:numId w:val="2"/>
        </w:numPr>
        <w:spacing w:after="60"/>
      </w:pPr>
      <w:r>
        <w:t xml:space="preserve">note moyenne ou taux moyen, par entité et par technicien ;</w:t>
      </w:r>
    </w:p>
    <w:p>
      <w:pPr>
        <w:pStyle w:val="ListParagraph"/>
        <w:numPr>
          <w:ilvl w:val="0"/>
          <w:numId w:val="2"/>
        </w:numPr>
        <w:spacing w:after="60"/>
      </w:pPr>
      <w:r>
        <w:t xml:space="preserve">top des clients satisfaits et non satisfaits, top des techniciens ;</w:t>
      </w:r>
    </w:p>
    <w:p>
      <w:pPr>
        <w:pStyle w:val="ListParagraph"/>
        <w:numPr>
          <w:ilvl w:val="0"/>
          <w:numId w:val="2"/>
        </w:numPr>
        <w:spacing w:after="60"/>
      </w:pPr>
      <w:r>
        <w:t xml:space="preserve">détail des réponses d’une entité ou d’un technicien.</w:t>
      </w:r>
    </w:p>
    <w:p>
      <w:pPr>
        <w:pStyle w:val="Heading2"/>
      </w:pPr>
      <w:r>
        <w:t xml:space="preserve">5.4 Stats rapports (RP)</w:t>
      </w:r>
    </w:p>
    <w:p>
      <w:pPr>
        <w:spacing w:after="120"/>
      </w:pPr>
      <w:r>
        <w:t xml:space="preserve">Répond à la question : qui fait signer ses rapports d’intervention, et qui travaille sans en produire. Par défaut, la période couvre les 12 derniers mois.</w:t>
      </w:r>
    </w:p>
    <w:p>
      <w:pPr>
        <w:pStyle w:val="ListParagraph"/>
        <w:numPr>
          <w:ilvl w:val="0"/>
          <w:numId w:val="2"/>
        </w:numPr>
        <w:spacing w:after="60"/>
      </w:pPr>
      <w:r>
        <w:rPr>
          <w:b/>
          <w:bCs/>
        </w:rPr>
        <w:t xml:space="preserve">Rapports signés</w:t>
      </w:r>
      <w:r>
        <w:t xml:space="preserve"> : rapports portant la signature du client sur la période, avec la moyenne mensuelle et la répartition par type.</w:t>
      </w:r>
    </w:p>
    <w:p>
      <w:pPr>
        <w:pStyle w:val="ListParagraph"/>
        <w:numPr>
          <w:ilvl w:val="0"/>
          <w:numId w:val="2"/>
        </w:numPr>
        <w:spacing w:after="60"/>
      </w:pPr>
      <w:r>
        <w:rPr>
          <w:b/>
          <w:bCs/>
        </w:rPr>
        <w:t xml:space="preserve">Techniciens actifs</w:t>
      </w:r>
      <w:r>
        <w:t xml:space="preserve"> : techniciens ayant signé un rapport ou travaillé sur un ticket. Un technicien qui a travaillé sans rien faire signer apparaît donc, avec une couverture basse.</w:t>
      </w:r>
    </w:p>
    <w:p>
      <w:pPr>
        <w:pStyle w:val="ListParagraph"/>
        <w:numPr>
          <w:ilvl w:val="0"/>
          <w:numId w:val="2"/>
        </w:numPr>
        <w:spacing w:after="60"/>
      </w:pPr>
      <w:r>
        <w:rPr>
          <w:b/>
          <w:bCs/>
        </w:rPr>
        <w:t xml:space="preserve">Couverture</w:t>
      </w:r>
      <w:r>
        <w:t xml:space="preserve"> : part des tickets travaillés par le technicien qui portent un rapport signé, quel qu’en soit l’auteur.</w:t>
      </w:r>
    </w:p>
    <w:p>
      <w:pPr>
        <w:pStyle w:val="ListParagraph"/>
        <w:numPr>
          <w:ilvl w:val="0"/>
          <w:numId w:val="2"/>
        </w:numPr>
        <w:spacing w:after="60"/>
      </w:pPr>
      <w:r>
        <w:rPr>
          <w:b/>
          <w:bCs/>
        </w:rPr>
        <w:t xml:space="preserve">Délai moyen</w:t>
      </w:r>
      <w:r>
        <w:t xml:space="preserve"> : temps écoulé entre la dernière tâche du technicien sur le ticket et le rapport signé.</w:t>
      </w:r>
    </w:p>
    <w:p>
      <w:pPr>
        <w:pStyle w:val="ListParagraph"/>
        <w:numPr>
          <w:ilvl w:val="0"/>
          <w:numId w:val="2"/>
        </w:numPr>
        <w:spacing w:after="60"/>
      </w:pPr>
      <w:r>
        <w:t xml:space="preserve">Techniciens sans paraphe enregistré, graphique des rapports signés par mois, liste des derniers rapports signés.</w:t>
      </w:r>
    </w:p>
    <w:p>
      <w:pPr>
        <w:pStyle w:val="Heading2"/>
      </w:pPr>
      <w:r>
        <w:t xml:space="preserve">5.5 Stats bons de livraison (Gestion)</w:t>
      </w:r>
    </w:p>
    <w:p>
      <w:pPr>
        <w:spacing w:after="120"/>
      </w:pPr>
      <w:r>
        <w:t xml:space="preserve">Même lecture que l’onglet des rapports, appliquée aux bons de livraison du plugin Gestion :</w:t>
      </w:r>
    </w:p>
    <w:p>
      <w:pPr>
        <w:pStyle w:val="ListParagraph"/>
        <w:numPr>
          <w:ilvl w:val="0"/>
          <w:numId w:val="2"/>
        </w:numPr>
        <w:spacing w:after="60"/>
      </w:pPr>
      <w:r>
        <w:t xml:space="preserve">bons signés sur la période, par mois et par jour travaillé (moyenne sur les jours où au moins un bon a été signé) ;</w:t>
      </w:r>
    </w:p>
    <w:p>
      <w:pPr>
        <w:pStyle w:val="ListParagraph"/>
        <w:numPr>
          <w:ilvl w:val="0"/>
          <w:numId w:val="2"/>
        </w:numPr>
        <w:spacing w:after="60"/>
      </w:pPr>
      <w:r>
        <w:t xml:space="preserve">par technicien : nombre de bons, jours actifs, dernier bon signé ;</w:t>
      </w:r>
    </w:p>
    <w:p>
      <w:pPr>
        <w:pStyle w:val="ListParagraph"/>
        <w:numPr>
          <w:ilvl w:val="0"/>
          <w:numId w:val="2"/>
        </w:numPr>
        <w:spacing w:after="60"/>
      </w:pPr>
      <w:r>
        <w:rPr>
          <w:b/>
          <w:bCs/>
        </w:rPr>
        <w:t xml:space="preserve">En retard</w:t>
      </w:r>
      <w:r>
        <w:t xml:space="preserve"> : bons de livraison non signés depuis plus de 14 jours, toutes périodes confondues ;</w:t>
      </w:r>
    </w:p>
    <w:p>
      <w:pPr>
        <w:pStyle w:val="ListParagraph"/>
        <w:numPr>
          <w:ilvl w:val="0"/>
          <w:numId w:val="2"/>
        </w:numPr>
        <w:spacing w:after="60"/>
      </w:pPr>
      <w:r>
        <w:t xml:space="preserve">liste des derniers bons signés.</w:t>
      </w:r>
    </w:p>
    <w:p>
      <w:pPr>
        <w:pStyle w:val="Heading2"/>
      </w:pPr>
      <w:r>
        <w:t xml:space="preserve">5.6 Rapports hotline à générer</w:t>
      </w:r>
    </w:p>
    <w:p>
      <w:pPr>
        <w:spacing w:after="120"/>
      </w:pPr>
      <w:r>
        <w:t xml:space="preserve">Liste de travail : les tickets facturés en crédit qui n’ont pas encore leur rapport hotline.</w:t>
      </w:r>
    </w:p>
    <w:p>
      <w:pPr>
        <w:pStyle w:val="Heading3"/>
      </w:pPr>
      <w:r>
        <w:t xml:space="preserve">Une liste GLPI standard</w:t>
      </w:r>
    </w:p>
    <w:p>
      <w:pPr>
        <w:spacing w:after="120"/>
      </w:pPr>
      <w:r>
        <w:t xml:space="preserve">L’onglet a sa propre page (</w:t>
      </w:r>
      <w:r>
        <w:rPr>
          <w:rFonts w:ascii="Consolas" w:cs="Consolas" w:eastAsia="Consolas" w:hAnsi="Consolas"/>
          <w:color w:val="444444"/>
          <w:sz w:val="20"/>
          <w:szCs w:val="20"/>
        </w:rPr>
        <w:t xml:space="preserve">front/hotlineticket.php</w:t>
      </w:r>
      <w:r>
        <w:t xml:space="preserve">), construite comme une liste GLPI native : critères, tri, pagination, choix des colonnes, exports, recherches sauvegardées et actions massives sont ceux de GLPI. Elle a sa propre mémoire de recherche et ne modifie donc pas la dernière recherche de la liste des tickets. La barre d’onglets de la page Statistiques reste affichée au-dessus.</w:t>
      </w:r>
    </w:p>
    <w:p>
      <w:pPr>
        <w:spacing w:after="120"/>
      </w:pPr>
      <w:r>
        <w:t xml:space="preserve">La liste s’ouvre toujours sur le nombre de lignes par page par défaut de l’utilisateur (sinon 50). Un nombre choisi dans la liste vaut pour le tri et le changement de page, jusqu’à la prochaine ouverture.</w:t>
      </w:r>
    </w:p>
    <w:p>
      <w:pPr>
        <w:pStyle w:val="Heading3"/>
      </w:pPr>
      <w:r>
        <w:t xml:space="preserve">Tickets retenus</w:t>
      </w:r>
    </w:p>
    <w:p>
      <w:pPr>
        <w:spacing w:after="120"/>
      </w:pPr>
      <w:r>
        <w:t xml:space="preserve">Chaque ligne est un ticket :</w:t>
      </w:r>
    </w:p>
    <w:p>
      <w:pPr>
        <w:pStyle w:val="ListParagraph"/>
        <w:numPr>
          <w:ilvl w:val="0"/>
          <w:numId w:val="2"/>
        </w:numPr>
        <w:spacing w:after="60"/>
      </w:pPr>
      <w:r>
        <w:t xml:space="preserve">résolu ou clos, et non supprimé ;</w:t>
      </w:r>
    </w:p>
    <w:p>
      <w:pPr>
        <w:pStyle w:val="ListParagraph"/>
        <w:numPr>
          <w:ilvl w:val="0"/>
          <w:numId w:val="2"/>
        </w:numPr>
        <w:spacing w:after="60"/>
      </w:pPr>
      <w:r>
        <w:t xml:space="preserve">qui a consommé du crédit (somme des consommations du plugin Credit) ;</w:t>
      </w:r>
    </w:p>
    <w:p>
      <w:pPr>
        <w:pStyle w:val="ListParagraph"/>
        <w:numPr>
          <w:ilvl w:val="0"/>
          <w:numId w:val="2"/>
        </w:numPr>
        <w:spacing w:after="60"/>
      </w:pPr>
      <w:r>
        <w:t xml:space="preserve">sans aucun rapport hotline dans le plugin RP, quelle que soit son origine : bouton du ticket, cet onglet ou export massif RP.</w:t>
      </w:r>
    </w:p>
    <w:p>
      <w:pPr>
        <w:pStyle w:val="Heading3"/>
      </w:pPr>
      <w:r>
        <w:t xml:space="preserve">Critères à l’ouverture</w:t>
      </w:r>
    </w:p>
    <w:p>
      <w:pPr>
        <w:spacing w:after="120"/>
      </w:pPr>
      <w:r>
        <w:t xml:space="preserve">Ils sont modifiables comme dans toute liste GLPI, et une recherche sauvegardée marquée par défaut les remplace :</w:t>
      </w:r>
    </w:p>
    <w:p>
      <w:pPr>
        <w:pStyle w:val="ListParagraph"/>
        <w:numPr>
          <w:ilvl w:val="0"/>
          <w:numId w:val="2"/>
        </w:numPr>
        <w:spacing w:after="60"/>
      </w:pPr>
      <w:r>
        <w:t xml:space="preserve">« Crédit consommé » supérieur à 1 ;</w:t>
      </w:r>
    </w:p>
    <w:p>
      <w:pPr>
        <w:pStyle w:val="ListParagraph"/>
        <w:numPr>
          <w:ilvl w:val="0"/>
          <w:numId w:val="2"/>
        </w:numPr>
        <w:spacing w:after="60"/>
      </w:pPr>
      <w:r>
        <w:t xml:space="preserve">« Crédit » contient « à Mettre en facturation ». Ce critère et le précédent portent sur la même consommation : seul ce qui est consommé sur un crédit à facturer compte ;</w:t>
      </w:r>
    </w:p>
    <w:p>
      <w:pPr>
        <w:pStyle w:val="ListParagraph"/>
        <w:numPr>
          <w:ilvl w:val="0"/>
          <w:numId w:val="2"/>
        </w:numPr>
        <w:spacing w:after="60"/>
      </w:pPr>
      <w:r>
        <w:t xml:space="preserve">« Catégorie » = </w:t>
      </w:r>
      <w:r>
        <w:rPr>
          <w:b/>
          <w:bCs/>
        </w:rPr>
        <w:t xml:space="preserve">Root entity &gt; EASI SUPPORT : toutes les catégories</w:t>
      </w:r>
      <w:r>
        <w:t xml:space="preserve">. Le critère Catégorie propose chaque groupe entier, puis ses catégories de premier niveau, sous-catégories toujours comprises ;</w:t>
      </w:r>
    </w:p>
    <w:p>
      <w:pPr>
        <w:pStyle w:val="ListParagraph"/>
        <w:numPr>
          <w:ilvl w:val="0"/>
          <w:numId w:val="2"/>
        </w:numPr>
        <w:spacing w:after="60"/>
      </w:pPr>
      <w:r>
        <w:t xml:space="preserve">tri par date de clôture, la plus récente d’abord.</w:t>
      </w:r>
    </w:p>
    <w:p>
      <w:pPr>
        <w:pStyle w:val="Heading3"/>
      </w:pPr>
      <w:r>
        <w:t xml:space="preserve">Colonnes par défaut</w:t>
      </w:r>
    </w:p>
    <w:p>
      <w:pPr>
        <w:spacing w:after="120"/>
      </w:pPr>
      <w:r>
        <w:t xml:space="preserve">Ticket (numéro cliquable), titre, entité, statut, crédit consommé, crédit, date d’ouverture, date de clôture, technicien, catégorie, bouton « Générer ». La date de résolution peut être ajoutée. Le technicien affiché est l’auteur de la dernière solution non refusée, sinon le premier technicien attribué.</w:t>
      </w:r>
    </w:p>
    <w:p>
      <w:pPr>
        <w:pStyle w:val="Heading3"/>
      </w:pPr>
      <w:r>
        <w:t xml:space="preserve">Générer un rapport</w:t>
      </w:r>
    </w:p>
    <w:p>
      <w:pPr>
        <w:pStyle w:val="ListParagraph"/>
        <w:numPr>
          <w:ilvl w:val="0"/>
          <w:numId w:val="2"/>
        </w:numPr>
        <w:spacing w:after="60"/>
      </w:pPr>
      <w:r>
        <w:rPr>
          <w:b/>
          <w:bCs/>
        </w:rPr>
        <w:t xml:space="preserve">Bouton « Générer » d’une ligne</w:t>
      </w:r>
      <w:r>
        <w:t xml:space="preserve"> : ouvre la fenêtre hotline du plugin RP, avec son éditeur riche. Après la génération, la page se recharge, le ticket quitte la liste et son PDF est rattaché au ticket.</w:t>
      </w:r>
    </w:p>
    <w:p>
      <w:pPr>
        <w:pStyle w:val="ListParagraph"/>
        <w:numPr>
          <w:ilvl w:val="0"/>
          <w:numId w:val="2"/>
        </w:numPr>
        <w:spacing w:after="60"/>
      </w:pPr>
      <w:r>
        <w:rPr>
          <w:b/>
          <w:bCs/>
        </w:rPr>
        <w:t xml:space="preserve">Action massive « Générer le rapport hotline (RP) »</w:t>
      </w:r>
      <w:r>
        <w:t xml:space="preserve"> : ouvre une page de suivi qui traite les tickets un par un, en temps réel (en attente, en cours, généré, déjà présent, échec avec son motif). Elle peut être arrêtée puis reprise. Un ticket qui a déjà son rapport est passé : relancer ne crée jamais de doublon.</w:t>
      </w:r>
    </w:p>
    <w:p>
      <w:pPr>
        <w:spacing w:after="120"/>
      </w:pPr>
      <w:r>
        <w:t xml:space="preserve">Dans les deux cas :</w:t>
      </w:r>
    </w:p>
    <w:p>
      <w:pPr>
        <w:pStyle w:val="ListParagraph"/>
        <w:numPr>
          <w:ilvl w:val="0"/>
          <w:numId w:val="2"/>
        </w:numPr>
        <w:spacing w:after="60"/>
      </w:pPr>
      <w:r>
        <w:t xml:space="preserve">le rapport est produit par le formulaire et le générateur du plugin RP, avec ses réglages ; rien n’est modifié dans RP ;</w:t>
      </w:r>
    </w:p>
    <w:p>
      <w:pPr>
        <w:pStyle w:val="ListParagraph"/>
        <w:numPr>
          <w:ilvl w:val="0"/>
          <w:numId w:val="2"/>
        </w:numPr>
        <w:spacing w:after="60"/>
      </w:pPr>
      <w:r>
        <w:t xml:space="preserve">en génération de masse, aucun mail n’est envoyé au client ;</w:t>
      </w:r>
    </w:p>
    <w:p>
      <w:pPr>
        <w:pStyle w:val="ListParagraph"/>
        <w:numPr>
          <w:ilvl w:val="0"/>
          <w:numId w:val="2"/>
        </w:numPr>
        <w:spacing w:after="60"/>
      </w:pPr>
      <w:r>
        <w:t xml:space="preserve">le PDF est rattaché au ticket (documents et fil du ticket), sans notification ;</w:t>
      </w:r>
    </w:p>
    <w:p>
      <w:pPr>
        <w:pStyle w:val="ListParagraph"/>
        <w:numPr>
          <w:ilvl w:val="0"/>
          <w:numId w:val="2"/>
        </w:numPr>
        <w:spacing w:after="60"/>
      </w:pPr>
      <w:r>
        <w:t xml:space="preserve">le lien « TICKET : N » imprimé dans le PDF pointe vers le ticket, comme pour un rapport généré depuis le ticket.</w:t>
      </w:r>
    </w:p>
    <w:p>
      <w:pPr>
        <w:pBdr>
          <w:left w:val="single" w:color="1F4E79" w:sz="18" w:space="8"/>
        </w:pBdr>
        <w:shd w:fill="EAF1F8" w:color="auto" w:val="clear"/>
        <w:spacing w:after="160" w:before="120"/>
        <w:ind w:left="200"/>
      </w:pPr>
      <w:r>
        <w:rPr>
          <w:b/>
          <w:bCs/>
        </w:rPr>
        <w:t xml:space="preserve">Limite GLPI :</w:t>
      </w:r>
      <w:r>
        <w:t xml:space="preserve"> au-delà de </w:t>
      </w:r>
      <w:r>
        <w:rPr>
          <w:rFonts w:ascii="Consolas" w:cs="Consolas" w:eastAsia="Consolas" w:hAnsi="Consolas"/>
          <w:color w:val="444444"/>
          <w:sz w:val="20"/>
          <w:szCs w:val="20"/>
        </w:rPr>
        <w:t xml:space="preserve">max_input_vars - 10</w:t>
      </w:r>
      <w:r>
        <w:t xml:space="preserve"> lignes par page (990 avec la valeur PHP par défaut), GLPI n’affiche plus les actions massives : la barre « Actions » reste vide. Il faut afficher moins de lignes par page, ou relever </w:t>
      </w:r>
      <w:r>
        <w:rPr>
          <w:rFonts w:ascii="Consolas" w:cs="Consolas" w:eastAsia="Consolas" w:hAnsi="Consolas"/>
          <w:color w:val="444444"/>
          <w:sz w:val="20"/>
          <w:szCs w:val="20"/>
        </w:rPr>
        <w:t xml:space="preserve">max_input_vars</w:t>
      </w:r>
      <w:r>
        <w:t xml:space="preserve"> dans la configuration PHP du serveur.</w:t>
      </w:r>
    </w:p>
    <w:p>
      <w:pPr>
        <w:pStyle w:val="Heading3"/>
      </w:pPr>
      <w:r>
        <w:t xml:space="preserve">Fonctionnement technique</w:t>
      </w:r>
    </w:p>
    <w:p>
      <w:pPr>
        <w:spacing w:after="120"/>
      </w:pPr>
      <w:r>
        <w:t xml:space="preserve">La liste s’appuie sur une vue SQL, </w:t>
      </w:r>
      <w:r>
        <w:rPr>
          <w:rFonts w:ascii="Consolas" w:cs="Consolas" w:eastAsia="Consolas" w:hAnsi="Consolas"/>
          <w:color w:val="444444"/>
          <w:sz w:val="20"/>
          <w:szCs w:val="20"/>
        </w:rPr>
        <w:t xml:space="preserve">glpi_plugin_stats_hotlinetickets</w:t>
      </w:r>
      <w:r>
        <w:t xml:space="preserve">, créée à l’installation ou, si elle manque, à la première ouverture de l’onglet. Elle est supprimée à la désinstallation, avec les colonnes et les recherches sauvegardées de la liste.</w:t>
      </w:r>
    </w:p>
    <w:p>
      <w:pPr>
        <w:spacing w:after="120"/>
      </w:pPr>
      <w:r>
        <w:t xml:space="preserve">Pour écarter les tickets qui ont déjà un rapport, la vue cherche dans la table des rapports du plugin RP (</w:t>
      </w:r>
      <w:r>
        <w:rPr>
          <w:rFonts w:ascii="Consolas" w:cs="Consolas" w:eastAsia="Consolas" w:hAnsi="Consolas"/>
          <w:color w:val="444444"/>
          <w:sz w:val="20"/>
          <w:szCs w:val="20"/>
        </w:rPr>
        <w:t xml:space="preserve">glpi_plugin_rp_cridetails</w:t>
      </w:r>
      <w:r>
        <w:t xml:space="preserve">) par numéro de ticket. Le plugin RP n’indexant pas cette colonne, le plugin Stats y ajoute l’index </w:t>
      </w:r>
      <w:r>
        <w:rPr>
          <w:rFonts w:ascii="Consolas" w:cs="Consolas" w:eastAsia="Consolas" w:hAnsi="Consolas"/>
          <w:color w:val="444444"/>
          <w:sz w:val="20"/>
          <w:szCs w:val="20"/>
        </w:rPr>
        <w:t xml:space="preserve">id_ticket_type</w:t>
      </w:r>
      <w:r>
        <w:t xml:space="preserve"> (</w:t>
      </w:r>
      <w:r>
        <w:rPr>
          <w:rFonts w:ascii="Consolas" w:cs="Consolas" w:eastAsia="Consolas" w:hAnsi="Consolas"/>
          <w:color w:val="444444"/>
          <w:sz w:val="20"/>
          <w:szCs w:val="20"/>
        </w:rPr>
        <w:t xml:space="preserve">id_ticket</w:t>
      </w:r>
      <w:r>
        <w:t xml:space="preserve">, </w:t>
      </w:r>
      <w:r>
        <w:rPr>
          <w:rFonts w:ascii="Consolas" w:cs="Consolas" w:eastAsia="Consolas" w:hAnsi="Consolas"/>
          <w:color w:val="444444"/>
          <w:sz w:val="20"/>
          <w:szCs w:val="20"/>
        </w:rPr>
        <w:t xml:space="preserve">type</w:t>
      </w:r>
      <w:r>
        <w:t xml:space="preserve">), à l’installation, à la mise à jour et à l’ouverture de la liste s’il manque. Sans cet index, la liste mettait environ une minute à s’afficher en production (près de 9 000 rapports relus pour chacun des quelque 44 000 tickets examinés) ; avec lui, la requête prend moins d’une seconde.</w:t>
      </w:r>
    </w:p>
    <w:p>
      <w:pPr>
        <w:pStyle w:val="Heading1"/>
      </w:pPr>
      <w:r>
        <w:t xml:space="preserve">6. Installation et mise à jour</w:t>
      </w:r>
    </w:p>
    <w:p>
      <w:pPr>
        <w:pStyle w:val="Heading2"/>
      </w:pPr>
      <w:r>
        <w:t xml:space="preserve">6.1 Passage en 1.0.6</w:t>
      </w:r>
    </w:p>
    <w:p>
      <w:pPr>
        <w:pStyle w:val="ListParagraph"/>
        <w:numPr>
          <w:ilvl w:val="0"/>
          <w:numId w:val="3"/>
        </w:numPr>
        <w:spacing w:after="60"/>
      </w:pPr>
      <w:r>
        <w:t xml:space="preserve">Sauvegarder la base de données, </w:t>
      </w:r>
      <w:r>
        <w:rPr>
          <w:rFonts w:ascii="Consolas" w:cs="Consolas" w:eastAsia="Consolas" w:hAnsi="Consolas"/>
          <w:color w:val="444444"/>
          <w:sz w:val="20"/>
          <w:szCs w:val="20"/>
        </w:rPr>
        <w:t xml:space="preserve">files/</w:t>
      </w:r>
      <w:r>
        <w:t xml:space="preserve"> et le dossier du plugin.</w:t>
      </w:r>
    </w:p>
    <w:p>
      <w:pPr>
        <w:pStyle w:val="ListParagraph"/>
        <w:numPr>
          <w:ilvl w:val="0"/>
          <w:numId w:val="3"/>
        </w:numPr>
        <w:spacing w:after="60"/>
      </w:pPr>
      <w:r>
        <w:t xml:space="preserve">Déposer les fichiers du plugin.</w:t>
      </w:r>
    </w:p>
    <w:p>
      <w:pPr>
        <w:pStyle w:val="ListParagraph"/>
        <w:numPr>
          <w:ilvl w:val="0"/>
          <w:numId w:val="3"/>
        </w:numPr>
        <w:spacing w:after="60"/>
      </w:pPr>
      <w:r>
        <w:t xml:space="preserve">Dans </w:t>
      </w:r>
      <w:r>
        <w:rPr>
          <w:b/>
          <w:bCs/>
        </w:rPr>
        <w:t xml:space="preserve">Configuration &gt; Plugins</w:t>
      </w:r>
      <w:r>
        <w:t xml:space="preserve">, cliquer sur </w:t>
      </w:r>
      <w:r>
        <w:rPr>
          <w:b/>
          <w:bCs/>
        </w:rPr>
        <w:t xml:space="preserve">Mettre à jour</w:t>
      </w:r>
      <w:r>
        <w:t xml:space="preserve"> pour le plugin Stats, puis l’activer si nécessaire.</w:t>
      </w:r>
    </w:p>
    <w:p>
      <w:pPr>
        <w:pStyle w:val="ListParagraph"/>
        <w:numPr>
          <w:ilvl w:val="0"/>
          <w:numId w:val="3"/>
        </w:numPr>
        <w:spacing w:after="60"/>
      </w:pPr>
      <w:r>
        <w:t xml:space="preserve">Ouvrir le droit « Rapports hotline à générer (RP + Credit) » aux profils concernés.</w:t>
      </w:r>
    </w:p>
    <w:p>
      <w:pPr>
        <w:spacing w:after="120"/>
      </w:pPr>
      <w:r>
        <w:t xml:space="preserve">La mise à jour peut être rejouée sans risque. Elle :</w:t>
      </w:r>
    </w:p>
    <w:p>
      <w:pPr>
        <w:pStyle w:val="ListParagraph"/>
        <w:numPr>
          <w:ilvl w:val="0"/>
          <w:numId w:val="2"/>
        </w:numPr>
        <w:spacing w:after="60"/>
      </w:pPr>
      <w:r>
        <w:t xml:space="preserve">crée la table des filtres favoris si elle n’existe pas ;</w:t>
      </w:r>
    </w:p>
    <w:p>
      <w:pPr>
        <w:pStyle w:val="ListParagraph"/>
        <w:numPr>
          <w:ilvl w:val="0"/>
          <w:numId w:val="2"/>
        </w:numPr>
        <w:spacing w:after="60"/>
      </w:pPr>
      <w:r>
        <w:t xml:space="preserve">met en place les droits par onglet (et reprend l’ancien droit unique du plugin) ;</w:t>
      </w:r>
    </w:p>
    <w:p>
      <w:pPr>
        <w:pStyle w:val="ListParagraph"/>
        <w:numPr>
          <w:ilvl w:val="0"/>
          <w:numId w:val="2"/>
        </w:numPr>
        <w:spacing w:after="60"/>
      </w:pPr>
      <w:r>
        <w:t xml:space="preserve">crée la vue SQL de la liste hotline et l’index </w:t>
      </w:r>
      <w:r>
        <w:rPr>
          <w:rFonts w:ascii="Consolas" w:cs="Consolas" w:eastAsia="Consolas" w:hAnsi="Consolas"/>
          <w:color w:val="444444"/>
          <w:sz w:val="20"/>
          <w:szCs w:val="20"/>
        </w:rPr>
        <w:t xml:space="preserve">id_ticket_type</w:t>
      </w:r>
      <w:r>
        <w:t xml:space="preserve"> sur la table des rapports RP, si les plugins RP et Credit sont présents.</w:t>
      </w:r>
    </w:p>
    <w:p>
      <w:pPr>
        <w:pStyle w:val="Heading2"/>
      </w:pPr>
      <w:r>
        <w:t xml:space="preserve">6.2 Désinstallation</w:t>
      </w:r>
    </w:p>
    <w:p>
      <w:pPr>
        <w:spacing w:after="120"/>
      </w:pPr>
      <w:r>
        <w:t xml:space="preserve">Supprime la table des filtres favoris, les droits du plugin, la vue SQL de la liste hotline, ses préférences de colonnes et ses recherches sauvegardées. L’index ajouté sur la table du plugin RP est conservé : il ne gêne pas le plugin RP.</w:t>
      </w:r>
    </w:p>
    <w:p>
      <w:pPr>
        <w:pStyle w:val="Heading1"/>
      </w:pPr>
      <w:r>
        <w:t xml:space="preserve">7. Vérifications après mise à jour</w:t>
      </w:r>
    </w:p>
    <w:p>
      <w:pPr>
        <w:pStyle w:val="ListParagraph"/>
        <w:numPr>
          <w:ilvl w:val="0"/>
          <w:numId w:val="2"/>
        </w:numPr>
        <w:spacing w:after="60"/>
      </w:pPr>
      <w:r>
        <w:t xml:space="preserve">Ouvrir </w:t>
      </w:r>
      <w:r>
        <w:rPr>
          <w:b/>
          <w:bCs/>
        </w:rPr>
        <w:t xml:space="preserve">Outils &gt; Stats</w:t>
      </w:r>
      <w:r>
        <w:t xml:space="preserve"> sans erreur PHP.</w:t>
      </w:r>
    </w:p>
    <w:p>
      <w:pPr>
        <w:pStyle w:val="ListParagraph"/>
        <w:numPr>
          <w:ilvl w:val="0"/>
          <w:numId w:val="2"/>
        </w:numPr>
        <w:spacing w:after="60"/>
      </w:pPr>
      <w:r>
        <w:t xml:space="preserve">Vérifier que les onglets affichés correspondent aux plugins présents et aux droits du profil.</w:t>
      </w:r>
    </w:p>
    <w:p>
      <w:pPr>
        <w:pStyle w:val="ListParagraph"/>
        <w:numPr>
          <w:ilvl w:val="0"/>
          <w:numId w:val="2"/>
        </w:numPr>
        <w:spacing w:after="60"/>
      </w:pPr>
      <w:r>
        <w:t xml:space="preserve">Tester un filtre de dates, l’enregistrement et le rechargement d’un filtre favori, une fenêtre de détail et un export CSV.</w:t>
      </w:r>
    </w:p>
    <w:p>
      <w:pPr>
        <w:pStyle w:val="ListParagraph"/>
        <w:numPr>
          <w:ilvl w:val="0"/>
          <w:numId w:val="2"/>
        </w:numPr>
        <w:spacing w:after="60"/>
      </w:pPr>
      <w:r>
        <w:t xml:space="preserve">Onglet « Rapports hotline à générer » : vérifier que la liste s’affiche en quelques secondes au plus, contrôler les critères d’ouverture (crédit supérieur à 1, crédit « à Mettre en facturation », groupe EASI SUPPORT), puis cliquer « Générer » sur une ligne : fenêtre RP avec éditeur riche, lien « TICKET » du PDF, disparition de la ligne, PDF dans les documents du ticket.</w:t>
      </w:r>
    </w:p>
    <w:p>
      <w:pPr>
        <w:pStyle w:val="ListParagraph"/>
        <w:numPr>
          <w:ilvl w:val="0"/>
          <w:numId w:val="2"/>
        </w:numPr>
        <w:spacing w:after="60"/>
      </w:pPr>
      <w:r>
        <w:t xml:space="preserve">Action massive « Générer le rapport hotline (RP) » sur deux ou trois tickets : suivre la page de génération, puis vérifier les PDF sur les tickets.</w:t>
      </w:r>
    </w:p>
    <w:p>
      <w:pPr>
        <w:pStyle w:val="ListParagraph"/>
        <w:numPr>
          <w:ilvl w:val="0"/>
          <w:numId w:val="2"/>
        </w:numPr>
        <w:spacing w:after="60"/>
      </w:pPr>
      <w:r>
        <w:t xml:space="preserve">Consulter les journaux GLPI (</w:t>
      </w:r>
      <w:r>
        <w:rPr>
          <w:rFonts w:ascii="Consolas" w:cs="Consolas" w:eastAsia="Consolas" w:hAnsi="Consolas"/>
          <w:color w:val="444444"/>
          <w:sz w:val="20"/>
          <w:szCs w:val="20"/>
        </w:rPr>
        <w:t xml:space="preserve">files/_log</w:t>
      </w:r>
      <w:r>
        <w:t xml:space="preserve">, notamment </w:t>
      </w:r>
      <w:r>
        <w:rPr>
          <w:rFonts w:ascii="Consolas" w:cs="Consolas" w:eastAsia="Consolas" w:hAnsi="Consolas"/>
          <w:color w:val="444444"/>
          <w:sz w:val="20"/>
          <w:szCs w:val="20"/>
        </w:rPr>
        <w:t xml:space="preserve">plugin-stats.log</w:t>
      </w:r>
      <w:r>
        <w:t xml:space="preserve">) : aucune nouvelle erreur.</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Plugin Stats 1.0.6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1F4E79" w:sz="6" w:space="4"/>
      </w:pBdr>
      <w:spacing w:after="160" w:before="360"/>
      <w:outlineLvl w:val="0"/>
    </w:pPr>
    <w:rPr>
      <w:b/>
      <w:bCs/>
      <w:color w:val="1F4E79"/>
      <w:sz w:val="30"/>
      <w:szCs w:val="30"/>
    </w:rPr>
  </w:style>
  <w:style w:type="paragraph" w:styleId="Heading2">
    <w:name w:val="Heading 2"/>
    <w:basedOn w:val="Normal"/>
    <w:next w:val="Normal"/>
    <w:qFormat/>
    <w:pPr>
      <w:keepNext/>
      <w:keepLines/>
      <w:spacing w:after="120" w:before="240"/>
      <w:outlineLvl w:val="1"/>
    </w:pPr>
    <w:rPr>
      <w:b/>
      <w:bCs/>
      <w:color w:val="1F4E79"/>
      <w:sz w:val="26"/>
      <w:szCs w:val="26"/>
    </w:rPr>
  </w:style>
  <w:style w:type="paragraph" w:styleId="Heading3">
    <w:name w:val="Heading 3"/>
    <w:basedOn w:val="Normal"/>
    <w:next w:val="Normal"/>
    <w:qFormat/>
    <w:pPr>
      <w:keepNext/>
      <w:keepLines/>
      <w:spacing w:after="80" w:before="200"/>
      <w:outlineLvl w:val="2"/>
    </w:pPr>
    <w:rPr>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Plugin Stats — Documentation de fonctionnement</dc:title>
  <dc:creator>REINERT Joris</dc:creator>
  <cp:lastModifiedBy>Un-named</cp:lastModifiedBy>
  <cp:revision>1</cp:revision>
  <dcterms:created xsi:type="dcterms:W3CDTF">2026-10-06T10:40:22.226Z</dcterms:created>
  <dcterms:modified xsi:type="dcterms:W3CDTF">2026-10-06T10:40:22.227Z</dcterms:modified>
</cp:coreProperties>
</file>

<file path=docProps/custom.xml><?xml version="1.0" encoding="utf-8"?>
<Properties xmlns="http://schemas.openxmlformats.org/officeDocument/2006/custom-properties" xmlns:vt="http://schemas.openxmlformats.org/officeDocument/2006/docPropsVTypes"/>
</file>