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1F3864"/>
          <w:sz w:val="36"/>
          <w:szCs w:val="36"/>
        </w:rPr>
        <w:t xml:space="preserve">EB-1A EXTRAORDINARY ABILITY PETITION</w:t>
      </w:r>
    </w:p>
    <w:p>
      <w:pPr>
        <w:spacing w:after="100"/>
        <w:jc w:val="center"/>
      </w:pPr>
      <w:r>
        <w:rPr>
          <w:rFonts w:ascii="Arial" w:cs="Arial" w:eastAsia="Arial" w:hAnsi="Arial"/>
          <w:color w:val="2E75B6"/>
          <w:sz w:val="26"/>
          <w:szCs w:val="26"/>
        </w:rPr>
        <w:t xml:space="preserve">Professional Profile &amp; Case Evaluation Request</w:t>
      </w:r>
    </w:p>
    <w:p>
      <w:pPr>
        <w:pBdr>
          <w:bottom w:val="single" w:color="2E75B6" w:sz="6" w:space="1"/>
        </w:pBdr>
        <w:spacing w:after="4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Candidate</w:t>
            </w:r>
          </w:p>
        </w:tc>
        <w:tc>
          <w:tcPr>
            <w:tcW w:type="dxa" w:w="6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Lakshmi Narayana Rasalay</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Current Position</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Distinguished Engineer, Capital One Financial Corporation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Field</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Computer Science — Enterprise Risk Management Architecture &amp; AI Governance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Years of Experience</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 years in software engineering and enterprise architecture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Immigration Status</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H-1B</w:t>
            </w:r>
          </w:p>
        </w:tc>
      </w:tr>
    </w:tbl>
    <w:p>
      <w:pPr>
        <w:spacing w:after="200"/>
      </w:pPr>
    </w:p>
    <w:p>
      <w:pPr>
        <w:spacing w:after="200"/>
      </w:pPr>
    </w:p>
    <w:p>
      <w:pPr>
        <w:pStyle w:val="Heading1"/>
      </w:pPr>
      <w:r>
        <w:t xml:space="preserve">Executive Summary</w:t>
      </w:r>
    </w:p>
    <w:p>
      <w:pPr>
        <w:spacing w:after="200"/>
      </w:pPr>
      <w:r>
        <w:rPr>
          <w:rFonts w:ascii="Arial" w:cs="Arial" w:eastAsia="Arial" w:hAnsi="Arial"/>
          <w:sz w:val="22"/>
          <w:szCs w:val="22"/>
        </w:rPr>
        <w:t xml:space="preserve">I am seeking evaluation for an EB-1A self-petition based on extraordinary ability in computer science, specifically in enterprise risk management architecture and AI governance for the financial services sector.</w:t>
      </w:r>
    </w:p>
    <w:p>
      <w:pPr>
        <w:spacing w:after="200"/>
      </w:pPr>
      <w:r>
        <w:rPr>
          <w:rFonts w:ascii="Arial" w:cs="Arial" w:eastAsia="Arial" w:hAnsi="Arial"/>
          <w:sz w:val="22"/>
          <w:szCs w:val="22"/>
        </w:rPr>
        <w:t xml:space="preserve">As Distinguished Engineer at Capital One Financial Corporation (6th largest U.S. bank), I hold a title reserved for the top 1.25% of the engineering organization — approximately 300 out of 24,000 software engineers. I serve as the sole architect of three enterprise-critical platforms that collectively protect over 100 million customers, generate $50 million in annual cost savings, and directly contributed to:</w:t>
      </w:r>
      <w:r>
        <w:rPr>
          <w:rFonts w:ascii="Arial" w:cs="Arial" w:eastAsia="Arial" w:hAnsi="Arial"/>
          <w:b/>
          <w:bCs/>
          <w:sz w:val="22"/>
          <w:szCs w:val="22"/>
        </w:rPr>
        <w:t xml:space="preserve"> (1)</w:t>
      </w:r>
      <w:r>
        <w:rPr>
          <w:rFonts w:ascii="Arial" w:cs="Arial" w:eastAsia="Arial" w:hAnsi="Arial"/>
          <w:sz w:val="22"/>
          <w:szCs w:val="22"/>
        </w:rPr>
        <w:t xml:space="preserve"> the closure of a federal consent order issued by the Office of the Comptroller of the Currency following Capital One's 2019 data breach, and </w:t>
      </w:r>
      <w:r>
        <w:rPr>
          <w:rFonts w:ascii="Arial" w:cs="Arial" w:eastAsia="Arial" w:hAnsi="Arial"/>
          <w:b/>
          <w:bCs/>
          <w:sz w:val="22"/>
          <w:szCs w:val="22"/>
        </w:rPr>
        <w:t xml:space="preserve">(2)</w:t>
      </w:r>
      <w:r>
        <w:rPr>
          <w:rFonts w:ascii="Arial" w:cs="Arial" w:eastAsia="Arial" w:hAnsi="Arial"/>
          <w:sz w:val="22"/>
          <w:szCs w:val="22"/>
        </w:rPr>
        <w:t xml:space="preserve"> the regulatory approval of Capital One's $35 billion acquisition of Discover Financial Services.</w:t>
      </w:r>
    </w:p>
    <w:p>
      <w:pPr>
        <w:spacing w:after="200"/>
      </w:pPr>
      <w:r>
        <w:rPr>
          <w:rFonts w:ascii="Arial" w:cs="Arial" w:eastAsia="Arial" w:hAnsi="Arial"/>
          <w:b/>
          <w:bCs/>
          <w:sz w:val="22"/>
          <w:szCs w:val="22"/>
        </w:rPr>
        <w:t xml:space="preserve">I believe my profile satisfies four EB-1A criteria under 8 C.F.R. § 204.5(h)(3):</w:t>
      </w:r>
    </w:p>
    <w:p>
      <w:pPr>
        <w:pStyle w:val="ListParagraph"/>
        <w:numPr>
          <w:ilvl w:val="0"/>
          <w:numId w:val="2"/>
        </w:numPr>
        <w:spacing w:after="100"/>
      </w:pPr>
      <w:r>
        <w:rPr>
          <w:rFonts w:ascii="Arial" w:cs="Arial" w:eastAsia="Arial" w:hAnsi="Arial"/>
          <w:sz w:val="22"/>
          <w:szCs w:val="22"/>
        </w:rPr>
        <w:t xml:space="preserve">High Salary — $381,860 total compensation, exceeding the 90th percentile by 30–81% across seven independent data sources</w:t>
      </w:r>
    </w:p>
    <w:p>
      <w:pPr>
        <w:pStyle w:val="ListParagraph"/>
        <w:numPr>
          <w:ilvl w:val="0"/>
          <w:numId w:val="2"/>
        </w:numPr>
        <w:spacing w:after="100"/>
      </w:pPr>
      <w:r>
        <w:rPr>
          <w:rFonts w:ascii="Arial" w:cs="Arial" w:eastAsia="Arial" w:hAnsi="Arial"/>
          <w:sz w:val="22"/>
          <w:szCs w:val="22"/>
        </w:rPr>
        <w:t xml:space="preserve">Judging — Selected as judge for NASA International Space Apps Challenge (167 countries, 114,000+ participants), IEEE SoutheastCon peer review (6 papers), and multiple other nationally recognized events</w:t>
      </w:r>
    </w:p>
    <w:p>
      <w:pPr>
        <w:pStyle w:val="ListParagraph"/>
        <w:numPr>
          <w:ilvl w:val="0"/>
          <w:numId w:val="2"/>
        </w:numPr>
        <w:spacing w:after="100"/>
      </w:pPr>
      <w:r>
        <w:rPr>
          <w:rFonts w:ascii="Arial" w:cs="Arial" w:eastAsia="Arial" w:hAnsi="Arial"/>
          <w:sz w:val="22"/>
          <w:szCs w:val="22"/>
        </w:rPr>
        <w:t xml:space="preserve">Leading/Critical Role — Distinguished Engineer (top 1.25%), sole architect of three platforms, $25M budget, 90+ engineers under architectural oversight</w:t>
      </w:r>
    </w:p>
    <w:p>
      <w:pPr>
        <w:pStyle w:val="ListParagraph"/>
        <w:numPr>
          <w:ilvl w:val="0"/>
          <w:numId w:val="2"/>
        </w:numPr>
        <w:spacing w:after="100"/>
      </w:pPr>
      <w:r>
        <w:rPr>
          <w:rFonts w:ascii="Arial" w:cs="Arial" w:eastAsia="Arial" w:hAnsi="Arial"/>
          <w:sz w:val="22"/>
          <w:szCs w:val="22"/>
        </w:rPr>
        <w:t xml:space="preserve">Original Contributions of Major Significance — Two published vendor case studies naming me as architect, three consecutive years of conference presentations, 10 published technical articles with 23,700+ page views, U.S. patent filed and implemented across multiple applications, independent expert validation from PwC, TransUnion, Truist, and MUFG</w:t>
      </w:r>
    </w:p>
    <w:p>
      <w:pPr>
        <w:spacing w:after="200"/>
      </w:pPr>
    </w:p>
    <w:p>
      <w:pPr>
        <w:spacing w:after="200"/>
      </w:pPr>
      <w:r>
        <w:rPr>
          <w:rFonts w:ascii="Arial" w:cs="Arial" w:eastAsia="Arial" w:hAnsi="Arial"/>
          <w:b/>
          <w:bCs/>
          <w:sz w:val="22"/>
          <w:szCs w:val="22"/>
        </w:rPr>
        <w:t xml:space="preserve">National Interest:</w:t>
      </w:r>
      <w:r>
        <w:rPr>
          <w:rFonts w:ascii="Arial" w:cs="Arial" w:eastAsia="Arial" w:hAnsi="Arial"/>
          <w:sz w:val="22"/>
          <w:szCs w:val="22"/>
        </w:rPr>
        <w:t xml:space="preserve"> My continued work in the United States serves critical national interests in financial system stability, cybersecurity, and economic competitiveness. The platforms I architect protect over 100 million U.S. consumers, ensure compliance with federal banking regulations, and enable the competitiveness of a major U.S. financial institution in the global marketplace. At a time when financial sector cybersecurity and AI governance are matters of national security concern, my expertise directly contributes to U.S. technological leadership and financial system resilience.</w:t>
      </w:r>
    </w:p>
    <w:p>
      <w:pPr>
        <w:spacing w:after="200"/>
      </w:pPr>
    </w:p>
    <w:p>
      <w:pPr>
        <w:pStyle w:val="Heading1"/>
      </w:pPr>
      <w:r>
        <w:t xml:space="preserve">Evidence Profile by EB-1A Criterion</w:t>
      </w:r>
    </w:p>
    <w:p>
      <w:pPr>
        <w:pStyle w:val="Heading2"/>
      </w:pPr>
      <w:r>
        <w:t xml:space="preserve">1. High Salary — 8 C.F.R. § 204.5(h)(3)(ix)</w:t>
      </w:r>
    </w:p>
    <w:p>
      <w:pPr>
        <w:pStyle w:val="Heading3"/>
      </w:pPr>
      <w:r>
        <w:t xml:space="preserve">Compensation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6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Amount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Base Salary (as of 2/1/2026)</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$275,160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2025 Performance Bonus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$47,200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2025 Long-Term Incentive RSUs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$59,500</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Total 2025 Compensation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$381,860</w:t>
            </w:r>
          </w:p>
        </w:tc>
      </w:tr>
    </w:tbl>
    <w:p>
      <w:pPr>
        <w:spacing w:after="200"/>
      </w:pPr>
    </w:p>
    <w:p>
      <w:pPr>
        <w:pStyle w:val="Heading3"/>
      </w:pPr>
      <w:r>
        <w:t xml:space="preserve">Multi-Source Comparison Analysis</w:t>
      </w:r>
    </w:p>
    <w:p>
      <w:pPr>
        <w:spacing w:after="200"/>
      </w:pPr>
      <w:r>
        <w:rPr>
          <w:rFonts w:ascii="Arial" w:cs="Arial" w:eastAsia="Arial" w:hAnsi="Arial"/>
          <w:sz w:val="22"/>
          <w:szCs w:val="22"/>
        </w:rPr>
        <w:t xml:space="preserve">Seven independent data sources demonstrate that my compensation significantly exceeds the 90th percentile for software developers nationally: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w:t>
            </w:r>
          </w:p>
        </w:tc>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My Premium</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BLS OEWS (90th %ile)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$211,450 base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+30.1% (base)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BLS OEWS (90th %ile)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$211,450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+80.6% (TC)</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Glassdoor (FS DE median)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$267,691 TC</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+42.6%</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Levels.fyi (C1 DE median)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$350,167 TC</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+9.1%</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Salary.com (90th %ile)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$196,071 base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+40.3%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ZipRecruiter (90th %ile)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$205,000 base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+34.2%</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JPMorgan Chase (median SWE)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$142,000 TC</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+168.9%</w:t>
            </w:r>
          </w:p>
        </w:tc>
      </w:tr>
    </w:tbl>
    <w:p>
      <w:pPr>
        <w:spacing w:after="200"/>
      </w:pPr>
    </w:p>
    <w:p>
      <w:pPr>
        <w:pStyle w:val="Heading3"/>
      </w:pPr>
      <w:r>
        <w:t xml:space="preserve">Geographic Purchasing Power Adjustment</w:t>
      </w:r>
    </w:p>
    <w:p>
      <w:pPr>
        <w:spacing w:after="200"/>
      </w:pPr>
      <w:r>
        <w:rPr>
          <w:rFonts w:ascii="Arial" w:cs="Arial" w:eastAsia="Arial" w:hAnsi="Arial"/>
          <w:sz w:val="22"/>
          <w:szCs w:val="22"/>
        </w:rPr>
        <w:t xml:space="preserve">Richmond, VA has approximately 62–69% lower cost of living than San Francisco, CA. When adjusted for purchasing power, my $381,860 compensation is equivalent to approximately $619,000–$645,000 in San Francisco — exceeding even Silicon Valley Distinguished Engineer medians.</w:t>
      </w:r>
    </w:p>
    <w:p>
      <w:pPr>
        <w:spacing w:after="200"/>
      </w:pPr>
    </w:p>
    <w:p>
      <w:pPr>
        <w:pStyle w:val="Heading3"/>
      </w:pPr>
      <w:r>
        <w:t xml:space="preserve">Available Documentation</w:t>
      </w:r>
    </w:p>
    <w:p>
      <w:pPr>
        <w:pStyle w:val="ListParagraph"/>
        <w:numPr>
          <w:ilvl w:val="0"/>
          <w:numId w:val="2"/>
        </w:numPr>
        <w:spacing w:after="100"/>
      </w:pPr>
      <w:r>
        <w:rPr>
          <w:rFonts w:ascii="Arial" w:cs="Arial" w:eastAsia="Arial" w:hAnsi="Arial"/>
          <w:sz w:val="22"/>
          <w:szCs w:val="22"/>
        </w:rPr>
        <w:t xml:space="preserve">Official Verification of Employment from Capital One HR</w:t>
      </w:r>
    </w:p>
    <w:p>
      <w:pPr>
        <w:pStyle w:val="ListParagraph"/>
        <w:numPr>
          <w:ilvl w:val="0"/>
          <w:numId w:val="2"/>
        </w:numPr>
        <w:spacing w:after="100"/>
      </w:pPr>
      <w:r>
        <w:rPr>
          <w:rFonts w:ascii="Arial" w:cs="Arial" w:eastAsia="Arial" w:hAnsi="Arial"/>
          <w:sz w:val="22"/>
          <w:szCs w:val="22"/>
        </w:rPr>
        <w:t xml:space="preserve">2025 Year-End Compensation Statement showing base, bonus, RSUs, and 'Exceptional' performance rating</w:t>
      </w:r>
    </w:p>
    <w:p>
      <w:pPr>
        <w:pStyle w:val="ListParagraph"/>
        <w:numPr>
          <w:ilvl w:val="0"/>
          <w:numId w:val="2"/>
        </w:numPr>
        <w:spacing w:after="100"/>
      </w:pPr>
      <w:r>
        <w:rPr>
          <w:rFonts w:ascii="Arial" w:cs="Arial" w:eastAsia="Arial" w:hAnsi="Arial"/>
          <w:sz w:val="22"/>
          <w:szCs w:val="22"/>
        </w:rPr>
        <w:t xml:space="preserve">W-2 Wage and Tax Statements for 2023, 2024, and 2025</w:t>
      </w:r>
    </w:p>
    <w:p>
      <w:pPr>
        <w:pStyle w:val="ListParagraph"/>
        <w:numPr>
          <w:ilvl w:val="0"/>
          <w:numId w:val="2"/>
        </w:numPr>
        <w:spacing w:after="100"/>
      </w:pPr>
      <w:r>
        <w:rPr>
          <w:rFonts w:ascii="Arial" w:cs="Arial" w:eastAsia="Arial" w:hAnsi="Arial"/>
          <w:sz w:val="22"/>
          <w:szCs w:val="22"/>
        </w:rPr>
        <w:t xml:space="preserve">Seven independent salary comparison sources (BLS, Glassdoor, Levels.fyi, Salary.com, ZipRecruiter, banking peer analysis, geographic purchasing power)</w:t>
      </w:r>
    </w:p>
    <w:p>
      <w:pPr>
        <w:spacing w:after="200"/>
      </w:pPr>
    </w:p>
    <w:p>
      <w:pPr>
        <w:pStyle w:val="Heading2"/>
      </w:pPr>
      <w:r>
        <w:t xml:space="preserve">2. Judging the Work of Others — 8 C.F.R. § 204.5(h)(3)(iv)</w:t>
      </w:r>
    </w:p>
    <w:p>
      <w:pPr>
        <w:pStyle w:val="Heading3"/>
      </w:pPr>
      <w:r>
        <w:t xml:space="preserve">NASA International Space Apps Challenge 2025 — Universal Event Judge</w:t>
      </w:r>
    </w:p>
    <w:p>
      <w:pPr>
        <w:pStyle w:val="ListParagraph"/>
        <w:numPr>
          <w:ilvl w:val="0"/>
          <w:numId w:val="2"/>
        </w:numPr>
        <w:spacing w:after="100"/>
      </w:pPr>
      <w:r>
        <w:rPr>
          <w:rFonts w:ascii="Arial" w:cs="Arial" w:eastAsia="Arial" w:hAnsi="Arial"/>
          <w:b/>
          <w:bCs/>
          <w:sz w:val="22"/>
          <w:szCs w:val="22"/>
        </w:rPr>
        <w:t xml:space="preserve">Event:</w:t>
      </w:r>
      <w:r>
        <w:rPr>
          <w:rFonts w:ascii="Arial" w:cs="Arial" w:eastAsia="Arial" w:hAnsi="Arial"/>
          <w:sz w:val="22"/>
          <w:szCs w:val="22"/>
        </w:rPr>
        <w:t xml:space="preserve"> World's largest annual global hackathon organized by NASA in collaboration with 15 international space agency partners</w:t>
      </w:r>
    </w:p>
    <w:p>
      <w:pPr>
        <w:pStyle w:val="ListParagraph"/>
        <w:numPr>
          <w:ilvl w:val="0"/>
          <w:numId w:val="2"/>
        </w:numPr>
        <w:spacing w:after="100"/>
      </w:pPr>
      <w:r>
        <w:rPr>
          <w:rFonts w:ascii="Arial" w:cs="Arial" w:eastAsia="Arial" w:hAnsi="Arial"/>
          <w:b/>
          <w:bCs/>
          <w:sz w:val="22"/>
          <w:szCs w:val="22"/>
        </w:rPr>
        <w:t xml:space="preserve">Scale:</w:t>
      </w:r>
      <w:r>
        <w:rPr>
          <w:rFonts w:ascii="Arial" w:cs="Arial" w:eastAsia="Arial" w:hAnsi="Arial"/>
          <w:sz w:val="22"/>
          <w:szCs w:val="22"/>
        </w:rPr>
        <w:t xml:space="preserve"> 114,000+ registered participants, 167 countries and territories, 551 local events, 11,500+ project submissions</w:t>
      </w:r>
    </w:p>
    <w:p>
      <w:pPr>
        <w:pStyle w:val="ListParagraph"/>
        <w:numPr>
          <w:ilvl w:val="0"/>
          <w:numId w:val="2"/>
        </w:numPr>
        <w:spacing w:after="100"/>
      </w:pPr>
      <w:r>
        <w:rPr>
          <w:rFonts w:ascii="Arial" w:cs="Arial" w:eastAsia="Arial" w:hAnsi="Arial"/>
          <w:b/>
          <w:bCs/>
          <w:sz w:val="22"/>
          <w:szCs w:val="22"/>
        </w:rPr>
        <w:t xml:space="preserve">Role:</w:t>
      </w:r>
      <w:r>
        <w:rPr>
          <w:rFonts w:ascii="Arial" w:cs="Arial" w:eastAsia="Arial" w:hAnsi="Arial"/>
          <w:sz w:val="22"/>
          <w:szCs w:val="22"/>
        </w:rPr>
        <w:t xml:space="preserve"> Selected by NASA to serve as Universal Event Judge, evaluating ~32 assigned projects using official judging console</w:t>
      </w:r>
    </w:p>
    <w:p>
      <w:pPr>
        <w:pStyle w:val="ListParagraph"/>
        <w:numPr>
          <w:ilvl w:val="0"/>
          <w:numId w:val="2"/>
        </w:numPr>
        <w:spacing w:after="100"/>
      </w:pPr>
      <w:r>
        <w:rPr>
          <w:rFonts w:ascii="Arial" w:cs="Arial" w:eastAsia="Arial" w:hAnsi="Arial"/>
          <w:b/>
          <w:bCs/>
          <w:sz w:val="22"/>
          <w:szCs w:val="22"/>
        </w:rPr>
        <w:t xml:space="preserve">Documentation:</w:t>
      </w:r>
      <w:r>
        <w:rPr>
          <w:rFonts w:ascii="Arial" w:cs="Arial" w:eastAsia="Arial" w:hAnsi="Arial"/>
          <w:sz w:val="22"/>
          <w:szCs w:val="22"/>
        </w:rPr>
        <w:t xml:space="preserve"> Invitation email from Frances N. Adiele (NASA/Booz Allen Hamilton), thank-you letter from Dr. Keith Gaddis (NASA Space Apps Program Scientist, NASA Headquarters), follow-up from Dr. Parker Miles confirming completion</w:t>
      </w:r>
    </w:p>
    <w:p>
      <w:pPr>
        <w:spacing w:after="200"/>
      </w:pPr>
    </w:p>
    <w:p>
      <w:pPr>
        <w:pStyle w:val="Heading3"/>
      </w:pPr>
      <w:r>
        <w:t xml:space="preserve">IEEE SoutheastCon 2026 — Peer Reviewer</w:t>
      </w:r>
    </w:p>
    <w:p>
      <w:pPr>
        <w:pStyle w:val="ListParagraph"/>
        <w:numPr>
          <w:ilvl w:val="0"/>
          <w:numId w:val="2"/>
        </w:numPr>
        <w:spacing w:after="100"/>
      </w:pPr>
      <w:r>
        <w:rPr>
          <w:rFonts w:ascii="Arial" w:cs="Arial" w:eastAsia="Arial" w:hAnsi="Arial"/>
          <w:b/>
          <w:bCs/>
          <w:sz w:val="22"/>
          <w:szCs w:val="22"/>
        </w:rPr>
        <w:t xml:space="preserve">Organization:</w:t>
      </w:r>
      <w:r>
        <w:rPr>
          <w:rFonts w:ascii="Arial" w:cs="Arial" w:eastAsia="Arial" w:hAnsi="Arial"/>
          <w:sz w:val="22"/>
          <w:szCs w:val="22"/>
        </w:rPr>
        <w:t xml:space="preserve"> IEEE (Institute of Electrical and Electronics Engineers) — 400,000+ members, 160+ countries, world's largest technical professional organization</w:t>
      </w:r>
    </w:p>
    <w:p>
      <w:pPr>
        <w:pStyle w:val="ListParagraph"/>
        <w:numPr>
          <w:ilvl w:val="0"/>
          <w:numId w:val="2"/>
        </w:numPr>
        <w:spacing w:after="100"/>
      </w:pPr>
      <w:r>
        <w:rPr>
          <w:rFonts w:ascii="Arial" w:cs="Arial" w:eastAsia="Arial" w:hAnsi="Arial"/>
          <w:b/>
          <w:bCs/>
          <w:sz w:val="22"/>
          <w:szCs w:val="22"/>
        </w:rPr>
        <w:t xml:space="preserve">Role:</w:t>
      </w:r>
      <w:r>
        <w:rPr>
          <w:rFonts w:ascii="Arial" w:cs="Arial" w:eastAsia="Arial" w:hAnsi="Arial"/>
          <w:sz w:val="22"/>
          <w:szCs w:val="22"/>
        </w:rPr>
        <w:t xml:space="preserve"> Invited by Technical Program Committee to review 6 technical paper submissions</w:t>
      </w:r>
    </w:p>
    <w:p>
      <w:pPr>
        <w:pStyle w:val="ListParagraph"/>
        <w:numPr>
          <w:ilvl w:val="0"/>
          <w:numId w:val="2"/>
        </w:numPr>
        <w:spacing w:after="100"/>
      </w:pPr>
      <w:r>
        <w:rPr>
          <w:rFonts w:ascii="Arial" w:cs="Arial" w:eastAsia="Arial" w:hAnsi="Arial"/>
          <w:b/>
          <w:bCs/>
          <w:sz w:val="22"/>
          <w:szCs w:val="22"/>
        </w:rPr>
        <w:t xml:space="preserve">Documentation:</w:t>
      </w:r>
      <w:r>
        <w:rPr>
          <w:rFonts w:ascii="Arial" w:cs="Arial" w:eastAsia="Arial" w:hAnsi="Arial"/>
          <w:sz w:val="22"/>
          <w:szCs w:val="22"/>
        </w:rPr>
        <w:t xml:space="preserve"> Reviewer invitation, confirmation certificate, completed review acknowledgment</w:t>
      </w:r>
    </w:p>
    <w:p>
      <w:pPr>
        <w:spacing w:after="200"/>
      </w:pPr>
    </w:p>
    <w:p>
      <w:pPr>
        <w:pStyle w:val="Heading3"/>
      </w:pPr>
      <w:r>
        <w:t xml:space="preserve">Additional Judging Roles</w:t>
      </w:r>
    </w:p>
    <w:p>
      <w:pPr>
        <w:pStyle w:val="ListParagraph"/>
        <w:numPr>
          <w:ilvl w:val="0"/>
          <w:numId w:val="2"/>
        </w:numPr>
        <w:spacing w:after="100"/>
      </w:pPr>
      <w:r>
        <w:rPr>
          <w:rFonts w:ascii="Arial" w:cs="Arial" w:eastAsia="Arial" w:hAnsi="Arial"/>
          <w:sz w:val="22"/>
          <w:szCs w:val="22"/>
        </w:rPr>
        <w:t xml:space="preserve">Business Intelligence Group — Innovation Awards &amp; Herizon Awards (nationally recognized industry awards)</w:t>
      </w:r>
    </w:p>
    <w:p>
      <w:pPr>
        <w:pStyle w:val="ListParagraph"/>
        <w:numPr>
          <w:ilvl w:val="0"/>
          <w:numId w:val="2"/>
        </w:numPr>
        <w:spacing w:after="100"/>
      </w:pPr>
      <w:r>
        <w:rPr>
          <w:rFonts w:ascii="Arial" w:cs="Arial" w:eastAsia="Arial" w:hAnsi="Arial"/>
          <w:sz w:val="22"/>
          <w:szCs w:val="22"/>
        </w:rPr>
        <w:t xml:space="preserve">Technovation Girls — Judge for global technology entrepreneurship program (100+ countries)</w:t>
      </w:r>
    </w:p>
    <w:p>
      <w:pPr>
        <w:pStyle w:val="ListParagraph"/>
        <w:numPr>
          <w:ilvl w:val="0"/>
          <w:numId w:val="2"/>
        </w:numPr>
        <w:spacing w:after="100"/>
      </w:pPr>
      <w:r>
        <w:rPr>
          <w:rFonts w:ascii="Arial" w:cs="Arial" w:eastAsia="Arial" w:hAnsi="Arial"/>
          <w:sz w:val="22"/>
          <w:szCs w:val="22"/>
        </w:rPr>
        <w:t xml:space="preserve">IEEE MGA — Judge for Member and Geographic Activities programs</w:t>
      </w:r>
    </w:p>
    <w:p>
      <w:pPr>
        <w:pStyle w:val="ListParagraph"/>
        <w:numPr>
          <w:ilvl w:val="0"/>
          <w:numId w:val="2"/>
        </w:numPr>
        <w:spacing w:after="100"/>
      </w:pPr>
      <w:r>
        <w:rPr>
          <w:rFonts w:ascii="Arial" w:cs="Arial" w:eastAsia="Arial" w:hAnsi="Arial"/>
          <w:sz w:val="22"/>
          <w:szCs w:val="22"/>
        </w:rPr>
        <w:t xml:space="preserve">University Hackathons — VTHacks (Virginia Tech), MakeOHI/O (Ohio University), UT Austin</w:t>
      </w:r>
    </w:p>
    <w:p>
      <w:pPr>
        <w:spacing w:after="200"/>
      </w:pPr>
    </w:p>
    <w:p>
      <w:pPr>
        <w:pStyle w:val="Heading2"/>
      </w:pPr>
      <w:r>
        <w:t xml:space="preserve">3. Leading or Critical Role — 8 C.F.R. § 204.5(h)(3)(viii)</w:t>
      </w:r>
    </w:p>
    <w:p>
      <w:pPr>
        <w:pStyle w:val="Heading3"/>
      </w:pPr>
      <w:r>
        <w:t xml:space="preserve">Capital One Financial Corporation — Distinguished Reputation</w:t>
      </w:r>
    </w:p>
    <w:p>
      <w:pPr>
        <w:pStyle w:val="ListParagraph"/>
        <w:numPr>
          <w:ilvl w:val="0"/>
          <w:numId w:val="2"/>
        </w:numPr>
        <w:spacing w:after="100"/>
      </w:pPr>
      <w:r>
        <w:rPr>
          <w:rFonts w:ascii="Arial" w:cs="Arial" w:eastAsia="Arial" w:hAnsi="Arial"/>
          <w:sz w:val="22"/>
          <w:szCs w:val="22"/>
        </w:rPr>
        <w:t xml:space="preserve">6th largest U.S. commercial bank by total assets</w:t>
      </w:r>
    </w:p>
    <w:p>
      <w:pPr>
        <w:pStyle w:val="ListParagraph"/>
        <w:numPr>
          <w:ilvl w:val="0"/>
          <w:numId w:val="2"/>
        </w:numPr>
        <w:spacing w:after="100"/>
      </w:pPr>
      <w:r>
        <w:rPr>
          <w:rFonts w:ascii="Arial" w:cs="Arial" w:eastAsia="Arial" w:hAnsi="Arial"/>
          <w:sz w:val="22"/>
          <w:szCs w:val="22"/>
        </w:rPr>
        <w:t xml:space="preserve">Fortune 500 company serving 100+ million customer accounts</w:t>
      </w:r>
    </w:p>
    <w:p>
      <w:pPr>
        <w:pStyle w:val="ListParagraph"/>
        <w:numPr>
          <w:ilvl w:val="0"/>
          <w:numId w:val="2"/>
        </w:numPr>
        <w:spacing w:after="100"/>
      </w:pPr>
      <w:r>
        <w:rPr>
          <w:rFonts w:ascii="Arial" w:cs="Arial" w:eastAsia="Arial" w:hAnsi="Arial"/>
          <w:sz w:val="22"/>
          <w:szCs w:val="22"/>
        </w:rPr>
        <w:t xml:space="preserve">J.D. Power #1 ranking in U.S. Small Business Banking Satisfaction (2023–2024)</w:t>
      </w:r>
    </w:p>
    <w:p>
      <w:pPr>
        <w:pStyle w:val="ListParagraph"/>
        <w:numPr>
          <w:ilvl w:val="0"/>
          <w:numId w:val="2"/>
        </w:numPr>
        <w:spacing w:after="100"/>
      </w:pPr>
      <w:r>
        <w:rPr>
          <w:rFonts w:ascii="Arial" w:cs="Arial" w:eastAsia="Arial" w:hAnsi="Arial"/>
          <w:sz w:val="22"/>
          <w:szCs w:val="22"/>
        </w:rPr>
        <w:t xml:space="preserve">Regulatory approval for $35 billion Discover Financial Services acquisition (2025)</w:t>
      </w:r>
    </w:p>
    <w:p>
      <w:pPr>
        <w:spacing w:after="200"/>
      </w:pPr>
    </w:p>
    <w:p>
      <w:pPr>
        <w:pStyle w:val="Heading3"/>
      </w:pPr>
      <w:r>
        <w:t xml:space="preserve">My Role — Performance, Not Merely Title</w:t>
      </w:r>
    </w:p>
    <w:p>
      <w:pPr>
        <w:spacing w:after="200"/>
      </w:pPr>
      <w:r>
        <w:rPr>
          <w:rFonts w:ascii="Arial" w:cs="Arial" w:eastAsia="Arial" w:hAnsi="Arial"/>
          <w:b/>
          <w:bCs/>
          <w:sz w:val="22"/>
          <w:szCs w:val="22"/>
        </w:rPr>
        <w:t xml:space="preserve">Distinguished Engineer:</w:t>
      </w:r>
      <w:r>
        <w:rPr>
          <w:rFonts w:ascii="Arial" w:cs="Arial" w:eastAsia="Arial" w:hAnsi="Arial"/>
          <w:sz w:val="22"/>
          <w:szCs w:val="22"/>
        </w:rPr>
        <w:t xml:space="preserve"> One of approximately 300 out of 24,000 software engineers (top 1.25% of engineering organization). This is Capital One's highest individual contributor designation.</w:t>
      </w:r>
    </w:p>
    <w:p>
      <w:pPr>
        <w:spacing w:after="200"/>
      </w:pPr>
      <w:r>
        <w:rPr>
          <w:rFonts w:ascii="Arial" w:cs="Arial" w:eastAsia="Arial" w:hAnsi="Arial"/>
          <w:b/>
          <w:bCs/>
          <w:sz w:val="22"/>
          <w:szCs w:val="22"/>
        </w:rPr>
        <w:t xml:space="preserve">Scope of Leadership:</w:t>
      </w:r>
    </w:p>
    <w:p>
      <w:pPr>
        <w:pStyle w:val="ListParagraph"/>
        <w:numPr>
          <w:ilvl w:val="0"/>
          <w:numId w:val="2"/>
        </w:numPr>
        <w:spacing w:after="100"/>
      </w:pPr>
      <w:r>
        <w:rPr>
          <w:rFonts w:ascii="Arial" w:cs="Arial" w:eastAsia="Arial" w:hAnsi="Arial"/>
          <w:sz w:val="22"/>
          <w:szCs w:val="22"/>
        </w:rPr>
        <w:t xml:space="preserve">Direct architectural oversight of 90+ engineers across multiple development teams</w:t>
      </w:r>
    </w:p>
    <w:p>
      <w:pPr>
        <w:pStyle w:val="ListParagraph"/>
        <w:numPr>
          <w:ilvl w:val="0"/>
          <w:numId w:val="2"/>
        </w:numPr>
        <w:spacing w:after="100"/>
      </w:pPr>
      <w:r>
        <w:rPr>
          <w:rFonts w:ascii="Arial" w:cs="Arial" w:eastAsia="Arial" w:hAnsi="Arial"/>
          <w:sz w:val="22"/>
          <w:szCs w:val="22"/>
        </w:rPr>
        <w:t xml:space="preserve">Management of $25M+ annual technology budget for risk management platforms</w:t>
      </w:r>
    </w:p>
    <w:p>
      <w:pPr>
        <w:pStyle w:val="ListParagraph"/>
        <w:numPr>
          <w:ilvl w:val="0"/>
          <w:numId w:val="2"/>
        </w:numPr>
        <w:spacing w:after="100"/>
      </w:pPr>
      <w:r>
        <w:rPr>
          <w:rFonts w:ascii="Arial" w:cs="Arial" w:eastAsia="Arial" w:hAnsi="Arial"/>
          <w:sz w:val="22"/>
          <w:szCs w:val="22"/>
        </w:rPr>
        <w:t xml:space="preserve">Sole architect responsible for three enterprise-critical platforms: Fuse (GRC), Model Risk Management (MRM), and Workflow as a Service (WaaS)</w:t>
      </w:r>
    </w:p>
    <w:p>
      <w:pPr>
        <w:pStyle w:val="ListParagraph"/>
        <w:numPr>
          <w:ilvl w:val="0"/>
          <w:numId w:val="2"/>
        </w:numPr>
        <w:spacing w:after="100"/>
      </w:pPr>
      <w:r>
        <w:rPr>
          <w:rFonts w:ascii="Arial" w:cs="Arial" w:eastAsia="Arial" w:hAnsi="Arial"/>
          <w:sz w:val="22"/>
          <w:szCs w:val="22"/>
        </w:rPr>
        <w:t xml:space="preserve">Performance rating: 'Exceptional' — Capital One's highest performance designation (documented in 2025 Year-End Compensation Statement)</w:t>
      </w:r>
    </w:p>
    <w:p>
      <w:pPr>
        <w:spacing w:after="200"/>
      </w:pPr>
    </w:p>
    <w:p>
      <w:pPr>
        <w:pStyle w:val="Heading3"/>
      </w:pPr>
      <w:r>
        <w:t xml:space="preserve">Specific Contributions and Outcomes</w:t>
      </w:r>
    </w:p>
    <w:p>
      <w:pPr>
        <w:spacing w:after="200"/>
      </w:pPr>
      <w:r>
        <w:rPr>
          <w:rFonts w:ascii="Arial" w:cs="Arial" w:eastAsia="Arial" w:hAnsi="Arial"/>
          <w:b/>
          <w:bCs/>
          <w:sz w:val="22"/>
          <w:szCs w:val="22"/>
        </w:rPr>
        <w:t xml:space="preserve">Federal Consent Order Closure:</w:t>
      </w:r>
      <w:r>
        <w:rPr>
          <w:rFonts w:ascii="Arial" w:cs="Arial" w:eastAsia="Arial" w:hAnsi="Arial"/>
          <w:sz w:val="22"/>
          <w:szCs w:val="22"/>
        </w:rPr>
        <w:t xml:space="preserve"> The Fuse GRC platform I architected directly contributed to closing the federal consent order issued by the OCC following Capital One's 2019 data breach. This represents federal regulatory validation of my risk management architecture.</w:t>
      </w:r>
    </w:p>
    <w:p>
      <w:pPr>
        <w:spacing w:after="200"/>
      </w:pPr>
      <w:r>
        <w:rPr>
          <w:rFonts w:ascii="Arial" w:cs="Arial" w:eastAsia="Arial" w:hAnsi="Arial"/>
          <w:b/>
          <w:bCs/>
          <w:sz w:val="22"/>
          <w:szCs w:val="22"/>
        </w:rPr>
        <w:t xml:space="preserve">$35B Acquisition Enablement:</w:t>
      </w:r>
      <w:r>
        <w:rPr>
          <w:rFonts w:ascii="Arial" w:cs="Arial" w:eastAsia="Arial" w:hAnsi="Arial"/>
          <w:sz w:val="22"/>
          <w:szCs w:val="22"/>
        </w:rPr>
        <w:t xml:space="preserve"> My platforms provide the risk infrastructure necessary to integrate Discover Financial Services operations. The Federal Reserve and OCC approved this merger based in part on confidence in Capital One's risk management capabilities.</w:t>
      </w:r>
    </w:p>
    <w:p>
      <w:pPr>
        <w:spacing w:after="200"/>
      </w:pPr>
      <w:r>
        <w:rPr>
          <w:rFonts w:ascii="Arial" w:cs="Arial" w:eastAsia="Arial" w:hAnsi="Arial"/>
          <w:b/>
          <w:bCs/>
          <w:sz w:val="22"/>
          <w:szCs w:val="22"/>
        </w:rPr>
        <w:t xml:space="preserve">Enterprise Scale &amp; Impact:</w:t>
      </w:r>
      <w:r>
        <w:rPr>
          <w:rFonts w:ascii="Arial" w:cs="Arial" w:eastAsia="Arial" w:hAnsi="Arial"/>
          <w:sz w:val="22"/>
          <w:szCs w:val="22"/>
        </w:rPr>
        <w:t xml:space="preserve"> The three platforms I architected serve 10,000+ internal users, protect 100+ million customer accounts, deliver $50M+ in annual cost savings, and operate at 99.99% uptime.</w:t>
      </w:r>
    </w:p>
    <w:p>
      <w:pPr>
        <w:spacing w:after="200"/>
      </w:pPr>
    </w:p>
    <w:p>
      <w:pPr>
        <w:pStyle w:val="Heading3"/>
      </w:pPr>
      <w:r>
        <w:t xml:space="preserve">Available Documentation</w:t>
      </w:r>
    </w:p>
    <w:p>
      <w:pPr>
        <w:pStyle w:val="ListParagraph"/>
        <w:numPr>
          <w:ilvl w:val="0"/>
          <w:numId w:val="2"/>
        </w:numPr>
        <w:spacing w:after="100"/>
      </w:pPr>
      <w:r>
        <w:rPr>
          <w:rFonts w:ascii="Arial" w:cs="Arial" w:eastAsia="Arial" w:hAnsi="Arial"/>
          <w:sz w:val="22"/>
          <w:szCs w:val="22"/>
        </w:rPr>
        <w:t xml:space="preserve">Organizational chart showing position and reporting structure</w:t>
      </w:r>
    </w:p>
    <w:p>
      <w:pPr>
        <w:pStyle w:val="ListParagraph"/>
        <w:numPr>
          <w:ilvl w:val="0"/>
          <w:numId w:val="2"/>
        </w:numPr>
        <w:spacing w:after="100"/>
      </w:pPr>
      <w:r>
        <w:rPr>
          <w:rFonts w:ascii="Arial" w:cs="Arial" w:eastAsia="Arial" w:hAnsi="Arial"/>
          <w:sz w:val="22"/>
          <w:szCs w:val="22"/>
        </w:rPr>
        <w:t xml:space="preserve">2025 Year-End Compensation Statement documenting 'Exceptional' performance rating and Distinguished Engineer promotion</w:t>
      </w:r>
    </w:p>
    <w:p>
      <w:pPr>
        <w:pStyle w:val="ListParagraph"/>
        <w:numPr>
          <w:ilvl w:val="0"/>
          <w:numId w:val="2"/>
        </w:numPr>
        <w:spacing w:after="100"/>
      </w:pPr>
      <w:r>
        <w:rPr>
          <w:rFonts w:ascii="Arial" w:cs="Arial" w:eastAsia="Arial" w:hAnsi="Arial"/>
          <w:sz w:val="22"/>
          <w:szCs w:val="22"/>
        </w:rPr>
        <w:t xml:space="preserve">Letters from VP/SVP-level Capital One executives detailing performance-based contributions</w:t>
      </w:r>
    </w:p>
    <w:p>
      <w:pPr>
        <w:pStyle w:val="ListParagraph"/>
        <w:numPr>
          <w:ilvl w:val="0"/>
          <w:numId w:val="2"/>
        </w:numPr>
        <w:spacing w:after="100"/>
      </w:pPr>
      <w:r>
        <w:rPr>
          <w:rFonts w:ascii="Arial" w:cs="Arial" w:eastAsia="Arial" w:hAnsi="Arial"/>
          <w:sz w:val="22"/>
          <w:szCs w:val="22"/>
        </w:rPr>
        <w:t xml:space="preserve">Letter from Candace Wilkins, SVP at Truist Financial Corporation (former Director of Risk at Capital One) confirming significance of my role</w:t>
      </w:r>
    </w:p>
    <w:p>
      <w:pPr>
        <w:spacing w:after="200"/>
      </w:pPr>
    </w:p>
    <w:p>
      <w:pPr>
        <w:pStyle w:val="Heading2"/>
      </w:pPr>
      <w:r>
        <w:t xml:space="preserve">4. Original Contributions of Major Significance — 8 C.F.R. § 204.5(h)(3)(v)</w:t>
      </w:r>
    </w:p>
    <w:p>
      <w:pPr>
        <w:pStyle w:val="Heading3"/>
      </w:pPr>
      <w:r>
        <w:t xml:space="preserve">Contribution 1: Fuse — Enterprise Governance and Risk Compliance Platform</w:t>
      </w:r>
    </w:p>
    <w:p>
      <w:pPr>
        <w:spacing w:after="200"/>
      </w:pPr>
      <w:r>
        <w:rPr>
          <w:rFonts w:ascii="Arial" w:cs="Arial" w:eastAsia="Arial" w:hAnsi="Arial"/>
          <w:b/>
          <w:bCs/>
          <w:sz w:val="22"/>
          <w:szCs w:val="22"/>
        </w:rPr>
        <w:t xml:space="preserve">Industry Problem Addressed:</w:t>
      </w:r>
      <w:r>
        <w:rPr>
          <w:rFonts w:ascii="Arial" w:cs="Arial" w:eastAsia="Arial" w:hAnsi="Arial"/>
          <w:sz w:val="22"/>
          <w:szCs w:val="22"/>
        </w:rPr>
        <w:t xml:space="preserve"> Financial institutions globally rely on third-party vendor GRC platforms that have demonstrated critical limitations — monolithic architecture, slow regulatory adaptation, and catastrophic vulnerabilities (evidenced by Capital One's 2019 breach affecting 106 million customers).</w:t>
      </w:r>
    </w:p>
    <w:p>
      <w:pPr>
        <w:spacing w:after="200"/>
      </w:pPr>
      <w:r>
        <w:rPr>
          <w:rFonts w:ascii="Arial" w:cs="Arial" w:eastAsia="Arial" w:hAnsi="Arial"/>
          <w:b/>
          <w:bCs/>
          <w:sz w:val="22"/>
          <w:szCs w:val="22"/>
        </w:rPr>
        <w:t xml:space="preserve">My Innovation:</w:t>
      </w:r>
      <w:r>
        <w:rPr>
          <w:rFonts w:ascii="Arial" w:cs="Arial" w:eastAsia="Arial" w:hAnsi="Arial"/>
          <w:sz w:val="22"/>
          <w:szCs w:val="22"/>
        </w:rPr>
        <w:t xml:space="preserve"> Designed and implemented Fuse as a fully serverless, event-driven, microservices-based GRC platform on AWS, replacing the failed vendor product entirely. Key architectural innovations:</w:t>
      </w:r>
    </w:p>
    <w:p>
      <w:pPr>
        <w:pStyle w:val="ListParagraph"/>
        <w:numPr>
          <w:ilvl w:val="0"/>
          <w:numId w:val="2"/>
        </w:numPr>
        <w:spacing w:after="100"/>
      </w:pPr>
      <w:r>
        <w:rPr>
          <w:rFonts w:ascii="Arial" w:cs="Arial" w:eastAsia="Arial" w:hAnsi="Arial"/>
          <w:sz w:val="22"/>
          <w:szCs w:val="22"/>
        </w:rPr>
        <w:t xml:space="preserve">Real-time event-driven data ingestion (vs. industry-standard batch processing)</w:t>
      </w:r>
    </w:p>
    <w:p>
      <w:pPr>
        <w:pStyle w:val="ListParagraph"/>
        <w:numPr>
          <w:ilvl w:val="0"/>
          <w:numId w:val="2"/>
        </w:numPr>
        <w:spacing w:after="100"/>
      </w:pPr>
      <w:r>
        <w:rPr>
          <w:rFonts w:ascii="Arial" w:cs="Arial" w:eastAsia="Arial" w:hAnsi="Arial"/>
          <w:sz w:val="22"/>
          <w:szCs w:val="22"/>
        </w:rPr>
        <w:t xml:space="preserve">ML-integrated risk scoring for predictive compliance monitoring</w:t>
      </w:r>
    </w:p>
    <w:p>
      <w:pPr>
        <w:pStyle w:val="ListParagraph"/>
        <w:numPr>
          <w:ilvl w:val="0"/>
          <w:numId w:val="2"/>
        </w:numPr>
        <w:spacing w:after="100"/>
      </w:pPr>
      <w:r>
        <w:rPr>
          <w:rFonts w:ascii="Arial" w:cs="Arial" w:eastAsia="Arial" w:hAnsi="Arial"/>
          <w:sz w:val="22"/>
          <w:szCs w:val="22"/>
        </w:rPr>
        <w:t xml:space="preserve">Scalable microservices architecture supporting 10,000+ concurrent users</w:t>
      </w:r>
    </w:p>
    <w:p>
      <w:pPr>
        <w:pStyle w:val="ListParagraph"/>
        <w:numPr>
          <w:ilvl w:val="0"/>
          <w:numId w:val="2"/>
        </w:numPr>
        <w:spacing w:after="100"/>
      </w:pPr>
      <w:r>
        <w:rPr>
          <w:rFonts w:ascii="Arial" w:cs="Arial" w:eastAsia="Arial" w:hAnsi="Arial"/>
          <w:sz w:val="22"/>
          <w:szCs w:val="22"/>
        </w:rPr>
        <w:t xml:space="preserve">Extensible design enabling absorption of acquired institutions (Discover)</w:t>
      </w:r>
    </w:p>
    <w:p>
      <w:pPr>
        <w:spacing w:after="200"/>
      </w:pPr>
    </w:p>
    <w:p>
      <w:pPr>
        <w:spacing w:after="200"/>
      </w:pPr>
      <w:r>
        <w:rPr>
          <w:rFonts w:ascii="Arial" w:cs="Arial" w:eastAsia="Arial" w:hAnsi="Arial"/>
          <w:b/>
          <w:bCs/>
          <w:sz w:val="22"/>
          <w:szCs w:val="22"/>
        </w:rPr>
        <w:t xml:space="preserve">Evidence of Major Significance:</w:t>
      </w:r>
    </w:p>
    <w:p>
      <w:pPr>
        <w:pStyle w:val="ListParagraph"/>
        <w:numPr>
          <w:ilvl w:val="0"/>
          <w:numId w:val="2"/>
        </w:numPr>
        <w:spacing w:after="100"/>
      </w:pPr>
      <w:r>
        <w:rPr>
          <w:rFonts w:ascii="Arial" w:cs="Arial" w:eastAsia="Arial" w:hAnsi="Arial"/>
          <w:b/>
          <w:bCs/>
          <w:sz w:val="22"/>
          <w:szCs w:val="22"/>
        </w:rPr>
        <w:t xml:space="preserve">Federal regulatory validation:</w:t>
      </w:r>
      <w:r>
        <w:rPr>
          <w:rFonts w:ascii="Arial" w:cs="Arial" w:eastAsia="Arial" w:hAnsi="Arial"/>
          <w:sz w:val="22"/>
          <w:szCs w:val="22"/>
        </w:rPr>
        <w:t xml:space="preserve"> Contributed to OCC consent order closure and Federal Reserve/OCC approval of $35B Discover acquisition</w:t>
      </w:r>
    </w:p>
    <w:p>
      <w:pPr>
        <w:pStyle w:val="ListParagraph"/>
        <w:numPr>
          <w:ilvl w:val="0"/>
          <w:numId w:val="2"/>
        </w:numPr>
        <w:spacing w:after="100"/>
      </w:pPr>
      <w:r>
        <w:rPr>
          <w:rFonts w:ascii="Arial" w:cs="Arial" w:eastAsia="Arial" w:hAnsi="Arial"/>
          <w:b/>
          <w:bCs/>
          <w:sz w:val="22"/>
          <w:szCs w:val="22"/>
        </w:rPr>
        <w:t xml:space="preserve">National interest:</w:t>
      </w:r>
      <w:r>
        <w:rPr>
          <w:rFonts w:ascii="Arial" w:cs="Arial" w:eastAsia="Arial" w:hAnsi="Arial"/>
          <w:sz w:val="22"/>
          <w:szCs w:val="22"/>
        </w:rPr>
        <w:t xml:space="preserve"> Protects 100+ million U.S. consumers from data breaches and financial fraud, strengthens U.S. critical infrastructure cybersecurity</w:t>
      </w:r>
    </w:p>
    <w:p>
      <w:pPr>
        <w:pStyle w:val="ListParagraph"/>
        <w:numPr>
          <w:ilvl w:val="0"/>
          <w:numId w:val="2"/>
        </w:numPr>
        <w:spacing w:after="100"/>
      </w:pPr>
      <w:r>
        <w:rPr>
          <w:rFonts w:ascii="Arial" w:cs="Arial" w:eastAsia="Arial" w:hAnsi="Arial"/>
          <w:b/>
          <w:bCs/>
          <w:sz w:val="22"/>
          <w:szCs w:val="22"/>
        </w:rPr>
        <w:t xml:space="preserve">Scale:</w:t>
      </w:r>
      <w:r>
        <w:rPr>
          <w:rFonts w:ascii="Arial" w:cs="Arial" w:eastAsia="Arial" w:hAnsi="Arial"/>
          <w:sz w:val="22"/>
          <w:szCs w:val="22"/>
        </w:rPr>
        <w:t xml:space="preserve"> 10,000+ users, 100+ million customer accounts, $50M annual savings, 80% operational efficiency improvement</w:t>
      </w:r>
    </w:p>
    <w:p>
      <w:pPr>
        <w:pStyle w:val="ListParagraph"/>
        <w:numPr>
          <w:ilvl w:val="0"/>
          <w:numId w:val="2"/>
        </w:numPr>
        <w:spacing w:after="100"/>
      </w:pPr>
      <w:r>
        <w:rPr>
          <w:rFonts w:ascii="Arial" w:cs="Arial" w:eastAsia="Arial" w:hAnsi="Arial"/>
          <w:b/>
          <w:bCs/>
          <w:sz w:val="22"/>
          <w:szCs w:val="22"/>
        </w:rPr>
        <w:t xml:space="preserve">Third-party recognition:</w:t>
      </w:r>
      <w:r>
        <w:rPr>
          <w:rFonts w:ascii="Arial" w:cs="Arial" w:eastAsia="Arial" w:hAnsi="Arial"/>
          <w:sz w:val="22"/>
          <w:szCs w:val="22"/>
        </w:rPr>
        <w:t xml:space="preserve"> Featured in Camunda vendor case study (July 2024) naming me as architect</w:t>
      </w:r>
    </w:p>
    <w:p>
      <w:pPr>
        <w:spacing w:after="200"/>
      </w:pPr>
    </w:p>
    <w:p>
      <w:pPr>
        <w:pStyle w:val="Heading3"/>
      </w:pPr>
      <w:r>
        <w:t xml:space="preserve">Contribution 2: Model Risk Management Modernization for AI/ML Governance</w:t>
      </w:r>
    </w:p>
    <w:p>
      <w:pPr>
        <w:spacing w:after="200"/>
      </w:pPr>
      <w:r>
        <w:rPr>
          <w:rFonts w:ascii="Arial" w:cs="Arial" w:eastAsia="Arial" w:hAnsi="Arial"/>
          <w:b/>
          <w:bCs/>
          <w:sz w:val="22"/>
          <w:szCs w:val="22"/>
        </w:rPr>
        <w:t xml:space="preserve">Industry Problem:</w:t>
      </w:r>
      <w:r>
        <w:rPr>
          <w:rFonts w:ascii="Arial" w:cs="Arial" w:eastAsia="Arial" w:hAnsi="Arial"/>
          <w:sz w:val="22"/>
          <w:szCs w:val="22"/>
        </w:rPr>
        <w:t xml:space="preserve"> Financial institutions globally struggle to govern AI/ML models under SR 11-7 supervisory guidance. Traditional MRM frameworks cannot accommodate modern AI complexity, opacity, and rapid iteration.</w:t>
      </w:r>
    </w:p>
    <w:p>
      <w:pPr>
        <w:spacing w:after="200"/>
      </w:pPr>
      <w:r>
        <w:rPr>
          <w:rFonts w:ascii="Arial" w:cs="Arial" w:eastAsia="Arial" w:hAnsi="Arial"/>
          <w:b/>
          <w:bCs/>
          <w:sz w:val="22"/>
          <w:szCs w:val="22"/>
        </w:rPr>
        <w:t xml:space="preserve">My Innovation:</w:t>
      </w:r>
      <w:r>
        <w:rPr>
          <w:rFonts w:ascii="Arial" w:cs="Arial" w:eastAsia="Arial" w:hAnsi="Arial"/>
          <w:sz w:val="22"/>
          <w:szCs w:val="22"/>
        </w:rPr>
        <w:t xml:space="preserve"> Designed modernized MRM platform with:</w:t>
      </w:r>
    </w:p>
    <w:p>
      <w:pPr>
        <w:pStyle w:val="ListParagraph"/>
        <w:numPr>
          <w:ilvl w:val="0"/>
          <w:numId w:val="2"/>
        </w:numPr>
        <w:spacing w:after="100"/>
      </w:pPr>
      <w:r>
        <w:rPr>
          <w:rFonts w:ascii="Arial" w:cs="Arial" w:eastAsia="Arial" w:hAnsi="Arial"/>
          <w:sz w:val="22"/>
          <w:szCs w:val="22"/>
        </w:rPr>
        <w:t xml:space="preserve">JSONB-based flexible schema accommodating statistical, ML, and generative AI models without schema migrations</w:t>
      </w:r>
    </w:p>
    <w:p>
      <w:pPr>
        <w:pStyle w:val="ListParagraph"/>
        <w:numPr>
          <w:ilvl w:val="0"/>
          <w:numId w:val="2"/>
        </w:numPr>
        <w:spacing w:after="100"/>
      </w:pPr>
      <w:r>
        <w:rPr>
          <w:rFonts w:ascii="Arial" w:cs="Arial" w:eastAsia="Arial" w:hAnsi="Arial"/>
          <w:sz w:val="22"/>
          <w:szCs w:val="22"/>
        </w:rPr>
        <w:t xml:space="preserve">Automated validation workflows for continuous performance assessment and compliance</w:t>
      </w:r>
    </w:p>
    <w:p>
      <w:pPr>
        <w:pStyle w:val="ListParagraph"/>
        <w:numPr>
          <w:ilvl w:val="0"/>
          <w:numId w:val="2"/>
        </w:numPr>
        <w:spacing w:after="100"/>
      </w:pPr>
      <w:r>
        <w:rPr>
          <w:rFonts w:ascii="Arial" w:cs="Arial" w:eastAsia="Arial" w:hAnsi="Arial"/>
          <w:sz w:val="22"/>
          <w:szCs w:val="22"/>
        </w:rPr>
        <w:t xml:space="preserve">Real-time lifecycle traceability providing auditable records from development through retirement</w:t>
      </w:r>
    </w:p>
    <w:p>
      <w:pPr>
        <w:spacing w:after="200"/>
      </w:pPr>
    </w:p>
    <w:p>
      <w:pPr>
        <w:spacing w:after="200"/>
      </w:pPr>
      <w:r>
        <w:rPr>
          <w:rFonts w:ascii="Arial" w:cs="Arial" w:eastAsia="Arial" w:hAnsi="Arial"/>
          <w:b/>
          <w:bCs/>
          <w:sz w:val="22"/>
          <w:szCs w:val="22"/>
        </w:rPr>
        <w:t xml:space="preserve">Evidence of Major Significance:</w:t>
      </w:r>
    </w:p>
    <w:p>
      <w:pPr>
        <w:pStyle w:val="ListParagraph"/>
        <w:numPr>
          <w:ilvl w:val="0"/>
          <w:numId w:val="2"/>
        </w:numPr>
        <w:spacing w:after="100"/>
      </w:pPr>
      <w:r>
        <w:rPr>
          <w:rFonts w:ascii="Arial" w:cs="Arial" w:eastAsia="Arial" w:hAnsi="Arial"/>
          <w:b/>
          <w:bCs/>
          <w:sz w:val="22"/>
          <w:szCs w:val="22"/>
        </w:rPr>
        <w:t xml:space="preserve">Regulatory alignment:</w:t>
      </w:r>
      <w:r>
        <w:rPr>
          <w:rFonts w:ascii="Arial" w:cs="Arial" w:eastAsia="Arial" w:hAnsi="Arial"/>
          <w:sz w:val="22"/>
          <w:szCs w:val="22"/>
        </w:rPr>
        <w:t xml:space="preserve"> Implements SR 11-7 requirements for AI/ML models and aligns with NIST AI Risk Management Framework</w:t>
      </w:r>
    </w:p>
    <w:p>
      <w:pPr>
        <w:pStyle w:val="ListParagraph"/>
        <w:numPr>
          <w:ilvl w:val="0"/>
          <w:numId w:val="2"/>
        </w:numPr>
        <w:spacing w:after="100"/>
      </w:pPr>
      <w:r>
        <w:rPr>
          <w:rFonts w:ascii="Arial" w:cs="Arial" w:eastAsia="Arial" w:hAnsi="Arial"/>
          <w:b/>
          <w:bCs/>
          <w:sz w:val="22"/>
          <w:szCs w:val="22"/>
        </w:rPr>
        <w:t xml:space="preserve">National interest:</w:t>
      </w:r>
      <w:r>
        <w:rPr>
          <w:rFonts w:ascii="Arial" w:cs="Arial" w:eastAsia="Arial" w:hAnsi="Arial"/>
          <w:sz w:val="22"/>
          <w:szCs w:val="22"/>
        </w:rPr>
        <w:t xml:space="preserve"> Advances U.S. leadership in responsible AI governance for regulated industries, addresses strategic AI governance competition with other nations</w:t>
      </w:r>
    </w:p>
    <w:p>
      <w:pPr>
        <w:pStyle w:val="ListParagraph"/>
        <w:numPr>
          <w:ilvl w:val="0"/>
          <w:numId w:val="2"/>
        </w:numPr>
        <w:spacing w:after="100"/>
      </w:pPr>
      <w:r>
        <w:rPr>
          <w:rFonts w:ascii="Arial" w:cs="Arial" w:eastAsia="Arial" w:hAnsi="Arial"/>
          <w:b/>
          <w:bCs/>
          <w:sz w:val="22"/>
          <w:szCs w:val="22"/>
        </w:rPr>
        <w:t xml:space="preserve">Patent filed:</w:t>
      </w:r>
      <w:r>
        <w:rPr>
          <w:rFonts w:ascii="Arial" w:cs="Arial" w:eastAsia="Arial" w:hAnsi="Arial"/>
          <w:sz w:val="22"/>
          <w:szCs w:val="22"/>
        </w:rPr>
        <w:t xml:space="preserve"> U.S. Patent Application No. 19/230,615 for using large language models to process regulatory rule changes — accepted for examination by USPTO</w:t>
      </w:r>
    </w:p>
    <w:p>
      <w:pPr>
        <w:pStyle w:val="ListParagraph"/>
        <w:numPr>
          <w:ilvl w:val="0"/>
          <w:numId w:val="2"/>
        </w:numPr>
        <w:spacing w:after="100"/>
      </w:pPr>
      <w:r>
        <w:rPr>
          <w:rFonts w:ascii="Arial" w:cs="Arial" w:eastAsia="Arial" w:hAnsi="Arial"/>
          <w:b/>
          <w:bCs/>
          <w:sz w:val="22"/>
          <w:szCs w:val="22"/>
        </w:rPr>
        <w:t xml:space="preserve">Implementation:</w:t>
      </w:r>
      <w:r>
        <w:rPr>
          <w:rFonts w:ascii="Arial" w:cs="Arial" w:eastAsia="Arial" w:hAnsi="Arial"/>
          <w:sz w:val="22"/>
          <w:szCs w:val="22"/>
        </w:rPr>
        <w:t xml:space="preserve"> Patent implemented across multiple Capital One applications with documented business impact</w:t>
      </w:r>
    </w:p>
    <w:p>
      <w:pPr>
        <w:pStyle w:val="ListParagraph"/>
        <w:numPr>
          <w:ilvl w:val="0"/>
          <w:numId w:val="2"/>
        </w:numPr>
        <w:spacing w:after="100"/>
      </w:pPr>
      <w:r>
        <w:rPr>
          <w:rFonts w:ascii="Arial" w:cs="Arial" w:eastAsia="Arial" w:hAnsi="Arial"/>
          <w:b/>
          <w:bCs/>
          <w:sz w:val="22"/>
          <w:szCs w:val="22"/>
        </w:rPr>
        <w:t xml:space="preserve">Conference recognition:</w:t>
      </w:r>
      <w:r>
        <w:rPr>
          <w:rFonts w:ascii="Arial" w:cs="Arial" w:eastAsia="Arial" w:hAnsi="Arial"/>
          <w:sz w:val="22"/>
          <w:szCs w:val="22"/>
        </w:rPr>
        <w:t xml:space="preserve"> Selected to present at Lambda Conference 2025</w:t>
      </w:r>
    </w:p>
    <w:p>
      <w:pPr>
        <w:spacing w:after="200"/>
      </w:pPr>
    </w:p>
    <w:p>
      <w:pPr>
        <w:pStyle w:val="Heading3"/>
      </w:pPr>
      <w:r>
        <w:t xml:space="preserve">Contribution 3: WaaS — Multi-Tenant Enterprise Workflow Orchestration Platform</w:t>
      </w:r>
    </w:p>
    <w:p>
      <w:pPr>
        <w:spacing w:after="200"/>
      </w:pPr>
      <w:r>
        <w:rPr>
          <w:rFonts w:ascii="Arial" w:cs="Arial" w:eastAsia="Arial" w:hAnsi="Arial"/>
          <w:b/>
          <w:bCs/>
          <w:sz w:val="22"/>
          <w:szCs w:val="22"/>
        </w:rPr>
        <w:t xml:space="preserve">Industry Problem:</w:t>
      </w:r>
      <w:r>
        <w:rPr>
          <w:rFonts w:ascii="Arial" w:cs="Arial" w:eastAsia="Arial" w:hAnsi="Arial"/>
          <w:sz w:val="22"/>
          <w:szCs w:val="22"/>
        </w:rPr>
        <w:t xml:space="preserve"> Large enterprises require workflow orchestration serving multiple business units with distinct requirements while maintaining isolation, security, and reliability. Commercial solutions are either single-tenant or lack configurability for regulated environments.</w:t>
      </w:r>
    </w:p>
    <w:p>
      <w:pPr>
        <w:spacing w:after="200"/>
      </w:pPr>
      <w:r>
        <w:rPr>
          <w:rFonts w:ascii="Arial" w:cs="Arial" w:eastAsia="Arial" w:hAnsi="Arial"/>
          <w:b/>
          <w:bCs/>
          <w:sz w:val="22"/>
          <w:szCs w:val="22"/>
        </w:rPr>
        <w:t xml:space="preserve">My Innovation:</w:t>
      </w:r>
      <w:r>
        <w:rPr>
          <w:rFonts w:ascii="Arial" w:cs="Arial" w:eastAsia="Arial" w:hAnsi="Arial"/>
          <w:sz w:val="22"/>
          <w:szCs w:val="22"/>
        </w:rPr>
        <w:t xml:space="preserve"> Designed multi-tenant workflow orchestration platform on Camunda BPM with:</w:t>
      </w:r>
    </w:p>
    <w:p>
      <w:pPr>
        <w:pStyle w:val="ListParagraph"/>
        <w:numPr>
          <w:ilvl w:val="0"/>
          <w:numId w:val="2"/>
        </w:numPr>
        <w:spacing w:after="100"/>
      </w:pPr>
      <w:r>
        <w:rPr>
          <w:rFonts w:ascii="Arial" w:cs="Arial" w:eastAsia="Arial" w:hAnsi="Arial"/>
          <w:sz w:val="22"/>
          <w:szCs w:val="22"/>
        </w:rPr>
        <w:t xml:space="preserve">Dynamic tenant isolation enabling secure shared infrastructure</w:t>
      </w:r>
    </w:p>
    <w:p>
      <w:pPr>
        <w:pStyle w:val="ListParagraph"/>
        <w:numPr>
          <w:ilvl w:val="0"/>
          <w:numId w:val="2"/>
        </w:numPr>
        <w:spacing w:after="100"/>
      </w:pPr>
      <w:r>
        <w:rPr>
          <w:rFonts w:ascii="Arial" w:cs="Arial" w:eastAsia="Arial" w:hAnsi="Arial"/>
          <w:sz w:val="22"/>
          <w:szCs w:val="22"/>
        </w:rPr>
        <w:t xml:space="preserve">Intelligent resource allocation scaling based on tenant-specific workload patterns</w:t>
      </w:r>
    </w:p>
    <w:p>
      <w:pPr>
        <w:pStyle w:val="ListParagraph"/>
        <w:numPr>
          <w:ilvl w:val="0"/>
          <w:numId w:val="2"/>
        </w:numPr>
        <w:spacing w:after="100"/>
      </w:pPr>
      <w:r>
        <w:rPr>
          <w:rFonts w:ascii="Arial" w:cs="Arial" w:eastAsia="Arial" w:hAnsi="Arial"/>
          <w:sz w:val="22"/>
          <w:szCs w:val="22"/>
        </w:rPr>
        <w:t xml:space="preserve">Active-active multi-region deployment achieving 99.99% uptime</w:t>
      </w:r>
    </w:p>
    <w:p>
      <w:pPr>
        <w:pStyle w:val="ListParagraph"/>
        <w:numPr>
          <w:ilvl w:val="0"/>
          <w:numId w:val="2"/>
        </w:numPr>
        <w:spacing w:after="100"/>
      </w:pPr>
      <w:r>
        <w:rPr>
          <w:rFonts w:ascii="Arial" w:cs="Arial" w:eastAsia="Arial" w:hAnsi="Arial"/>
          <w:sz w:val="22"/>
          <w:szCs w:val="22"/>
        </w:rPr>
        <w:t xml:space="preserve">Abstraction layer decoupling business logic from infrastructure</w:t>
      </w:r>
    </w:p>
    <w:p>
      <w:pPr>
        <w:spacing w:after="200"/>
      </w:pPr>
    </w:p>
    <w:p>
      <w:pPr>
        <w:spacing w:after="200"/>
      </w:pPr>
      <w:r>
        <w:rPr>
          <w:rFonts w:ascii="Arial" w:cs="Arial" w:eastAsia="Arial" w:hAnsi="Arial"/>
          <w:b/>
          <w:bCs/>
          <w:sz w:val="22"/>
          <w:szCs w:val="22"/>
        </w:rPr>
        <w:t xml:space="preserve">Evidence of Major Significance:</w:t>
      </w:r>
    </w:p>
    <w:p>
      <w:pPr>
        <w:pStyle w:val="ListParagraph"/>
        <w:numPr>
          <w:ilvl w:val="0"/>
          <w:numId w:val="2"/>
        </w:numPr>
        <w:spacing w:after="100"/>
      </w:pPr>
      <w:r>
        <w:rPr>
          <w:rFonts w:ascii="Arial" w:cs="Arial" w:eastAsia="Arial" w:hAnsi="Arial"/>
          <w:b/>
          <w:bCs/>
          <w:sz w:val="22"/>
          <w:szCs w:val="22"/>
        </w:rPr>
        <w:t xml:space="preserve">Third-party published recognition:</w:t>
      </w:r>
      <w:r>
        <w:rPr>
          <w:rFonts w:ascii="Arial" w:cs="Arial" w:eastAsia="Arial" w:hAnsi="Arial"/>
          <w:sz w:val="22"/>
          <w:szCs w:val="22"/>
        </w:rPr>
        <w:t xml:space="preserve"> TWO Camunda case studies (July 2024, December 2024) on vendor's corporate website naming me as architect — editorial selection demonstrates exceptional implementation</w:t>
      </w:r>
    </w:p>
    <w:p>
      <w:pPr>
        <w:pStyle w:val="ListParagraph"/>
        <w:numPr>
          <w:ilvl w:val="0"/>
          <w:numId w:val="2"/>
        </w:numPr>
        <w:spacing w:after="100"/>
      </w:pPr>
      <w:r>
        <w:rPr>
          <w:rFonts w:ascii="Arial" w:cs="Arial" w:eastAsia="Arial" w:hAnsi="Arial"/>
          <w:b/>
          <w:bCs/>
          <w:sz w:val="22"/>
          <w:szCs w:val="22"/>
        </w:rPr>
        <w:t xml:space="preserve">Conference presentations:</w:t>
      </w:r>
      <w:r>
        <w:rPr>
          <w:rFonts w:ascii="Arial" w:cs="Arial" w:eastAsia="Arial" w:hAnsi="Arial"/>
          <w:sz w:val="22"/>
          <w:szCs w:val="22"/>
        </w:rPr>
        <w:t xml:space="preserve"> Competitively selected three consecutive years: CamundaCon 2023, Austin API Summit 2024, Lambda Conference 2025</w:t>
      </w:r>
    </w:p>
    <w:p>
      <w:pPr>
        <w:pStyle w:val="ListParagraph"/>
        <w:numPr>
          <w:ilvl w:val="0"/>
          <w:numId w:val="2"/>
        </w:numPr>
        <w:spacing w:after="100"/>
      </w:pPr>
      <w:r>
        <w:rPr>
          <w:rFonts w:ascii="Arial" w:cs="Arial" w:eastAsia="Arial" w:hAnsi="Arial"/>
          <w:b/>
          <w:bCs/>
          <w:sz w:val="22"/>
          <w:szCs w:val="22"/>
        </w:rPr>
        <w:t xml:space="preserve">Scale:</w:t>
      </w:r>
      <w:r>
        <w:rPr>
          <w:rFonts w:ascii="Arial" w:cs="Arial" w:eastAsia="Arial" w:hAnsi="Arial"/>
          <w:sz w:val="22"/>
          <w:szCs w:val="22"/>
        </w:rPr>
        <w:t xml:space="preserve"> 10 enterprise tenants, 15,000+ associates, hundreds of thousands of workflow instances, $10M annual savings</w:t>
      </w:r>
    </w:p>
    <w:p>
      <w:pPr>
        <w:spacing w:after="200"/>
      </w:pPr>
    </w:p>
    <w:p>
      <w:pPr>
        <w:pStyle w:val="Heading3"/>
      </w:pPr>
      <w:r>
        <w:t xml:space="preserve">Independent Expert Validation</w:t>
      </w:r>
    </w:p>
    <w:p>
      <w:pPr>
        <w:spacing w:after="200"/>
      </w:pPr>
      <w:r>
        <w:rPr>
          <w:rFonts w:ascii="Arial" w:cs="Arial" w:eastAsia="Arial" w:hAnsi="Arial"/>
          <w:sz w:val="22"/>
          <w:szCs w:val="22"/>
        </w:rPr>
        <w:t xml:space="preserve">Four independent experts from major institutions have confirmed the originality and major significance of my contributions:</w:t>
      </w:r>
    </w:p>
    <w:p>
      <w:pPr>
        <w:pStyle w:val="ListParagraph"/>
        <w:numPr>
          <w:ilvl w:val="0"/>
          <w:numId w:val="2"/>
        </w:numPr>
        <w:spacing w:after="100"/>
      </w:pPr>
      <w:r>
        <w:rPr>
          <w:rFonts w:ascii="Arial" w:cs="Arial" w:eastAsia="Arial" w:hAnsi="Arial"/>
          <w:b/>
          <w:bCs/>
          <w:sz w:val="22"/>
          <w:szCs w:val="22"/>
        </w:rPr>
        <w:t xml:space="preserve">Dr. Lakshman Kannan, Partner, PwC</w:t>
      </w:r>
      <w:r>
        <w:rPr>
          <w:rFonts w:ascii="Arial" w:cs="Arial" w:eastAsia="Arial" w:hAnsi="Arial"/>
          <w:sz w:val="22"/>
          <w:szCs w:val="22"/>
        </w:rPr>
        <w:t xml:space="preserve"> — Big Four consulting, regulatory compliance and model risk management expertise</w:t>
      </w:r>
    </w:p>
    <w:p>
      <w:pPr>
        <w:pStyle w:val="ListParagraph"/>
        <w:numPr>
          <w:ilvl w:val="0"/>
          <w:numId w:val="2"/>
        </w:numPr>
        <w:spacing w:after="100"/>
      </w:pPr>
      <w:r>
        <w:rPr>
          <w:rFonts w:ascii="Arial" w:cs="Arial" w:eastAsia="Arial" w:hAnsi="Arial"/>
          <w:b/>
          <w:bCs/>
          <w:sz w:val="22"/>
          <w:szCs w:val="22"/>
        </w:rPr>
        <w:t xml:space="preserve">[Name], SVP, TransUnion</w:t>
      </w:r>
      <w:r>
        <w:rPr>
          <w:rFonts w:ascii="Arial" w:cs="Arial" w:eastAsia="Arial" w:hAnsi="Arial"/>
          <w:sz w:val="22"/>
          <w:szCs w:val="22"/>
        </w:rPr>
        <w:t xml:space="preserve"> — One of three major U.S. credit bureaus, enterprise risk management perspective</w:t>
      </w:r>
    </w:p>
    <w:p>
      <w:pPr>
        <w:pStyle w:val="ListParagraph"/>
        <w:numPr>
          <w:ilvl w:val="0"/>
          <w:numId w:val="2"/>
        </w:numPr>
        <w:spacing w:after="100"/>
      </w:pPr>
      <w:r>
        <w:rPr>
          <w:rFonts w:ascii="Arial" w:cs="Arial" w:eastAsia="Arial" w:hAnsi="Arial"/>
          <w:b/>
          <w:bCs/>
          <w:sz w:val="22"/>
          <w:szCs w:val="22"/>
        </w:rPr>
        <w:t xml:space="preserve">Candace Wilkins, SVP, Truist Financial Corporation</w:t>
      </w:r>
      <w:r>
        <w:rPr>
          <w:rFonts w:ascii="Arial" w:cs="Arial" w:eastAsia="Arial" w:hAnsi="Arial"/>
          <w:sz w:val="22"/>
          <w:szCs w:val="22"/>
        </w:rPr>
        <w:t xml:space="preserve"> — 9th largest U.S. bank, former Director of Risk at Capital One</w:t>
      </w:r>
    </w:p>
    <w:p>
      <w:pPr>
        <w:pStyle w:val="ListParagraph"/>
        <w:numPr>
          <w:ilvl w:val="0"/>
          <w:numId w:val="2"/>
        </w:numPr>
        <w:spacing w:after="100"/>
      </w:pPr>
      <w:r>
        <w:rPr>
          <w:rFonts w:ascii="Arial" w:cs="Arial" w:eastAsia="Arial" w:hAnsi="Arial"/>
          <w:b/>
          <w:bCs/>
          <w:sz w:val="22"/>
          <w:szCs w:val="22"/>
        </w:rPr>
        <w:t xml:space="preserve">[Name], VP Risk Management, MUFG</w:t>
      </w:r>
      <w:r>
        <w:rPr>
          <w:rFonts w:ascii="Arial" w:cs="Arial" w:eastAsia="Arial" w:hAnsi="Arial"/>
          <w:sz w:val="22"/>
          <w:szCs w:val="22"/>
        </w:rPr>
        <w:t xml:space="preserve"> — 7th largest bank in the world, global banking perspective</w:t>
      </w:r>
    </w:p>
    <w:p>
      <w:pPr>
        <w:spacing w:after="200"/>
      </w:pPr>
    </w:p>
    <w:p>
      <w:pPr>
        <w:spacing w:after="200"/>
      </w:pPr>
      <w:r>
        <w:rPr>
          <w:rFonts w:ascii="Arial" w:cs="Arial" w:eastAsia="Arial" w:hAnsi="Arial"/>
          <w:sz w:val="22"/>
          <w:szCs w:val="22"/>
        </w:rPr>
        <w:t xml:space="preserve">Each expert will provide detailed evaluation addressing: (1) the industry-wide problem from their institution's perspective; (2) what existed before my innovation; (3) how my approach was original with specific architectural decisions; (4) why it is of major significance to the field beyond Capital One; and (5) their qualifications to evaluate.</w:t>
      </w:r>
    </w:p>
    <w:p>
      <w:pPr>
        <w:spacing w:after="200"/>
      </w:pPr>
    </w:p>
    <w:p>
      <w:pPr>
        <w:pStyle w:val="Heading3"/>
      </w:pPr>
      <w:r>
        <w:t xml:space="preserve">Published Technical Thought Leadership</w:t>
      </w:r>
    </w:p>
    <w:p>
      <w:pPr>
        <w:spacing w:after="200"/>
      </w:pPr>
      <w:r>
        <w:rPr>
          <w:rFonts w:ascii="Arial" w:cs="Arial" w:eastAsia="Arial" w:hAnsi="Arial"/>
          <w:sz w:val="22"/>
          <w:szCs w:val="22"/>
        </w:rPr>
        <w:t xml:space="preserve">I have authored and published 10 technical articles on DZone and Dev.to, two of the most widely-read developer publication platforms globally, disseminating my architectural approaches and innovations to the broader software engineering community: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Articles Published</w:t>
            </w:r>
          </w:p>
        </w:tc>
      </w:tr>
      <w:tr>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DZone (20 million unique monthly visitors)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10 articles</w:t>
            </w:r>
          </w:p>
        </w:tc>
      </w:tr>
      <w:tr>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Dev.to (Leading developer community platform)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Multiple articles</w:t>
            </w:r>
          </w:p>
        </w:tc>
      </w:tr>
      <w:tr>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Total Documented Page Views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23,700+</w:t>
            </w:r>
          </w:p>
        </w:tc>
      </w:tr>
    </w:tbl>
    <w:p>
      <w:pPr>
        <w:spacing w:after="200"/>
      </w:pPr>
    </w:p>
    <w:p>
      <w:pPr>
        <w:spacing w:after="200"/>
      </w:pPr>
      <w:r>
        <w:rPr>
          <w:rFonts w:ascii="Arial" w:cs="Arial" w:eastAsia="Arial" w:hAnsi="Arial"/>
          <w:b/>
          <w:bCs/>
          <w:sz w:val="22"/>
          <w:szCs w:val="22"/>
        </w:rPr>
        <w:t xml:space="preserve">Topics covered:</w:t>
      </w:r>
      <w:r>
        <w:rPr>
          <w:rFonts w:ascii="Arial" w:cs="Arial" w:eastAsia="Arial" w:hAnsi="Arial"/>
          <w:sz w:val="22"/>
          <w:szCs w:val="22"/>
        </w:rPr>
        <w:t xml:space="preserve"> Enterprise architecture patterns, microservices design, cloud-native application development, AI/ML governance frameworks, DevSecOps practices, and regulatory compliance automation. These articles demonstrate sustained engagement with the broader software engineering community and dissemination of architectural innovations beyond Capital One.</w:t>
      </w:r>
    </w:p>
    <w:p>
      <w:pPr>
        <w:spacing w:after="200"/>
      </w:pPr>
      <w:r>
        <w:rPr>
          <w:rFonts w:ascii="Arial" w:cs="Arial" w:eastAsia="Arial" w:hAnsi="Arial"/>
          <w:b/>
          <w:bCs/>
          <w:sz w:val="22"/>
          <w:szCs w:val="22"/>
        </w:rPr>
        <w:t xml:space="preserve">Significance:</w:t>
      </w:r>
      <w:r>
        <w:rPr>
          <w:rFonts w:ascii="Arial" w:cs="Arial" w:eastAsia="Arial" w:hAnsi="Arial"/>
          <w:sz w:val="22"/>
          <w:szCs w:val="22"/>
        </w:rPr>
        <w:t xml:space="preserve"> Publication on DZone and Dev.to represents peer validation — these platforms curate content for quality and relevance to the developer community. The 23,700+ documented page views demonstrate that practitioners throughout the field are actively consuming and learning from my published work.</w:t>
      </w:r>
    </w:p>
    <w:p>
      <w:pPr>
        <w:spacing w:after="200"/>
      </w:pPr>
    </w:p>
    <w:p>
      <w:pPr>
        <w:spacing w:after="200"/>
      </w:pPr>
    </w:p>
    <w:p>
      <w:pPr>
        <w:pStyle w:val="Heading1"/>
      </w:pPr>
      <w:r>
        <w:t xml:space="preserve">Available Supporting Materials</w:t>
      </w:r>
    </w:p>
    <w:p>
      <w:pPr>
        <w:pStyle w:val="Heading2"/>
      </w:pPr>
      <w:r>
        <w:t xml:space="preserve">Documentary Evidence</w:t>
      </w:r>
    </w:p>
    <w:p>
      <w:pPr>
        <w:pStyle w:val="ListParagraph"/>
        <w:numPr>
          <w:ilvl w:val="0"/>
          <w:numId w:val="2"/>
        </w:numPr>
        <w:spacing w:after="100"/>
      </w:pPr>
      <w:r>
        <w:rPr>
          <w:rFonts w:ascii="Arial" w:cs="Arial" w:eastAsia="Arial" w:hAnsi="Arial"/>
          <w:sz w:val="22"/>
          <w:szCs w:val="22"/>
        </w:rPr>
        <w:t xml:space="preserve">Two published Camunda vendor case studies (July 2024, December 2024) naming me as architect</w:t>
      </w:r>
    </w:p>
    <w:p>
      <w:pPr>
        <w:pStyle w:val="ListParagraph"/>
        <w:numPr>
          <w:ilvl w:val="0"/>
          <w:numId w:val="2"/>
        </w:numPr>
        <w:spacing w:after="100"/>
      </w:pPr>
      <w:r>
        <w:rPr>
          <w:rFonts w:ascii="Arial" w:cs="Arial" w:eastAsia="Arial" w:hAnsi="Arial"/>
          <w:sz w:val="22"/>
          <w:szCs w:val="22"/>
        </w:rPr>
        <w:t xml:space="preserve">U.S. Patent Application No. 19/230,615 with USPTO acceptance documentation</w:t>
      </w:r>
    </w:p>
    <w:p>
      <w:pPr>
        <w:pStyle w:val="ListParagraph"/>
        <w:numPr>
          <w:ilvl w:val="0"/>
          <w:numId w:val="2"/>
        </w:numPr>
        <w:spacing w:after="100"/>
      </w:pPr>
      <w:r>
        <w:rPr>
          <w:rFonts w:ascii="Arial" w:cs="Arial" w:eastAsia="Arial" w:hAnsi="Arial"/>
          <w:sz w:val="22"/>
          <w:szCs w:val="22"/>
        </w:rPr>
        <w:t xml:space="preserve">Conference presentation abstracts and acceptance notifications (CamundaCon 2023, Austin API Summit 2024, Lambda Conference 2025)</w:t>
      </w:r>
    </w:p>
    <w:p>
      <w:pPr>
        <w:pStyle w:val="ListParagraph"/>
        <w:numPr>
          <w:ilvl w:val="0"/>
          <w:numId w:val="2"/>
        </w:numPr>
        <w:spacing w:after="100"/>
      </w:pPr>
      <w:r>
        <w:rPr>
          <w:rFonts w:ascii="Arial" w:cs="Arial" w:eastAsia="Arial" w:hAnsi="Arial"/>
          <w:sz w:val="22"/>
          <w:szCs w:val="22"/>
        </w:rPr>
        <w:t xml:space="preserve">Published technical articles: 10 articles on DZone and Dev.to with 23,700+ documented page views demonstrating field-wide dissemination</w:t>
      </w:r>
    </w:p>
    <w:p>
      <w:pPr>
        <w:pStyle w:val="ListParagraph"/>
        <w:numPr>
          <w:ilvl w:val="0"/>
          <w:numId w:val="2"/>
        </w:numPr>
        <w:spacing w:after="100"/>
      </w:pPr>
      <w:r>
        <w:rPr>
          <w:rFonts w:ascii="Arial" w:cs="Arial" w:eastAsia="Arial" w:hAnsi="Arial"/>
          <w:sz w:val="22"/>
          <w:szCs w:val="22"/>
        </w:rPr>
        <w:t xml:space="preserve">Federal consent order documentation (issuance and closure)</w:t>
      </w:r>
    </w:p>
    <w:p>
      <w:pPr>
        <w:pStyle w:val="ListParagraph"/>
        <w:numPr>
          <w:ilvl w:val="0"/>
          <w:numId w:val="2"/>
        </w:numPr>
        <w:spacing w:after="100"/>
      </w:pPr>
      <w:r>
        <w:rPr>
          <w:rFonts w:ascii="Arial" w:cs="Arial" w:eastAsia="Arial" w:hAnsi="Arial"/>
          <w:sz w:val="22"/>
          <w:szCs w:val="22"/>
        </w:rPr>
        <w:t xml:space="preserve">Discover acquisition regulatory approval documentation (Federal Reserve and OCC)</w:t>
      </w:r>
    </w:p>
    <w:p>
      <w:pPr>
        <w:pStyle w:val="ListParagraph"/>
        <w:numPr>
          <w:ilvl w:val="0"/>
          <w:numId w:val="2"/>
        </w:numPr>
        <w:spacing w:after="100"/>
      </w:pPr>
      <w:r>
        <w:rPr>
          <w:rFonts w:ascii="Arial" w:cs="Arial" w:eastAsia="Arial" w:hAnsi="Arial"/>
          <w:sz w:val="22"/>
          <w:szCs w:val="22"/>
        </w:rPr>
        <w:t xml:space="preserve">Architectural diagrams showing innovations for each platform</w:t>
      </w:r>
    </w:p>
    <w:p>
      <w:pPr>
        <w:spacing w:after="200"/>
      </w:pPr>
    </w:p>
    <w:p>
      <w:pPr>
        <w:pStyle w:val="Heading2"/>
      </w:pPr>
      <w:r>
        <w:t xml:space="preserve">Recommendation Letters</w:t>
      </w:r>
    </w:p>
    <w:p>
      <w:pPr>
        <w:spacing w:after="200"/>
      </w:pPr>
      <w:r>
        <w:rPr>
          <w:rFonts w:ascii="Arial" w:cs="Arial" w:eastAsia="Arial" w:hAnsi="Arial"/>
          <w:sz w:val="22"/>
          <w:szCs w:val="22"/>
        </w:rPr>
        <w:t xml:space="preserve">I have secured commitments for 7 recommendation letters:</w:t>
      </w:r>
    </w:p>
    <w:p>
      <w:pPr>
        <w:pStyle w:val="ListParagraph"/>
        <w:numPr>
          <w:ilvl w:val="0"/>
          <w:numId w:val="2"/>
        </w:numPr>
        <w:spacing w:after="100"/>
      </w:pPr>
      <w:r>
        <w:rPr>
          <w:rFonts w:ascii="Arial" w:cs="Arial" w:eastAsia="Arial" w:hAnsi="Arial"/>
          <w:b/>
          <w:bCs/>
          <w:sz w:val="22"/>
          <w:szCs w:val="22"/>
        </w:rPr>
        <w:t xml:space="preserve">Capital One (3):</w:t>
      </w:r>
      <w:r>
        <w:rPr>
          <w:rFonts w:ascii="Arial" w:cs="Arial" w:eastAsia="Arial" w:hAnsi="Arial"/>
          <w:sz w:val="22"/>
          <w:szCs w:val="22"/>
        </w:rPr>
        <w:t xml:space="preserve"> VP/SVP-level executive (leading role), Director of Software Engineering (utilization evidence), dependent advisory from colleague</w:t>
      </w:r>
    </w:p>
    <w:p>
      <w:pPr>
        <w:pStyle w:val="ListParagraph"/>
        <w:numPr>
          <w:ilvl w:val="0"/>
          <w:numId w:val="2"/>
        </w:numPr>
        <w:spacing w:after="100"/>
      </w:pPr>
      <w:r>
        <w:rPr>
          <w:rFonts w:ascii="Arial" w:cs="Arial" w:eastAsia="Arial" w:hAnsi="Arial"/>
          <w:b/>
          <w:bCs/>
          <w:sz w:val="22"/>
          <w:szCs w:val="22"/>
        </w:rPr>
        <w:t xml:space="preserve">Independent (4):</w:t>
      </w:r>
      <w:r>
        <w:rPr>
          <w:rFonts w:ascii="Arial" w:cs="Arial" w:eastAsia="Arial" w:hAnsi="Arial"/>
          <w:sz w:val="22"/>
          <w:szCs w:val="22"/>
        </w:rPr>
        <w:t xml:space="preserve"> PwC Partner, TransUnion SVP, Truist SVP, MUFG VP — all evaluating original contributions with domain expertise</w:t>
      </w:r>
    </w:p>
    <w:p>
      <w:pPr>
        <w:spacing w:after="200"/>
      </w:pPr>
    </w:p>
    <w:p>
      <w:pPr>
        <w:pStyle w:val="Heading2"/>
      </w:pPr>
      <w:r>
        <w:t xml:space="preserve">Salary Documentation</w:t>
      </w:r>
    </w:p>
    <w:p>
      <w:pPr>
        <w:pStyle w:val="ListParagraph"/>
        <w:numPr>
          <w:ilvl w:val="0"/>
          <w:numId w:val="2"/>
        </w:numPr>
        <w:spacing w:after="100"/>
      </w:pPr>
      <w:r>
        <w:rPr>
          <w:rFonts w:ascii="Arial" w:cs="Arial" w:eastAsia="Arial" w:hAnsi="Arial"/>
          <w:sz w:val="22"/>
          <w:szCs w:val="22"/>
        </w:rPr>
        <w:t xml:space="preserve">W-2 Wage and Tax Statements for 2023, 2024, 2025</w:t>
      </w:r>
    </w:p>
    <w:p>
      <w:pPr>
        <w:pStyle w:val="ListParagraph"/>
        <w:numPr>
          <w:ilvl w:val="0"/>
          <w:numId w:val="2"/>
        </w:numPr>
        <w:spacing w:after="100"/>
      </w:pPr>
      <w:r>
        <w:rPr>
          <w:rFonts w:ascii="Arial" w:cs="Arial" w:eastAsia="Arial" w:hAnsi="Arial"/>
          <w:sz w:val="22"/>
          <w:szCs w:val="22"/>
        </w:rPr>
        <w:t xml:space="preserve">Official Verification of Employment from Capital One HR</w:t>
      </w:r>
    </w:p>
    <w:p>
      <w:pPr>
        <w:pStyle w:val="ListParagraph"/>
        <w:numPr>
          <w:ilvl w:val="0"/>
          <w:numId w:val="2"/>
        </w:numPr>
        <w:spacing w:after="100"/>
      </w:pPr>
      <w:r>
        <w:rPr>
          <w:rFonts w:ascii="Arial" w:cs="Arial" w:eastAsia="Arial" w:hAnsi="Arial"/>
          <w:sz w:val="22"/>
          <w:szCs w:val="22"/>
        </w:rPr>
        <w:t xml:space="preserve">2025 Year-End Compensation Statement</w:t>
      </w:r>
    </w:p>
    <w:p>
      <w:pPr>
        <w:pStyle w:val="ListParagraph"/>
        <w:numPr>
          <w:ilvl w:val="0"/>
          <w:numId w:val="2"/>
        </w:numPr>
        <w:spacing w:after="100"/>
      </w:pPr>
      <w:r>
        <w:rPr>
          <w:rFonts w:ascii="Arial" w:cs="Arial" w:eastAsia="Arial" w:hAnsi="Arial"/>
          <w:sz w:val="22"/>
          <w:szCs w:val="22"/>
        </w:rPr>
        <w:t xml:space="preserve">Comprehensive salary analysis with seven independent data sources</w:t>
      </w:r>
    </w:p>
    <w:p>
      <w:pPr>
        <w:spacing w:after="200"/>
      </w:pPr>
    </w:p>
    <w:p>
      <w:pPr>
        <w:pStyle w:val="Heading2"/>
      </w:pPr>
      <w:r>
        <w:t xml:space="preserve">Judging Documentation</w:t>
      </w:r>
    </w:p>
    <w:p>
      <w:pPr>
        <w:pStyle w:val="ListParagraph"/>
        <w:numPr>
          <w:ilvl w:val="0"/>
          <w:numId w:val="2"/>
        </w:numPr>
        <w:spacing w:after="100"/>
      </w:pPr>
      <w:r>
        <w:rPr>
          <w:rFonts w:ascii="Arial" w:cs="Arial" w:eastAsia="Arial" w:hAnsi="Arial"/>
          <w:sz w:val="22"/>
          <w:szCs w:val="22"/>
        </w:rPr>
        <w:t xml:space="preserve">NASA Space Apps Challenge: Invitation emails, thank-you letters from NASA officials, judging console screenshots, event statistics</w:t>
      </w:r>
    </w:p>
    <w:p>
      <w:pPr>
        <w:pStyle w:val="ListParagraph"/>
        <w:numPr>
          <w:ilvl w:val="0"/>
          <w:numId w:val="2"/>
        </w:numPr>
        <w:spacing w:after="100"/>
      </w:pPr>
      <w:r>
        <w:rPr>
          <w:rFonts w:ascii="Arial" w:cs="Arial" w:eastAsia="Arial" w:hAnsi="Arial"/>
          <w:sz w:val="22"/>
          <w:szCs w:val="22"/>
        </w:rPr>
        <w:t xml:space="preserve">IEEE SoutheastCon: Reviewer invitation, confirmation, certificate</w:t>
      </w:r>
    </w:p>
    <w:p>
      <w:pPr>
        <w:pStyle w:val="ListParagraph"/>
        <w:numPr>
          <w:ilvl w:val="0"/>
          <w:numId w:val="2"/>
        </w:numPr>
        <w:spacing w:after="100"/>
      </w:pPr>
      <w:r>
        <w:rPr>
          <w:rFonts w:ascii="Arial" w:cs="Arial" w:eastAsia="Arial" w:hAnsi="Arial"/>
          <w:sz w:val="22"/>
          <w:szCs w:val="22"/>
        </w:rPr>
        <w:t xml:space="preserve">Business Intelligence Group, Technovation Girls, IEEE MGA, university hackathons: Invitations and confirmations</w:t>
      </w:r>
    </w:p>
    <w:p>
      <w:pPr>
        <w:spacing w:after="200"/>
      </w:pPr>
    </w:p>
    <w:p>
      <w:pPr>
        <w:spacing w:after="200"/>
      </w:pPr>
    </w:p>
    <w:p>
      <w:pPr>
        <w:pStyle w:val="Heading1"/>
      </w:pPr>
      <w:r>
        <w:t xml:space="preserve">U.S. National Interest Considerations</w:t>
      </w:r>
    </w:p>
    <w:p>
      <w:pPr>
        <w:spacing w:after="200"/>
      </w:pPr>
      <w:r>
        <w:rPr>
          <w:rFonts w:ascii="Arial" w:cs="Arial" w:eastAsia="Arial" w:hAnsi="Arial"/>
          <w:sz w:val="22"/>
          <w:szCs w:val="22"/>
        </w:rPr>
        <w:t xml:space="preserve">Beyond satisfying the EB-1A regulatory criteria, my continued work in the United States serves critical national interests across multiple dimensions:</w:t>
      </w:r>
    </w:p>
    <w:p>
      <w:pPr>
        <w:spacing w:after="200"/>
      </w:pPr>
    </w:p>
    <w:p>
      <w:pPr>
        <w:pStyle w:val="Heading2"/>
      </w:pPr>
      <w:r>
        <w:t xml:space="preserve">1. Financial System Stability and Consumer Protection</w:t>
      </w:r>
    </w:p>
    <w:p>
      <w:pPr>
        <w:pStyle w:val="ListParagraph"/>
        <w:numPr>
          <w:ilvl w:val="0"/>
          <w:numId w:val="2"/>
        </w:numPr>
        <w:spacing w:after="100"/>
      </w:pPr>
      <w:r>
        <w:rPr>
          <w:rFonts w:ascii="Arial" w:cs="Arial" w:eastAsia="Arial" w:hAnsi="Arial"/>
          <w:sz w:val="22"/>
          <w:szCs w:val="22"/>
        </w:rPr>
        <w:t xml:space="preserve">The platforms I architect at Capital One protect over 100 million U.S. consumer accounts — representing approximately 30% of the U.S. adult population</w:t>
      </w:r>
    </w:p>
    <w:p>
      <w:pPr>
        <w:pStyle w:val="ListParagraph"/>
        <w:numPr>
          <w:ilvl w:val="0"/>
          <w:numId w:val="2"/>
        </w:numPr>
        <w:spacing w:after="100"/>
      </w:pPr>
      <w:r>
        <w:rPr>
          <w:rFonts w:ascii="Arial" w:cs="Arial" w:eastAsia="Arial" w:hAnsi="Arial"/>
          <w:sz w:val="22"/>
          <w:szCs w:val="22"/>
        </w:rPr>
        <w:t xml:space="preserve">My enterprise risk management systems directly contribute to the stability and resilience of the 6th largest U.S. commercial bank</w:t>
      </w:r>
    </w:p>
    <w:p>
      <w:pPr>
        <w:pStyle w:val="ListParagraph"/>
        <w:numPr>
          <w:ilvl w:val="0"/>
          <w:numId w:val="2"/>
        </w:numPr>
        <w:spacing w:after="100"/>
      </w:pPr>
      <w:r>
        <w:rPr>
          <w:rFonts w:ascii="Arial" w:cs="Arial" w:eastAsia="Arial" w:hAnsi="Arial"/>
          <w:sz w:val="22"/>
          <w:szCs w:val="22"/>
        </w:rPr>
        <w:t xml:space="preserve">The Fuse GRC platform helps prevent catastrophic data breaches similar to the 2019 incident that compromised 106 million Americans' personal information</w:t>
      </w:r>
    </w:p>
    <w:p>
      <w:pPr>
        <w:pStyle w:val="ListParagraph"/>
        <w:numPr>
          <w:ilvl w:val="0"/>
          <w:numId w:val="2"/>
        </w:numPr>
        <w:spacing w:after="100"/>
      </w:pPr>
      <w:r>
        <w:rPr>
          <w:rFonts w:ascii="Arial" w:cs="Arial" w:eastAsia="Arial" w:hAnsi="Arial"/>
          <w:sz w:val="22"/>
          <w:szCs w:val="22"/>
        </w:rPr>
        <w:t xml:space="preserve">In an era where financial sector cyberattacks pose systemic risk to the U.S. economy, my work strengthens critical infrastructure protection</w:t>
      </w:r>
    </w:p>
    <w:p>
      <w:pPr>
        <w:spacing w:after="200"/>
      </w:pPr>
    </w:p>
    <w:p>
      <w:pPr>
        <w:pStyle w:val="Heading2"/>
      </w:pPr>
      <w:r>
        <w:t xml:space="preserve">2. Federal Regulatory Compliance and Banking Supervision</w:t>
      </w:r>
    </w:p>
    <w:p>
      <w:pPr>
        <w:pStyle w:val="ListParagraph"/>
        <w:numPr>
          <w:ilvl w:val="0"/>
          <w:numId w:val="2"/>
        </w:numPr>
        <w:spacing w:after="100"/>
      </w:pPr>
      <w:r>
        <w:rPr>
          <w:rFonts w:ascii="Arial" w:cs="Arial" w:eastAsia="Arial" w:hAnsi="Arial"/>
          <w:sz w:val="22"/>
          <w:szCs w:val="22"/>
        </w:rPr>
        <w:t xml:space="preserve">My platforms directly enabled the closure of a federal consent order issued by the Office of the Comptroller of the Currency — demonstrating alignment with U.S. banking supervisory objectives</w:t>
      </w:r>
    </w:p>
    <w:p>
      <w:pPr>
        <w:pStyle w:val="ListParagraph"/>
        <w:numPr>
          <w:ilvl w:val="0"/>
          <w:numId w:val="2"/>
        </w:numPr>
        <w:spacing w:after="100"/>
      </w:pPr>
      <w:r>
        <w:rPr>
          <w:rFonts w:ascii="Arial" w:cs="Arial" w:eastAsia="Arial" w:hAnsi="Arial"/>
          <w:sz w:val="22"/>
          <w:szCs w:val="22"/>
        </w:rPr>
        <w:t xml:space="preserve">The Model Risk Management system implements SR 11-7 supervisory guidance for AI/ML governance, ensuring safe and sound banking practices as U.S. financial institutions rapidly adopt artificial intelligence</w:t>
      </w:r>
    </w:p>
    <w:p>
      <w:pPr>
        <w:pStyle w:val="ListParagraph"/>
        <w:numPr>
          <w:ilvl w:val="0"/>
          <w:numId w:val="2"/>
        </w:numPr>
        <w:spacing w:after="100"/>
      </w:pPr>
      <w:r>
        <w:rPr>
          <w:rFonts w:ascii="Arial" w:cs="Arial" w:eastAsia="Arial" w:hAnsi="Arial"/>
          <w:sz w:val="22"/>
          <w:szCs w:val="22"/>
        </w:rPr>
        <w:t xml:space="preserve">My work supports the Federal Reserve's and OCC's regulatory frameworks, contributing to effective supervision of systemically important financial institutions</w:t>
      </w:r>
    </w:p>
    <w:p>
      <w:pPr>
        <w:spacing w:after="200"/>
      </w:pPr>
    </w:p>
    <w:p>
      <w:pPr>
        <w:pStyle w:val="Heading2"/>
      </w:pPr>
      <w:r>
        <w:t xml:space="preserve">3. U.S. Economic Competitiveness and Job Creation</w:t>
      </w:r>
    </w:p>
    <w:p>
      <w:pPr>
        <w:pStyle w:val="ListParagraph"/>
        <w:numPr>
          <w:ilvl w:val="0"/>
          <w:numId w:val="2"/>
        </w:numPr>
        <w:spacing w:after="100"/>
      </w:pPr>
      <w:r>
        <w:rPr>
          <w:rFonts w:ascii="Arial" w:cs="Arial" w:eastAsia="Arial" w:hAnsi="Arial"/>
          <w:sz w:val="22"/>
          <w:szCs w:val="22"/>
        </w:rPr>
        <w:t xml:space="preserve">My risk infrastructure enabled regulatory approval of Capital One's $35 billion acquisition of Discover Financial Services — the largest bank merger approval in years, strengthening U.S. financial sector consolidation</w:t>
      </w:r>
    </w:p>
    <w:p>
      <w:pPr>
        <w:pStyle w:val="ListParagraph"/>
        <w:numPr>
          <w:ilvl w:val="0"/>
          <w:numId w:val="2"/>
        </w:numPr>
        <w:spacing w:after="100"/>
      </w:pPr>
      <w:r>
        <w:rPr>
          <w:rFonts w:ascii="Arial" w:cs="Arial" w:eastAsia="Arial" w:hAnsi="Arial"/>
          <w:sz w:val="22"/>
          <w:szCs w:val="22"/>
        </w:rPr>
        <w:t xml:space="preserve">This acquisition creates a combined entity better positioned to compete with international financial services giants</w:t>
      </w:r>
    </w:p>
    <w:p>
      <w:pPr>
        <w:pStyle w:val="ListParagraph"/>
        <w:numPr>
          <w:ilvl w:val="0"/>
          <w:numId w:val="2"/>
        </w:numPr>
        <w:spacing w:after="100"/>
      </w:pPr>
      <w:r>
        <w:rPr>
          <w:rFonts w:ascii="Arial" w:cs="Arial" w:eastAsia="Arial" w:hAnsi="Arial"/>
          <w:sz w:val="22"/>
          <w:szCs w:val="22"/>
        </w:rPr>
        <w:t xml:space="preserve">The platforms I architect generate $50 million in annual operational cost savings, strengthening Capital One's profitability and competitive position</w:t>
      </w:r>
    </w:p>
    <w:p>
      <w:pPr>
        <w:pStyle w:val="ListParagraph"/>
        <w:numPr>
          <w:ilvl w:val="0"/>
          <w:numId w:val="2"/>
        </w:numPr>
        <w:spacing w:after="100"/>
      </w:pPr>
      <w:r>
        <w:rPr>
          <w:rFonts w:ascii="Arial" w:cs="Arial" w:eastAsia="Arial" w:hAnsi="Arial"/>
          <w:sz w:val="22"/>
          <w:szCs w:val="22"/>
        </w:rPr>
        <w:t xml:space="preserve">My work supports Capital One's employment of over 50,000 U.S. workers across technology, banking, and customer service roles</w:t>
      </w:r>
    </w:p>
    <w:p>
      <w:pPr>
        <w:spacing w:after="200"/>
      </w:pPr>
    </w:p>
    <w:p>
      <w:pPr>
        <w:pStyle w:val="Heading2"/>
      </w:pPr>
      <w:r>
        <w:t xml:space="preserve">4. AI Governance and Technological Leadership</w:t>
      </w:r>
    </w:p>
    <w:p>
      <w:pPr>
        <w:pStyle w:val="ListParagraph"/>
        <w:numPr>
          <w:ilvl w:val="0"/>
          <w:numId w:val="2"/>
        </w:numPr>
        <w:spacing w:after="100"/>
      </w:pPr>
      <w:r>
        <w:rPr>
          <w:rFonts w:ascii="Arial" w:cs="Arial" w:eastAsia="Arial" w:hAnsi="Arial"/>
          <w:sz w:val="22"/>
          <w:szCs w:val="22"/>
        </w:rPr>
        <w:t xml:space="preserve">The United States faces strategic competition in artificial intelligence governance frameworks — my Model Risk Management platform represents U.S. leadership in responsible AI deployment in regulated industries</w:t>
      </w:r>
    </w:p>
    <w:p>
      <w:pPr>
        <w:pStyle w:val="ListParagraph"/>
        <w:numPr>
          <w:ilvl w:val="0"/>
          <w:numId w:val="2"/>
        </w:numPr>
        <w:spacing w:after="100"/>
      </w:pPr>
      <w:r>
        <w:rPr>
          <w:rFonts w:ascii="Arial" w:cs="Arial" w:eastAsia="Arial" w:hAnsi="Arial"/>
          <w:sz w:val="22"/>
          <w:szCs w:val="22"/>
        </w:rPr>
        <w:t xml:space="preserve">My U.S. patent on using large language models for regulatory compliance automation advances American innovation in the intersection of AI and financial regulation</w:t>
      </w:r>
    </w:p>
    <w:p>
      <w:pPr>
        <w:pStyle w:val="ListParagraph"/>
        <w:numPr>
          <w:ilvl w:val="0"/>
          <w:numId w:val="2"/>
        </w:numPr>
        <w:spacing w:after="100"/>
      </w:pPr>
      <w:r>
        <w:rPr>
          <w:rFonts w:ascii="Arial" w:cs="Arial" w:eastAsia="Arial" w:hAnsi="Arial"/>
          <w:sz w:val="22"/>
          <w:szCs w:val="22"/>
        </w:rPr>
        <w:t xml:space="preserve">My published technical articles (23,700+ page views) disseminate U.S.-developed architectural patterns globally, contributing to American thought leadership in enterprise technology</w:t>
      </w:r>
    </w:p>
    <w:p>
      <w:pPr>
        <w:spacing w:after="200"/>
      </w:pPr>
    </w:p>
    <w:p>
      <w:pPr>
        <w:pStyle w:val="Heading2"/>
      </w:pPr>
      <w:r>
        <w:t xml:space="preserve">5. Knowledge Transfer and Workforce Development</w:t>
      </w:r>
    </w:p>
    <w:p>
      <w:pPr>
        <w:pStyle w:val="ListParagraph"/>
        <w:numPr>
          <w:ilvl w:val="0"/>
          <w:numId w:val="2"/>
        </w:numPr>
        <w:spacing w:after="100"/>
      </w:pPr>
      <w:r>
        <w:rPr>
          <w:rFonts w:ascii="Arial" w:cs="Arial" w:eastAsia="Arial" w:hAnsi="Arial"/>
          <w:sz w:val="22"/>
          <w:szCs w:val="22"/>
        </w:rPr>
        <w:t xml:space="preserve">Through judging roles for NASA Space Apps Challenge, IEEE, and university hackathons, I contribute to U.S. STEM education and workforce development</w:t>
      </w:r>
    </w:p>
    <w:p>
      <w:pPr>
        <w:pStyle w:val="ListParagraph"/>
        <w:numPr>
          <w:ilvl w:val="0"/>
          <w:numId w:val="2"/>
        </w:numPr>
        <w:spacing w:after="100"/>
      </w:pPr>
      <w:r>
        <w:rPr>
          <w:rFonts w:ascii="Arial" w:cs="Arial" w:eastAsia="Arial" w:hAnsi="Arial"/>
          <w:sz w:val="22"/>
          <w:szCs w:val="22"/>
        </w:rPr>
        <w:t xml:space="preserve">My mentorship of 90+ engineers at Capital One develops the next generation of American technology talent</w:t>
      </w:r>
    </w:p>
    <w:p>
      <w:pPr>
        <w:pStyle w:val="ListParagraph"/>
        <w:numPr>
          <w:ilvl w:val="0"/>
          <w:numId w:val="2"/>
        </w:numPr>
        <w:spacing w:after="100"/>
      </w:pPr>
      <w:r>
        <w:rPr>
          <w:rFonts w:ascii="Arial" w:cs="Arial" w:eastAsia="Arial" w:hAnsi="Arial"/>
          <w:sz w:val="22"/>
          <w:szCs w:val="22"/>
        </w:rPr>
        <w:t xml:space="preserve">My conference presentations at U.S.-based events (Austin API Summit, Lambda Conference) strengthen domestic technology community knowledge sharing</w:t>
      </w:r>
    </w:p>
    <w:p>
      <w:pPr>
        <w:spacing w:after="200"/>
      </w:pPr>
    </w:p>
    <w:p>
      <w:pPr>
        <w:pStyle w:val="Heading2"/>
      </w:pPr>
      <w:r>
        <w:t xml:space="preserve">6. National Security Implications</w:t>
      </w:r>
    </w:p>
    <w:p>
      <w:pPr>
        <w:pStyle w:val="ListParagraph"/>
        <w:numPr>
          <w:ilvl w:val="0"/>
          <w:numId w:val="2"/>
        </w:numPr>
        <w:spacing w:after="100"/>
      </w:pPr>
      <w:r>
        <w:rPr>
          <w:rFonts w:ascii="Arial" w:cs="Arial" w:eastAsia="Arial" w:hAnsi="Arial"/>
          <w:sz w:val="22"/>
          <w:szCs w:val="22"/>
        </w:rPr>
        <w:t xml:space="preserve">Financial sector cybersecurity is a matter of national security — the Department of Treasury and Department of Homeland Security have identified banking infrastructure as critical to U.S. national defense</w:t>
      </w:r>
    </w:p>
    <w:p>
      <w:pPr>
        <w:pStyle w:val="ListParagraph"/>
        <w:numPr>
          <w:ilvl w:val="0"/>
          <w:numId w:val="2"/>
        </w:numPr>
        <w:spacing w:after="100"/>
      </w:pPr>
      <w:r>
        <w:rPr>
          <w:rFonts w:ascii="Arial" w:cs="Arial" w:eastAsia="Arial" w:hAnsi="Arial"/>
          <w:sz w:val="22"/>
          <w:szCs w:val="22"/>
        </w:rPr>
        <w:t xml:space="preserve">My work on enterprise risk management, data protection, and regulatory compliance directly supports the security and resilience of U.S. critical infrastructure</w:t>
      </w:r>
    </w:p>
    <w:p>
      <w:pPr>
        <w:pStyle w:val="ListParagraph"/>
        <w:numPr>
          <w:ilvl w:val="0"/>
          <w:numId w:val="2"/>
        </w:numPr>
        <w:spacing w:after="100"/>
      </w:pPr>
      <w:r>
        <w:rPr>
          <w:rFonts w:ascii="Arial" w:cs="Arial" w:eastAsia="Arial" w:hAnsi="Arial"/>
          <w:sz w:val="22"/>
          <w:szCs w:val="22"/>
        </w:rPr>
        <w:t xml:space="preserve">At a time of increasing cyber threats from state-sponsored actors, my continued contribution to U.S. financial sector security serves national defense objectives</w:t>
      </w:r>
    </w:p>
    <w:p>
      <w:pPr>
        <w:spacing w:after="200"/>
      </w:pPr>
    </w:p>
    <w:p>
      <w:pPr>
        <w:spacing w:after="200"/>
      </w:pPr>
      <w:r>
        <w:rPr>
          <w:rFonts w:ascii="Arial" w:cs="Arial" w:eastAsia="Arial" w:hAnsi="Arial"/>
          <w:b/>
          <w:bCs/>
          <w:sz w:val="22"/>
          <w:szCs w:val="22"/>
        </w:rPr>
        <w:t xml:space="preserve">Conclusion:</w:t>
      </w:r>
      <w:r>
        <w:rPr>
          <w:rFonts w:ascii="Arial" w:cs="Arial" w:eastAsia="Arial" w:hAnsi="Arial"/>
          <w:sz w:val="22"/>
          <w:szCs w:val="22"/>
        </w:rPr>
        <w:t xml:space="preserve"> My work represents the intersection of technological innovation, financial system stability, regulatory compliance, and national economic competitiveness. Forcing me to abandon this work through consular processing abroad would represent a loss to U.S. interests at a critical time when financial sector technology leadership, AI governance, and cybersecurity resilience are matters of strategic national importance.</w:t>
      </w:r>
    </w:p>
    <w:p>
      <w:pPr>
        <w:spacing w:after="200"/>
      </w:pPr>
    </w:p>
    <w:p>
      <w:pPr>
        <w:spacing w:after="200"/>
      </w:pPr>
    </w:p>
    <w:p>
      <w:pPr>
        <w:pStyle w:val="Heading1"/>
      </w:pPr>
      <w:r>
        <w:t xml:space="preserve">Request for Evaluation</w:t>
      </w:r>
    </w:p>
    <w:p>
      <w:pPr>
        <w:spacing w:after="200"/>
      </w:pPr>
      <w:r>
        <w:rPr>
          <w:rFonts w:ascii="Arial" w:cs="Arial" w:eastAsia="Arial" w:hAnsi="Arial"/>
          <w:sz w:val="22"/>
          <w:szCs w:val="22"/>
        </w:rPr>
        <w:t xml:space="preserve">I am seeking Fragomen's evaluation of my EB-1A case and would appreciate guidance on:</w:t>
      </w:r>
    </w:p>
    <w:p>
      <w:pPr>
        <w:pStyle w:val="ListParagraph"/>
        <w:numPr>
          <w:ilvl w:val="0"/>
          <w:numId w:val="2"/>
        </w:numPr>
        <w:spacing w:after="100"/>
      </w:pPr>
      <w:r>
        <w:rPr>
          <w:rFonts w:ascii="Arial" w:cs="Arial" w:eastAsia="Arial" w:hAnsi="Arial"/>
          <w:sz w:val="22"/>
          <w:szCs w:val="22"/>
        </w:rPr>
        <w:t xml:space="preserve">Assessment of my profile's viability for EB-1A approval</w:t>
      </w:r>
    </w:p>
    <w:p>
      <w:pPr>
        <w:pStyle w:val="ListParagraph"/>
        <w:numPr>
          <w:ilvl w:val="0"/>
          <w:numId w:val="2"/>
        </w:numPr>
        <w:spacing w:after="100"/>
      </w:pPr>
      <w:r>
        <w:rPr>
          <w:rFonts w:ascii="Arial" w:cs="Arial" w:eastAsia="Arial" w:hAnsi="Arial"/>
          <w:sz w:val="22"/>
          <w:szCs w:val="22"/>
        </w:rPr>
        <w:t xml:space="preserve">Recommended timeline and process for petition preparation</w:t>
      </w:r>
    </w:p>
    <w:p>
      <w:pPr>
        <w:pStyle w:val="ListParagraph"/>
        <w:numPr>
          <w:ilvl w:val="0"/>
          <w:numId w:val="2"/>
        </w:numPr>
        <w:spacing w:after="100"/>
      </w:pPr>
      <w:r>
        <w:rPr>
          <w:rFonts w:ascii="Arial" w:cs="Arial" w:eastAsia="Arial" w:hAnsi="Arial"/>
          <w:sz w:val="22"/>
          <w:szCs w:val="22"/>
        </w:rPr>
        <w:t xml:space="preserve">Fee structure and engagement terms</w:t>
      </w:r>
    </w:p>
    <w:p>
      <w:pPr>
        <w:pStyle w:val="ListParagraph"/>
        <w:numPr>
          <w:ilvl w:val="0"/>
          <w:numId w:val="2"/>
        </w:numPr>
        <w:spacing w:after="100"/>
      </w:pPr>
      <w:r>
        <w:rPr>
          <w:rFonts w:ascii="Arial" w:cs="Arial" w:eastAsia="Arial" w:hAnsi="Arial"/>
          <w:sz w:val="22"/>
          <w:szCs w:val="22"/>
        </w:rPr>
        <w:t xml:space="preserve">Any additional evidence or documentation that would strengthen the case</w:t>
      </w:r>
    </w:p>
    <w:p>
      <w:pPr>
        <w:pStyle w:val="ListParagraph"/>
        <w:numPr>
          <w:ilvl w:val="0"/>
          <w:numId w:val="2"/>
        </w:numPr>
        <w:spacing w:after="100"/>
      </w:pPr>
      <w:r>
        <w:rPr>
          <w:rFonts w:ascii="Arial" w:cs="Arial" w:eastAsia="Arial" w:hAnsi="Arial"/>
          <w:sz w:val="22"/>
          <w:szCs w:val="22"/>
        </w:rPr>
        <w:t xml:space="preserve">Fragomen's experience with industry-profile (non-research) EB-1A cases, particularly for software engineering and enterprise architecture professionals</w:t>
      </w:r>
    </w:p>
    <w:p>
      <w:pPr>
        <w:spacing w:after="200"/>
      </w:pPr>
    </w:p>
    <w:p>
      <w:pPr>
        <w:spacing w:after="200"/>
      </w:pPr>
      <w:r>
        <w:rPr>
          <w:rFonts w:ascii="Arial" w:cs="Arial" w:eastAsia="Arial" w:hAnsi="Arial"/>
          <w:sz w:val="22"/>
          <w:szCs w:val="22"/>
        </w:rPr>
        <w:t xml:space="preserve">I am prepared to move forward expeditiously and can provide all supporting documentation upon engagement.</w:t>
      </w:r>
    </w:p>
    <w:p>
      <w:pPr>
        <w:spacing w:after="200"/>
      </w:pPr>
    </w:p>
    <w:p>
      <w:pPr>
        <w:spacing w:after="200"/>
      </w:pPr>
    </w:p>
    <w:p>
      <w:pPr>
        <w:spacing w:after="200"/>
      </w:pPr>
      <w:r>
        <w:rPr>
          <w:rFonts w:ascii="Arial" w:cs="Arial" w:eastAsia="Arial" w:hAnsi="Arial"/>
          <w:b/>
          <w:bCs/>
          <w:sz w:val="22"/>
          <w:szCs w:val="22"/>
        </w:rPr>
        <w:t xml:space="preserve">Thank you for your consideration.</w:t>
      </w:r>
    </w:p>
    <w:p>
      <w:pPr>
        <w:spacing w:after="200"/>
      </w:pPr>
    </w:p>
    <w:p>
      <w:pPr>
        <w:spacing w:after="200"/>
      </w:pPr>
      <w:r>
        <w:rPr>
          <w:rFonts w:ascii="Arial" w:cs="Arial" w:eastAsia="Arial" w:hAnsi="Arial"/>
          <w:sz w:val="22"/>
          <w:szCs w:val="22"/>
        </w:rPr>
        <w:t xml:space="preserve">Lakshmi Narayana Rasalay</w:t>
      </w:r>
    </w:p>
    <w:p>
      <w:pPr>
        <w:spacing w:after="200"/>
      </w:pPr>
      <w:r>
        <w:rPr>
          <w:rFonts w:ascii="Arial" w:cs="Arial" w:eastAsia="Arial" w:hAnsi="Arial"/>
          <w:sz w:val="22"/>
          <w:szCs w:val="22"/>
        </w:rPr>
        <w:t xml:space="preserve">Distinguished Engineer, Capital One Financial Corporation</w:t>
      </w:r>
    </w:p>
    <w:p>
      <w:pPr>
        <w:spacing w:after="200"/>
      </w:pPr>
      <w:r>
        <w:rPr>
          <w:rFonts w:ascii="Arial" w:cs="Arial" w:eastAsia="Arial" w:hAnsi="Arial"/>
          <w:sz w:val="22"/>
          <w:szCs w:val="22"/>
        </w:rPr>
        <w:t xml:space="preserve">Email: [your email]</w:t>
      </w:r>
    </w:p>
    <w:p>
      <w:pPr>
        <w:spacing w:after="200"/>
      </w:pPr>
      <w:r>
        <w:rPr>
          <w:rFonts w:ascii="Arial" w:cs="Arial" w:eastAsia="Arial" w:hAnsi="Arial"/>
          <w:sz w:val="22"/>
          <w:szCs w:val="22"/>
        </w:rPr>
        <w:t xml:space="preserve">Phone: [your 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2026-05-25T16:30:07.335Z</dcterms:created>
  <dcterms:modified xsi:type="dcterms:W3CDTF">2026-05-25T16:30:07.347Z</dcterms:modified>
</cp:coreProperties>
</file>

<file path=docProps/custom.xml><?xml version="1.0" encoding="utf-8"?>
<Properties xmlns="http://schemas.openxmlformats.org/officeDocument/2006/custom-properties" xmlns:vt="http://schemas.openxmlformats.org/officeDocument/2006/docPropsVTypes"/>
</file>