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3qg626mftuqw" w:id="0"/>
      <w:bookmarkEnd w:id="0"/>
      <w:r w:rsidDel="00000000" w:rsidR="00000000" w:rsidRPr="00000000">
        <w:rPr>
          <w:b w:val="1"/>
          <w:bCs w:val="1"/>
          <w:color w:val="000000"/>
          <w:sz w:val="22"/>
          <w:szCs w:val="22"/>
          <w:rtl w:val="0"/>
        </w:rPr>
        <w:t xml:space="preserve">OPENING (Slides 1-5)</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9huu32akyrjz" w:id="1"/>
      <w:bookmarkEnd w:id="1"/>
      <w:r w:rsidDel="00000000" w:rsidR="00000000" w:rsidRPr="00000000">
        <w:rPr>
          <w:b w:val="1"/>
          <w:bCs w:val="1"/>
          <w:color w:val="000000"/>
          <w:sz w:val="22"/>
          <w:szCs w:val="22"/>
          <w:rtl w:val="0"/>
        </w:rPr>
        <w:t xml:space="preserve">Slide 2 — About the Speaker</w:t>
      </w:r>
    </w:p>
    <w:p w:rsidR="00000000" w:rsidDel="00000000" w:rsidP="00000000" w:rsidRDefault="00000000" w:rsidRPr="00000000" w14:paraId="00000003">
      <w:pPr>
        <w:spacing w:after="240" w:before="240" w:lineRule="auto"/>
        <w:rPr/>
      </w:pPr>
      <w:r w:rsidDel="00000000" w:rsidR="00000000" w:rsidRPr="00000000">
        <w:rPr>
          <w:rtl w:val="0"/>
        </w:rPr>
        <w:t xml:space="preserve">Quick background on me — I'm a Distinguished Engineer at Capital One, focused on application modernization and platform engineering. My work sits at the intersection of AWS cloud architecture, AI, and large-scale fintech systems. The talk today draws directly from our journey building a production-grade, multi-layer risk management engine.</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mfhskxz9e3jx" w:id="2"/>
      <w:bookmarkEnd w:id="2"/>
      <w:r w:rsidDel="00000000" w:rsidR="00000000" w:rsidRPr="00000000">
        <w:rPr>
          <w:b w:val="1"/>
          <w:bCs w:val="1"/>
          <w:color w:val="000000"/>
          <w:sz w:val="22"/>
          <w:szCs w:val="22"/>
          <w:rtl w:val="0"/>
        </w:rPr>
        <w:t xml:space="preserve">Slide 3 — The Vision</w:t>
      </w:r>
    </w:p>
    <w:p w:rsidR="00000000" w:rsidDel="00000000" w:rsidP="00000000" w:rsidRDefault="00000000" w:rsidRPr="00000000" w14:paraId="00000005">
      <w:pPr>
        <w:spacing w:after="240" w:before="240" w:lineRule="auto"/>
        <w:rPr/>
      </w:pPr>
      <w:r w:rsidDel="00000000" w:rsidR="00000000" w:rsidRPr="00000000">
        <w:rPr>
          <w:rtl w:val="0"/>
        </w:rPr>
        <w:t xml:space="preserve">We started with an off-the-shelf risk platform. Three years in, it was costing us millions annually, couldn't explain a single decision to a regulator, and was missing fraud patterns that emerged overnight. We ripped it out and built from scratch. The four properties on this slide — full ownership, sub-second latency, regulatory transparency, and composability — these aren't aspirational. They're requirements. We organize this around four pillars.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yu91vrw5vrpj" w:id="3"/>
      <w:bookmarkEnd w:id="3"/>
      <w:r w:rsidDel="00000000" w:rsidR="00000000" w:rsidRPr="00000000">
        <w:rPr>
          <w:b w:val="1"/>
          <w:bCs w:val="1"/>
          <w:color w:val="000000"/>
          <w:sz w:val="22"/>
          <w:szCs w:val="22"/>
          <w:rtl w:val="0"/>
        </w:rPr>
        <w:t xml:space="preserve">Slide 4 — Agenda</w:t>
      </w:r>
    </w:p>
    <w:p w:rsidR="00000000" w:rsidDel="00000000" w:rsidP="00000000" w:rsidRDefault="00000000" w:rsidRPr="00000000" w14:paraId="00000007">
      <w:pPr>
        <w:spacing w:after="240" w:before="240" w:lineRule="auto"/>
        <w:rPr/>
      </w:pPr>
      <w:r w:rsidDel="00000000" w:rsidR="00000000" w:rsidRPr="00000000">
        <w:rPr>
          <w:rtl w:val="0"/>
        </w:rPr>
        <w:t xml:space="preserve">Here's the roadmap for the next 40 minutes. Four pillars — each one a hard lesson we learned the expensive way. Pillar 1 is Data Infrastructure — because you cannot build a reliable risk engine on top of unreliable data. Pillar 2 is Engine Technology — the architecture decisions that determine whether your system survives a production incident or becomes one. Pillar 3 is AI Governance — the pillar most teams skip, and the one that shows up in regulatory exams. And Pillar 4 is Future Frontiers — where we're headed with agentic AI and continuous risk. Each pillar builds on the last. Let's go.</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xa0lslpexnky" w:id="4"/>
      <w:bookmarkEnd w:id="4"/>
      <w:r w:rsidDel="00000000" w:rsidR="00000000" w:rsidRPr="00000000">
        <w:rPr>
          <w:b w:val="1"/>
          <w:bCs w:val="1"/>
          <w:color w:val="000000"/>
          <w:sz w:val="22"/>
          <w:szCs w:val="22"/>
          <w:rtl w:val="0"/>
        </w:rPr>
        <w:t xml:space="preserve">Slide 5 — The Four Roadblocks</w:t>
      </w:r>
    </w:p>
    <w:p w:rsidR="00000000" w:rsidDel="00000000" w:rsidP="00000000" w:rsidRDefault="00000000" w:rsidRPr="00000000" w14:paraId="00000009">
      <w:pPr>
        <w:spacing w:after="240" w:before="240" w:lineRule="auto"/>
        <w:rPr/>
      </w:pPr>
      <w:r w:rsidDel="00000000" w:rsidR="00000000" w:rsidRPr="00000000">
        <w:rPr>
          <w:rtl w:val="0"/>
        </w:rPr>
        <w:t xml:space="preserve">I want to be honest with this audience before we get into solutions. Most institutions don't fail at risk management because of bad intent or bad engineers. They fail because of architectural debt that accumulated quietly over years. I've seen all four of these roadblocks up close. The data problem — seventeen source systems, nobody owns any of them, pipelines breaking silently on Saturday nights. The engine problem — one credit bureau timeout taking down payment processing for 47 minutes. The AI governance problem — a fraud model drifting for two quarters before a regulatory exam caught it. And the future frontier problem — a 30-day fraud campaign that our batch scoring missed entirely. These aren't hypotheticals. They're the incidents that drove every architectural decision I'm about to share.</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ip2xt0pc0dud" w:id="5"/>
      <w:bookmarkEnd w:id="5"/>
      <w:r w:rsidDel="00000000" w:rsidR="00000000" w:rsidRPr="00000000">
        <w:rPr>
          <w:b w:val="1"/>
          <w:bCs w:val="1"/>
          <w:color w:val="000000"/>
          <w:sz w:val="22"/>
          <w:szCs w:val="22"/>
          <w:rtl w:val="0"/>
        </w:rPr>
        <w:t xml:space="preserve">PILLAR 1: DATA INFRASTRUCTURE (Slides 6-11)</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kfomd0cbolsp" w:id="6"/>
      <w:bookmarkEnd w:id="6"/>
      <w:r w:rsidDel="00000000" w:rsidR="00000000" w:rsidRPr="00000000">
        <w:rPr>
          <w:b w:val="1"/>
          <w:bCs w:val="1"/>
          <w:color w:val="000000"/>
          <w:sz w:val="22"/>
          <w:szCs w:val="22"/>
          <w:rtl w:val="0"/>
        </w:rPr>
        <w:t xml:space="preserve">Slide 6 — Pillar 1 Chapter</w:t>
      </w:r>
    </w:p>
    <w:p w:rsidR="00000000" w:rsidDel="00000000" w:rsidP="00000000" w:rsidRDefault="00000000" w:rsidRPr="00000000" w14:paraId="0000000C">
      <w:pPr>
        <w:spacing w:after="240" w:before="240" w:lineRule="auto"/>
        <w:rPr/>
      </w:pPr>
      <w:r w:rsidDel="00000000" w:rsidR="00000000" w:rsidRPr="00000000">
        <w:rPr>
          <w:rtl w:val="0"/>
        </w:rPr>
        <w:t xml:space="preserve">Pillar 1 is Data Infrastructure. Everything starts here. You cannot build a reliable risk engine on top of unreliable data. We're going to cover four things: data mesh, real-time CDC, point-in-time correctness, and the Medallion architecture. These four together give you a data foundation that the rest of the platform can actually trust.</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ntupeky98d6w" w:id="7"/>
      <w:bookmarkEnd w:id="7"/>
      <w:r w:rsidDel="00000000" w:rsidR="00000000" w:rsidRPr="00000000">
        <w:rPr>
          <w:b w:val="1"/>
          <w:bCs w:val="1"/>
          <w:color w:val="000000"/>
          <w:sz w:val="22"/>
          <w:szCs w:val="22"/>
          <w:rtl w:val="0"/>
        </w:rPr>
        <w:t xml:space="preserve">Slide 7 — The Problem: Data Infrastructure</w:t>
      </w:r>
    </w:p>
    <w:p w:rsidR="00000000" w:rsidDel="00000000" w:rsidP="00000000" w:rsidRDefault="00000000" w:rsidRPr="00000000" w14:paraId="0000000E">
      <w:pPr>
        <w:spacing w:after="240" w:before="240" w:lineRule="auto"/>
        <w:rPr/>
      </w:pPr>
      <w:r w:rsidDel="00000000" w:rsidR="00000000" w:rsidRPr="00000000">
        <w:rPr>
          <w:rtl w:val="0"/>
        </w:rPr>
        <w:t xml:space="preserve">Let me be specific about the pain. Risk data at most institutions lives in silos — core banking here, KYC vendor there, device intelligence somewhere else. Nobody owns the pipelines end to end. When a pipeline breaks at 2am, nobody knows whose problem it is. The batch window problem is real — if your ETL runs every 4 hours, a fraud ring that starts at midnight is invisible until 4am. That window is where the losses happen. 💥 What broke for us: Our batch ETL pipeline silently failed for 6 hours on a Saturday night. We discovered it Monday morning when fraud losses spiked. Seventeen data sources. Nobody owned any of them. That was the day we committed to CDC and data contracts.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qxhli4utzkzs" w:id="8"/>
      <w:bookmarkEnd w:id="8"/>
      <w:r w:rsidDel="00000000" w:rsidR="00000000" w:rsidRPr="00000000">
        <w:rPr>
          <w:b w:val="1"/>
          <w:bCs w:val="1"/>
          <w:color w:val="000000"/>
          <w:sz w:val="22"/>
          <w:szCs w:val="22"/>
          <w:rtl w:val="0"/>
        </w:rPr>
        <w:t xml:space="preserve">Slide 8 — Data Mesh</w:t>
      </w:r>
    </w:p>
    <w:p w:rsidR="00000000" w:rsidDel="00000000" w:rsidP="00000000" w:rsidRDefault="00000000" w:rsidRPr="00000000" w14:paraId="00000010">
      <w:pPr>
        <w:spacing w:after="240" w:before="240" w:lineRule="auto"/>
        <w:rPr/>
      </w:pPr>
      <w:r w:rsidDel="00000000" w:rsidR="00000000" w:rsidRPr="00000000">
        <w:rPr>
          <w:rtl w:val="0"/>
        </w:rPr>
        <w:t xml:space="preserve">The data mesh pattern was transformative for us. The key insight: the team closest to the data is best positioned to own its quality. Instead of a central data team that becomes a bottleneck, we made each domain — fraud, credit, AML — responsible for publishing certified data products. These products have schema contracts, quality SLAs, and catalog entries. The risk engine consumes certified products, not raw tables. When something is wrong with the data, the domain team knows before the risk engine does. That's the shift.</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txs44j0mvil" w:id="9"/>
      <w:bookmarkEnd w:id="9"/>
      <w:r w:rsidDel="00000000" w:rsidR="00000000" w:rsidRPr="00000000">
        <w:rPr>
          <w:b w:val="1"/>
          <w:bCs w:val="1"/>
          <w:color w:val="000000"/>
          <w:sz w:val="22"/>
          <w:szCs w:val="22"/>
          <w:rtl w:val="0"/>
        </w:rPr>
        <w:t xml:space="preserve">Slide 9 — Real-Time CDC</w:t>
      </w:r>
    </w:p>
    <w:p w:rsidR="00000000" w:rsidDel="00000000" w:rsidP="00000000" w:rsidRDefault="00000000" w:rsidRPr="00000000" w14:paraId="00000012">
      <w:pPr>
        <w:spacing w:after="240" w:before="240" w:lineRule="auto"/>
        <w:rPr/>
      </w:pPr>
      <w:r w:rsidDel="00000000" w:rsidR="00000000" w:rsidRPr="00000000">
        <w:rPr>
          <w:rtl w:val="0"/>
        </w:rPr>
        <w:t xml:space="preserve">CDC — Change Data Capture — was one of the highest-leverage investments we made. With Debezium capturing row-level changes from our core banking systems and streaming them to Kafka in under a second, we eliminated the batch window entirely. The fraud detection window went from T+24 hours to T+3 minutes. Think about what that means operationally — fraud patterns that used to be invisible for a full day are now visible in minutes. And the key detail: every event carries the source system timestamp, not the ingestion timestamp. That distinction matters enormously for the next slide.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drwx1qec2byz" w:id="10"/>
      <w:bookmarkEnd w:id="10"/>
      <w:r w:rsidDel="00000000" w:rsidR="00000000" w:rsidRPr="00000000">
        <w:rPr>
          <w:b w:val="1"/>
          <w:bCs w:val="1"/>
          <w:color w:val="000000"/>
          <w:sz w:val="22"/>
          <w:szCs w:val="22"/>
          <w:rtl w:val="0"/>
        </w:rPr>
        <w:t xml:space="preserve">Slide 10 — Point-in-Time Correctness</w:t>
      </w:r>
    </w:p>
    <w:p w:rsidR="00000000" w:rsidDel="00000000" w:rsidP="00000000" w:rsidRDefault="00000000" w:rsidRPr="00000000" w14:paraId="00000014">
      <w:pPr>
        <w:spacing w:after="240" w:before="240" w:lineRule="auto"/>
        <w:rPr/>
      </w:pPr>
      <w:r w:rsidDel="00000000" w:rsidR="00000000" w:rsidRPr="00000000">
        <w:rPr>
          <w:rtl w:val="0"/>
        </w:rPr>
        <w:t xml:space="preserve">Point-in-time correctness is the most underappreciated requirement in risk data engineering. Most pipelines deliver current state. But your risk model needs to know what the customer looked like at the moment of the transaction — not what they look like today. If a customer's credit utilization was 90% at transaction time but is 30% today, and your pipeline delivers today's value, your model is scoring against the wrong entity. We solve this with effective_from and effective_to timestamps on every entity attribute in the Gold layer. This is also what makes FCRA adverse action notices defensible.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4hltht1a5va" w:id="11"/>
      <w:bookmarkEnd w:id="11"/>
      <w:r w:rsidDel="00000000" w:rsidR="00000000" w:rsidRPr="00000000">
        <w:rPr>
          <w:b w:val="1"/>
          <w:bCs w:val="1"/>
          <w:color w:val="000000"/>
          <w:sz w:val="22"/>
          <w:szCs w:val="22"/>
          <w:rtl w:val="0"/>
        </w:rPr>
        <w:t xml:space="preserve">Slide 11 — Medallion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The Medallion architecture ties the data layer together. Bronze is raw ingestion — everything lands as-is, schema-on-read, full fidelity. Silver is where we clean, deduplicate, and resolve entities — this is where a customer in core banking becomes the same customer in the KYC system. Gold is business-ready — pre-computed risk features, certified data products, sub-50ms query latency. The streaming path gets data from source to Gold in under 5 minutes. This three-layer contract is what lets the risk engine trust its inputs.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p9piyssdda3g" w:id="12"/>
      <w:bookmarkEnd w:id="12"/>
      <w:r w:rsidDel="00000000" w:rsidR="00000000" w:rsidRPr="00000000">
        <w:rPr>
          <w:b w:val="1"/>
          <w:bCs w:val="1"/>
          <w:color w:val="000000"/>
          <w:sz w:val="22"/>
          <w:szCs w:val="22"/>
          <w:rtl w:val="0"/>
        </w:rPr>
        <w:t xml:space="preserve">PILLAR 2: ENGINE TECHNOLOGY (Slides 12-17)</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9rku6dwurdb0" w:id="13"/>
      <w:bookmarkEnd w:id="13"/>
      <w:r w:rsidDel="00000000" w:rsidR="00000000" w:rsidRPr="00000000">
        <w:rPr>
          <w:b w:val="1"/>
          <w:bCs w:val="1"/>
          <w:color w:val="000000"/>
          <w:sz w:val="22"/>
          <w:szCs w:val="22"/>
          <w:rtl w:val="0"/>
        </w:rPr>
        <w:t xml:space="preserve">Slide 12 — Pillar 2 Chapter</w:t>
      </w:r>
    </w:p>
    <w:p w:rsidR="00000000" w:rsidDel="00000000" w:rsidP="00000000" w:rsidRDefault="00000000" w:rsidRPr="00000000" w14:paraId="00000019">
      <w:pPr>
        <w:spacing w:after="240" w:before="240" w:lineRule="auto"/>
        <w:rPr/>
      </w:pPr>
      <w:r w:rsidDel="00000000" w:rsidR="00000000" w:rsidRPr="00000000">
        <w:rPr>
          <w:rtl w:val="0"/>
        </w:rPr>
        <w:t xml:space="preserve">Pillar 2 is Engine Technology. Once you have trustworthy data, you need an engine that can act on it — reliably, at scale, without cascading failures. Most risk systems were built as monoliths. One codebase, one deployment, one scaling unit. At millions of transactions a month, it becomes the single biggest source of fragility in your stack. We'll cover event-driven architecture, resilience patterns, microservices decomposition, and configuration-driven rules.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lo9jo8pk392d" w:id="14"/>
      <w:bookmarkEnd w:id="14"/>
      <w:r w:rsidDel="00000000" w:rsidR="00000000" w:rsidRPr="00000000">
        <w:rPr>
          <w:b w:val="1"/>
          <w:bCs w:val="1"/>
          <w:color w:val="000000"/>
          <w:sz w:val="22"/>
          <w:szCs w:val="22"/>
          <w:rtl w:val="0"/>
        </w:rPr>
        <w:t xml:space="preserve">Slide 13 — The Problem: Engine Technology</w:t>
      </w:r>
    </w:p>
    <w:p w:rsidR="00000000" w:rsidDel="00000000" w:rsidP="00000000" w:rsidRDefault="00000000" w:rsidRPr="00000000" w14:paraId="0000001B">
      <w:pPr>
        <w:spacing w:after="240" w:before="240" w:lineRule="auto"/>
        <w:rPr/>
      </w:pPr>
      <w:r w:rsidDel="00000000" w:rsidR="00000000" w:rsidRPr="00000000">
        <w:rPr>
          <w:rtl w:val="0"/>
        </w:rPr>
        <w:t xml:space="preserve">The monolith problem is real and it's painful. When fraud, AML, and credit logic all live in the same codebase, a change to one requires regression testing everything. A spike in AML alert volume forces the entire system to scale — even if fraud scoring is idle. 💥 What broke for us: A single credit bureau timeout during peak transaction volume cascaded into a full payment processing outage — 47 minutes of downtime. Every risk domain was coupled in one monolith. One slow dependency took down everything. That incident drove our move to circuit breakers and bounded-context microservices.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epdtqyrm8yob" w:id="15"/>
      <w:bookmarkEnd w:id="15"/>
      <w:r w:rsidDel="00000000" w:rsidR="00000000" w:rsidRPr="00000000">
        <w:rPr>
          <w:b w:val="1"/>
          <w:bCs w:val="1"/>
          <w:color w:val="000000"/>
          <w:sz w:val="22"/>
          <w:szCs w:val="22"/>
          <w:rtl w:val="0"/>
        </w:rPr>
        <w:t xml:space="preserve">Slide 14 — Event-Driven Architecture</w:t>
      </w:r>
    </w:p>
    <w:p w:rsidR="00000000" w:rsidDel="00000000" w:rsidP="00000000" w:rsidRDefault="00000000" w:rsidRPr="00000000" w14:paraId="0000001D">
      <w:pPr>
        <w:spacing w:after="240" w:before="240" w:lineRule="auto"/>
        <w:rPr/>
      </w:pPr>
      <w:r w:rsidDel="00000000" w:rsidR="00000000" w:rsidRPr="00000000">
        <w:rPr>
          <w:rtl w:val="0"/>
        </w:rPr>
        <w:t xml:space="preserve">Kafka is the backbone of our risk engine. Every transaction, every user action, every risk decision emits an immutable event. Downstream consumers — fraud scoring, AML monitoring, credit decisioning — react asynchronously. Nobody is waiting on anybody else. Flink handles the stateful processing — windowed aggregations, complex event patterns like '3 failed logins in 5 minutes from 2 different IPs.' The event sourcing pattern gives us a full audit trail and the ability to replay history with updated models. End-to-end latency target: under 200ms from transaction ingestion to risk score emission.</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n34crt49nqeo" w:id="16"/>
      <w:bookmarkEnd w:id="16"/>
      <w:r w:rsidDel="00000000" w:rsidR="00000000" w:rsidRPr="00000000">
        <w:rPr>
          <w:b w:val="1"/>
          <w:bCs w:val="1"/>
          <w:color w:val="000000"/>
          <w:sz w:val="22"/>
          <w:szCs w:val="22"/>
          <w:rtl w:val="0"/>
        </w:rPr>
        <w:t xml:space="preserve">Slide 15 — Resilience Patterns</w:t>
      </w:r>
    </w:p>
    <w:p w:rsidR="00000000" w:rsidDel="00000000" w:rsidP="00000000" w:rsidRDefault="00000000" w:rsidRPr="00000000" w14:paraId="0000001F">
      <w:pPr>
        <w:spacing w:after="240" w:before="240" w:lineRule="auto"/>
        <w:rPr/>
      </w:pPr>
      <w:r w:rsidDel="00000000" w:rsidR="00000000" w:rsidRPr="00000000">
        <w:rPr>
          <w:rtl w:val="0"/>
        </w:rPr>
        <w:t xml:space="preserve">Resilience isn't an afterthought — it's a design requirement. Circuit breakers mean a slow fraud model degrades payments gracefully instead of failing hard. Bulkheads mean an AML spike can't starve fraud scoring threads. The saga pattern means multi-step workflows are coordinated without distributed locks. And chaos engineering — running fault injection in production — is how we validate that these patterns actually hold under real failure conditions. Game days have saved us multiple times.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ekr3x4h717zx" w:id="17"/>
      <w:bookmarkEnd w:id="17"/>
      <w:r w:rsidDel="00000000" w:rsidR="00000000" w:rsidRPr="00000000">
        <w:rPr>
          <w:b w:val="1"/>
          <w:bCs w:val="1"/>
          <w:color w:val="000000"/>
          <w:sz w:val="22"/>
          <w:szCs w:val="22"/>
          <w:rtl w:val="0"/>
        </w:rPr>
        <w:t xml:space="preserve">Slide 16 — Microservices</w:t>
      </w:r>
    </w:p>
    <w:p w:rsidR="00000000" w:rsidDel="00000000" w:rsidP="00000000" w:rsidRDefault="00000000" w:rsidRPr="00000000" w14:paraId="00000021">
      <w:pPr>
        <w:spacing w:after="240" w:before="240" w:lineRule="auto"/>
        <w:rPr/>
      </w:pPr>
      <w:r w:rsidDel="00000000" w:rsidR="00000000" w:rsidRPr="00000000">
        <w:rPr>
          <w:rtl w:val="0"/>
        </w:rPr>
        <w:t xml:space="preserve">The lesson we learned the hard way: decomposition is a tool, not a goal. We started with 5 well-scoped services: Fraud Scoring, Rule Evaluation, Case Management, Alert Routing, and Reporting. Each owns its data store. Each deploys independently. The anti-pattern to avoid is the distributed monolith — services that deploy independently but share a database or form long synchronous call chains. That's the worst of both worlds. If your services can't be deployed independently without coordinating with other teams, you haven't decomposed — you've just distributed.</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at7wjrbu1oyn" w:id="18"/>
      <w:bookmarkEnd w:id="18"/>
      <w:r w:rsidDel="00000000" w:rsidR="00000000" w:rsidRPr="00000000">
        <w:rPr>
          <w:b w:val="1"/>
          <w:bCs w:val="1"/>
          <w:color w:val="000000"/>
          <w:sz w:val="22"/>
          <w:szCs w:val="22"/>
          <w:rtl w:val="0"/>
        </w:rPr>
        <w:t xml:space="preserve">Slide 17 — Configuration-Driven Rules Engine</w:t>
      </w:r>
    </w:p>
    <w:p w:rsidR="00000000" w:rsidDel="00000000" w:rsidP="00000000" w:rsidRDefault="00000000" w:rsidRPr="00000000" w14:paraId="00000023">
      <w:pPr>
        <w:spacing w:after="240" w:before="240" w:lineRule="auto"/>
        <w:rPr/>
      </w:pPr>
      <w:r w:rsidDel="00000000" w:rsidR="00000000" w:rsidRPr="00000000">
        <w:rPr>
          <w:rtl w:val="0"/>
        </w:rPr>
        <w:t xml:space="preserve">Configuration-driven rules was one of the highest-impact changes we made. Before this, every rule change required a developer, a PR, a deployment cycle. Two to four weeks minimum. Fraud patterns evolve in hours. That gap is where losses happen. Now, compliance and business analysts write rules in a YAML DSL, go through a four-eyes approval workflow, and the rules engine picks up the change via hot reload — no service restart, no deployment. Every rule is versioned and timestamped. Shadow mode lets us run new rules in parallel before promoting — production data validates the rule before it goes live.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agvqkwl53uyo" w:id="19"/>
      <w:bookmarkEnd w:id="19"/>
      <w:r w:rsidDel="00000000" w:rsidR="00000000" w:rsidRPr="00000000">
        <w:rPr>
          <w:b w:val="1"/>
          <w:bCs w:val="1"/>
          <w:color w:val="000000"/>
          <w:sz w:val="22"/>
          <w:szCs w:val="22"/>
          <w:rtl w:val="0"/>
        </w:rPr>
        <w:t xml:space="preserve">PILLAR 3: AI GOVERNANCE (Slides 18-22)</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folfdcbtzpq1" w:id="20"/>
      <w:bookmarkEnd w:id="20"/>
      <w:r w:rsidDel="00000000" w:rsidR="00000000" w:rsidRPr="00000000">
        <w:rPr>
          <w:b w:val="1"/>
          <w:bCs w:val="1"/>
          <w:color w:val="000000"/>
          <w:sz w:val="22"/>
          <w:szCs w:val="22"/>
          <w:rtl w:val="0"/>
        </w:rPr>
        <w:t xml:space="preserve">Slide 18 — Pillar 3 Chapter</w:t>
      </w:r>
    </w:p>
    <w:p w:rsidR="00000000" w:rsidDel="00000000" w:rsidP="00000000" w:rsidRDefault="00000000" w:rsidRPr="00000000" w14:paraId="00000026">
      <w:pPr>
        <w:spacing w:after="240" w:before="240" w:lineRule="auto"/>
        <w:rPr/>
      </w:pPr>
      <w:r w:rsidDel="00000000" w:rsidR="00000000" w:rsidRPr="00000000">
        <w:rPr>
          <w:rtl w:val="0"/>
        </w:rPr>
        <w:t xml:space="preserve">Pillar 3 is AI Governance. This is the pillar most organizations skip — and it's the one that gets them in trouble with regulators. The question isn't whether you're using AI in risk. You almost certainly are. The question is whether you can prove your AI is working correctly, treating customers fairly, and making decisions you can explain. These aren't compliance checkboxes — they're operational requirements for any AI system making consequential financial decisions.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v25mpxo1562v" w:id="21"/>
      <w:bookmarkEnd w:id="21"/>
      <w:r w:rsidDel="00000000" w:rsidR="00000000" w:rsidRPr="00000000">
        <w:rPr>
          <w:b w:val="1"/>
          <w:bCs w:val="1"/>
          <w:color w:val="000000"/>
          <w:sz w:val="22"/>
          <w:szCs w:val="22"/>
          <w:rtl w:val="0"/>
        </w:rPr>
        <w:t xml:space="preserve">Slide 19 — The Problem: AI Governance</w:t>
      </w:r>
    </w:p>
    <w:p w:rsidR="00000000" w:rsidDel="00000000" w:rsidP="00000000" w:rsidRDefault="00000000" w:rsidRPr="00000000" w14:paraId="00000028">
      <w:pPr>
        <w:spacing w:after="240" w:before="240" w:lineRule="auto"/>
        <w:rPr/>
      </w:pPr>
      <w:r w:rsidDel="00000000" w:rsidR="00000000" w:rsidRPr="00000000">
        <w:rPr>
          <w:rtl w:val="0"/>
        </w:rPr>
        <w:t xml:space="preserve">Black-box models are a regulatory liability. When a regulator asks 'why was this customer denied?' and your answer is 'the model said so' — that's an FCRA violation waiting to happen. 💥 What broke for us: A fraud model we deployed in Q1 was silently underperforming by Q3 — PSI had drifted past 0.3 on three critical features. We found out during a regulatory exam, not from our own monitoring. That exam cost us months of remediation. Real-time drift detection became non-negotiable the next day.</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qp49h3hou5f4" w:id="22"/>
      <w:bookmarkEnd w:id="22"/>
      <w:r w:rsidDel="00000000" w:rsidR="00000000" w:rsidRPr="00000000">
        <w:rPr>
          <w:b w:val="1"/>
          <w:bCs w:val="1"/>
          <w:color w:val="000000"/>
          <w:sz w:val="22"/>
          <w:szCs w:val="22"/>
          <w:rtl w:val="0"/>
        </w:rPr>
        <w:t xml:space="preserve">Slide 20 — Real-Time Model Drift Monitoring</w:t>
      </w:r>
    </w:p>
    <w:p w:rsidR="00000000" w:rsidDel="00000000" w:rsidP="00000000" w:rsidRDefault="00000000" w:rsidRPr="00000000" w14:paraId="0000002A">
      <w:pPr>
        <w:spacing w:after="240" w:before="240" w:lineRule="auto"/>
        <w:rPr/>
      </w:pPr>
      <w:r w:rsidDel="00000000" w:rsidR="00000000" w:rsidRPr="00000000">
        <w:rPr>
          <w:rtl w:val="0"/>
        </w:rPr>
        <w:t xml:space="preserve">Real-time drift monitoring is the difference between claiming your model is under control and proving it. We compute PSI on streaming feature distributions via Flink, continuously. When PSI exceeds 0.2 on a critical feature, an alert fires automatically. We also track F1 on a rolling 24-hour window against labeled outcomes. When F1 drops more than 5% from baseline, the automated retraining pipeline kicks off in SageMaker. But no model goes to production without human sign-off from the model risk team. The automation handles detection and retraining. The human handles the promotion decision. That's what SR 11-7 requires.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o5vjofk42hd" w:id="23"/>
      <w:bookmarkEnd w:id="23"/>
      <w:r w:rsidDel="00000000" w:rsidR="00000000" w:rsidRPr="00000000">
        <w:rPr>
          <w:b w:val="1"/>
          <w:bCs w:val="1"/>
          <w:color w:val="000000"/>
          <w:sz w:val="22"/>
          <w:szCs w:val="22"/>
          <w:rtl w:val="0"/>
        </w:rPr>
        <w:t xml:space="preserve">Slide 21 — AI Explainability</w:t>
      </w:r>
    </w:p>
    <w:p w:rsidR="00000000" w:rsidDel="00000000" w:rsidP="00000000" w:rsidRDefault="00000000" w:rsidRPr="00000000" w14:paraId="0000002C">
      <w:pPr>
        <w:spacing w:after="240" w:before="240" w:lineRule="auto"/>
        <w:rPr/>
      </w:pPr>
      <w:r w:rsidDel="00000000" w:rsidR="00000000" w:rsidRPr="00000000">
        <w:rPr>
          <w:rtl w:val="0"/>
        </w:rPr>
        <w:t xml:space="preserve">SHAP values in production changed how we think about explainability. Every risk decision comes with a ranked feature contribution vector — velocity contributed 0.42, device mismatch 0.38, amount anomaly 0.31. That vector automatically generates the adverse action reason codes required by FCRA. No analyst mapping required. But here's the insight that took us a while to see: SHAP distributions are also an observability signal. When the top contributing features shift, that's an early warning of concept drift, detectable before accuracy metrics degrade. Explainability becomes a leading indicator, not just a compliance artifact.</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px2ow9o768m6" w:id="24"/>
      <w:bookmarkEnd w:id="24"/>
      <w:r w:rsidDel="00000000" w:rsidR="00000000" w:rsidRPr="00000000">
        <w:rPr>
          <w:b w:val="1"/>
          <w:bCs w:val="1"/>
          <w:color w:val="000000"/>
          <w:sz w:val="22"/>
          <w:szCs w:val="22"/>
          <w:rtl w:val="0"/>
        </w:rPr>
        <w:t xml:space="preserve">Slide 22 — Model Risk Governance</w:t>
      </w:r>
    </w:p>
    <w:p w:rsidR="00000000" w:rsidDel="00000000" w:rsidP="00000000" w:rsidRDefault="00000000" w:rsidRPr="00000000" w14:paraId="0000002E">
      <w:pPr>
        <w:spacing w:after="240" w:before="240" w:lineRule="auto"/>
        <w:rPr/>
      </w:pPr>
      <w:r w:rsidDel="00000000" w:rsidR="00000000" w:rsidRPr="00000000">
        <w:rPr>
          <w:rtl w:val="0"/>
        </w:rPr>
        <w:t xml:space="preserve">SR 11-7 gets a bad reputation as a compliance burden. In our experience, it's actually a velocity enabler when implemented correctly. Institutions with mature model governance ship new models 3x faster than those with ad-hoc processes, because they're not scrambling to assemble documentation under examination pressure. The model registry means every model has a documented owner, training data lineage, validation status, and performance thresholds. Regulators get a complete, queryable inventory on demand. That's the difference between governance as a bottleneck and governance as infrastructure.</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romdqqccyte2" w:id="25"/>
      <w:bookmarkEnd w:id="25"/>
      <w:r w:rsidDel="00000000" w:rsidR="00000000" w:rsidRPr="00000000">
        <w:rPr>
          <w:b w:val="1"/>
          <w:bCs w:val="1"/>
          <w:color w:val="000000"/>
          <w:sz w:val="22"/>
          <w:szCs w:val="22"/>
          <w:rtl w:val="0"/>
        </w:rPr>
        <w:t xml:space="preserve">PILLAR 4: FUTURE FRONTIERS (Slides 23-27)</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gpgmj8k1enmt" w:id="26"/>
      <w:bookmarkEnd w:id="26"/>
      <w:r w:rsidDel="00000000" w:rsidR="00000000" w:rsidRPr="00000000">
        <w:rPr>
          <w:b w:val="1"/>
          <w:bCs w:val="1"/>
          <w:color w:val="000000"/>
          <w:sz w:val="22"/>
          <w:szCs w:val="22"/>
          <w:rtl w:val="0"/>
        </w:rPr>
        <w:t xml:space="preserve">Slide 23 — Pillar 4 Chapter</w:t>
      </w:r>
    </w:p>
    <w:p w:rsidR="00000000" w:rsidDel="00000000" w:rsidP="00000000" w:rsidRDefault="00000000" w:rsidRPr="00000000" w14:paraId="00000031">
      <w:pPr>
        <w:spacing w:after="240" w:before="240" w:lineRule="auto"/>
        <w:rPr/>
      </w:pPr>
      <w:r w:rsidDel="00000000" w:rsidR="00000000" w:rsidRPr="00000000">
        <w:rPr>
          <w:rtl w:val="0"/>
        </w:rPr>
        <w:t xml:space="preserve">Pillar 4 is where we look forward. The first three pillars give you a production-grade risk engine for today. Pillar 4 is about building the engine for the next five years. The core shift is from reactive to proactive — from systems that respond to fraud after it happens, to systems that anticipate and prevent it. These aren't research projects — we're actively building and piloting these at Capital One.</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2a0smeqrc0ey" w:id="27"/>
      <w:bookmarkEnd w:id="27"/>
      <w:r w:rsidDel="00000000" w:rsidR="00000000" w:rsidRPr="00000000">
        <w:rPr>
          <w:b w:val="1"/>
          <w:bCs w:val="1"/>
          <w:color w:val="000000"/>
          <w:sz w:val="22"/>
          <w:szCs w:val="22"/>
          <w:rtl w:val="0"/>
        </w:rPr>
        <w:t xml:space="preserve">Slide 24 — The Problem: Future Frontiers</w:t>
      </w:r>
    </w:p>
    <w:p w:rsidR="00000000" w:rsidDel="00000000" w:rsidP="00000000" w:rsidRDefault="00000000" w:rsidRPr="00000000" w14:paraId="00000033">
      <w:pPr>
        <w:spacing w:after="240" w:before="240" w:lineRule="auto"/>
        <w:rPr/>
      </w:pPr>
      <w:r w:rsidDel="00000000" w:rsidR="00000000" w:rsidRPr="00000000">
        <w:rPr>
          <w:rtl w:val="0"/>
        </w:rPr>
        <w:t xml:space="preserve">The reactive problem is fundamental. Today's risk systems are built around discrete events — a transaction happens, we score it, we decide. Between events, the risk profile is static. 💥 What broke for us: A fraud ring ran a 30-day account takeover campaign — small probing transactions, then large wire transfers. Our batch scoring missed every signal. By the time an analyst flagged it, the pattern had been active for weeks. The losses were real. That's when we started building continuous risk scoring and agentic investigation.</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9rjm2ipz5kcr" w:id="28"/>
      <w:bookmarkEnd w:id="28"/>
      <w:r w:rsidDel="00000000" w:rsidR="00000000" w:rsidRPr="00000000">
        <w:rPr>
          <w:b w:val="1"/>
          <w:bCs w:val="1"/>
          <w:color w:val="000000"/>
          <w:sz w:val="22"/>
          <w:szCs w:val="22"/>
          <w:rtl w:val="0"/>
        </w:rPr>
        <w:t xml:space="preserve">Slide 25 — Agentic LLM Investigation</w:t>
      </w:r>
    </w:p>
    <w:p w:rsidR="00000000" w:rsidDel="00000000" w:rsidP="00000000" w:rsidRDefault="00000000" w:rsidRPr="00000000" w14:paraId="00000035">
      <w:pPr>
        <w:spacing w:after="240" w:before="240" w:lineRule="auto"/>
        <w:rPr/>
      </w:pPr>
      <w:r w:rsidDel="00000000" w:rsidR="00000000" w:rsidRPr="00000000">
        <w:rPr>
          <w:rtl w:val="0"/>
        </w:rPr>
        <w:t xml:space="preserve">Agentic investigation flips the model entirely. Instead of analysts working through a queue, LLM agents continuously monitor alert streams and autonomously gather evidence. The agent calls OpenSearch for transaction history, Neptune for entity graph traversal, sanctions APIs for screening — all orchestrated via LangGraph. It produces a structured investigation narrative: evidence summary, risk hypothesis, confidence assessment, recommended disposition. The analyst reviews and approves. They don't initiate. That shift — from analyst as investigator to analyst as reviewer — is what lets us scale investigation capacity without scaling headcount.</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25voihczlitz" w:id="29"/>
      <w:bookmarkEnd w:id="29"/>
      <w:r w:rsidDel="00000000" w:rsidR="00000000" w:rsidRPr="00000000">
        <w:rPr>
          <w:b w:val="1"/>
          <w:bCs w:val="1"/>
          <w:color w:val="000000"/>
          <w:sz w:val="22"/>
          <w:szCs w:val="22"/>
          <w:rtl w:val="0"/>
        </w:rPr>
        <w:t xml:space="preserve">Slide 26 — Continuous Feedback Loops</w:t>
      </w:r>
    </w:p>
    <w:p w:rsidR="00000000" w:rsidDel="00000000" w:rsidP="00000000" w:rsidRDefault="00000000" w:rsidRPr="00000000" w14:paraId="00000037">
      <w:pPr>
        <w:spacing w:after="240" w:before="240" w:lineRule="auto"/>
        <w:rPr/>
      </w:pPr>
      <w:r w:rsidDel="00000000" w:rsidR="00000000" w:rsidRPr="00000000">
        <w:rPr>
          <w:rtl w:val="0"/>
        </w:rPr>
        <w:t xml:space="preserve">The feedback loop problem is one of the most expensive mistakes in ML systems. Every chargeback, every analyst override, every confirmed fraud case is a high-quality training signal — and most systems discard it. We built an outcome feedback pipeline that automatically routes chargebacks and analyst dispositions back into the training pipeline as labeled ground truth. Analyst overrides are especially valuable — when an analyst clears a flagged transaction, that's a high-confidence negative label from the most expensive signal in the system. The compounding effect is real: better data, better models, fewer false positives, more analyst capacity, higher-quality labels.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xrjs4gc610sw" w:id="30"/>
      <w:bookmarkEnd w:id="30"/>
      <w:r w:rsidDel="00000000" w:rsidR="00000000" w:rsidRPr="00000000">
        <w:rPr>
          <w:b w:val="1"/>
          <w:bCs w:val="1"/>
          <w:color w:val="000000"/>
          <w:sz w:val="22"/>
          <w:szCs w:val="22"/>
          <w:rtl w:val="0"/>
        </w:rPr>
        <w:t xml:space="preserve">Slide 27 — Continuous Risk</w:t>
      </w:r>
    </w:p>
    <w:p w:rsidR="00000000" w:rsidDel="00000000" w:rsidP="00000000" w:rsidRDefault="00000000" w:rsidRPr="00000000" w14:paraId="00000039">
      <w:pPr>
        <w:spacing w:after="240" w:before="240" w:lineRule="auto"/>
        <w:rPr/>
      </w:pPr>
      <w:r w:rsidDel="00000000" w:rsidR="00000000" w:rsidRPr="00000000">
        <w:rPr>
          <w:rtl w:val="0"/>
        </w:rPr>
        <w:t xml:space="preserve">Continuous risk scoring is the logical endpoint of everything we've built. If you have real-time CDC, event-driven architecture, and always-on model monitoring — why are you still scoring customers only at transaction time? We update risk scores continuously as behavioral signals arrive. Behavioral biometrics — keystroke dynamics, session patterns — can trigger mid-session score updates before a fraudulent transaction is even attempted. And graph-based propagation means when one account in a fraud network is identified, all connected accounts are immediately re-scored. This is proactive risk management. Not reactive blocking after the fact.</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sv1y53jhlbrj" w:id="31"/>
      <w:bookmarkEnd w:id="31"/>
      <w:r w:rsidDel="00000000" w:rsidR="00000000" w:rsidRPr="00000000">
        <w:rPr>
          <w:b w:val="1"/>
          <w:bCs w:val="1"/>
          <w:color w:val="000000"/>
          <w:sz w:val="22"/>
          <w:szCs w:val="22"/>
          <w:rtl w:val="0"/>
        </w:rPr>
        <w:t xml:space="preserve">CLOSING (Slides 28-29)</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4eh2ru5e4orh" w:id="32"/>
      <w:bookmarkEnd w:id="32"/>
      <w:r w:rsidDel="00000000" w:rsidR="00000000" w:rsidRPr="00000000">
        <w:rPr>
          <w:b w:val="1"/>
          <w:bCs w:val="1"/>
          <w:color w:val="000000"/>
          <w:sz w:val="22"/>
          <w:szCs w:val="22"/>
          <w:rtl w:val="0"/>
        </w:rPr>
        <w:t xml:space="preserve">Slide 28 — Putting It All Together</w:t>
      </w:r>
    </w:p>
    <w:p w:rsidR="00000000" w:rsidDel="00000000" w:rsidP="00000000" w:rsidRDefault="00000000" w:rsidRPr="00000000" w14:paraId="0000003C">
      <w:pPr>
        <w:spacing w:after="240" w:before="240" w:lineRule="auto"/>
        <w:rPr/>
      </w:pPr>
      <w:r w:rsidDel="00000000" w:rsidR="00000000" w:rsidRPr="00000000">
        <w:rPr>
          <w:rtl w:val="0"/>
        </w:rPr>
        <w:t xml:space="preserve">This is the integrated picture. Four pillars, each amplifying the others. Better data makes better models. Better models enable better agents. Better agents generate better training data. The risk engine compounds in quality over time. And the cross-cutting concerns — OpenTelemetry observability, zero-trust security, field-level encryption, full audit trail — these aren't afterthoughts. They're baked into every layer from day one. That's the only way to build something that survives a regulatory exam and a production incident in the same week.</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r6k2lum5zg88" w:id="33"/>
      <w:bookmarkEnd w:id="33"/>
      <w:r w:rsidDel="00000000" w:rsidR="00000000" w:rsidRPr="00000000">
        <w:rPr>
          <w:b w:val="1"/>
          <w:bCs w:val="1"/>
          <w:color w:val="000000"/>
          <w:sz w:val="22"/>
          <w:szCs w:val="22"/>
          <w:rtl w:val="0"/>
        </w:rPr>
        <w:t xml:space="preserve">Slide 29 — Key Lessons</w:t>
      </w:r>
    </w:p>
    <w:p w:rsidR="00000000" w:rsidDel="00000000" w:rsidP="00000000" w:rsidRDefault="00000000" w:rsidRPr="00000000" w14:paraId="0000003E">
      <w:pPr>
        <w:spacing w:after="240" w:before="240" w:lineRule="auto"/>
        <w:rPr/>
      </w:pPr>
      <w:r w:rsidDel="00000000" w:rsidR="00000000" w:rsidRPr="00000000">
        <w:rPr>
          <w:rtl w:val="0"/>
        </w:rPr>
        <w:t xml:space="preserve">Let me close with the lessons we'd apply if we were starting over today. Start with data contracts on day one — retrofitting a schema registry after 10 source integrations is painful. Don't over-decompose microservices early — 5 to 7 well-scoped services beat 30 nano-services every time. Observability is non-negotiable — in a distributed risk system, you need end-to-end trace IDs on every transaction or debugging is impossible. Shadow mode saves you — always run new models and rules in parallel before promoting. Invest in explainability from day one — retrofitting SHAP onto a deployed model is 10x harder than building it in. And agents need guardrails before autonomy — start in assist mode, earn trust through demonstrated accuracy. These aren't theoretical lessons. Every one of these came from a real mistake. Thank you — happy to take questions.</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