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jc w:val="left"/>
      </w:pPr>
      <w:r>
        <w:rPr>
          <w:rFonts w:ascii="Arial" w:cs="Arial" w:eastAsia="Arial" w:hAnsi="Arial"/>
          <w:b/>
          <w:bCs/>
          <w:color w:val="2E75B6"/>
          <w:sz w:val="20"/>
          <w:szCs w:val="20"/>
        </w:rPr>
        <w:t xml:space="preserve">CONFERENCE INSIGHTS</w:t>
      </w:r>
    </w:p>
    <w:p>
      <w:pPr>
        <w:spacing w:after="160"/>
        <w:jc w:val="left"/>
      </w:pPr>
      <w:r>
        <w:rPr>
          <w:rFonts w:ascii="Arial" w:cs="Arial" w:eastAsia="Arial" w:hAnsi="Arial"/>
          <w:b/>
          <w:bCs/>
          <w:color w:val="003366"/>
          <w:sz w:val="48"/>
          <w:szCs w:val="48"/>
        </w:rPr>
        <w:t xml:space="preserve">MCP Dev Summit North America 2026</w:t>
      </w:r>
    </w:p>
    <w:p>
      <w:pPr>
        <w:spacing w:after="80"/>
        <w:jc w:val="left"/>
      </w:pPr>
      <w:r>
        <w:rPr>
          <w:rFonts w:ascii="Arial" w:cs="Arial" w:eastAsia="Arial" w:hAnsi="Arial"/>
          <w:color w:val="666666"/>
          <w:sz w:val="26"/>
          <w:szCs w:val="26"/>
        </w:rPr>
        <w:t xml:space="preserve">Learnings and Key Takeaways for Capital One’s Agentic AI Strategy</w:t>
      </w:r>
    </w:p>
    <w:p>
      <w:pPr>
        <w:pBdr>
          <w:bottom w:val="single" w:color="2E75B6" w:sz="6" w:space="8"/>
        </w:pBdr>
        <w:spacing w:after="200"/>
      </w:pPr>
    </w:p>
    <w:p>
      <w:pPr>
        <w:spacing w:after="40"/>
      </w:pPr>
      <w:r>
        <w:rPr>
          <w:b/>
          <w:bCs/>
          <w:color w:val="666666"/>
          <w:sz w:val="20"/>
          <w:szCs w:val="20"/>
        </w:rPr>
        <w:t xml:space="preserve">Event: </w:t>
      </w:r>
      <w:r>
        <w:rPr>
          <w:color w:val="666666"/>
          <w:sz w:val="20"/>
          <w:szCs w:val="20"/>
        </w:rPr>
        <w:t xml:space="preserve">MCP Dev Summit North America 2026  |  April 2–3, 2026  |  New York Marriott Marquis, NY</w:t>
      </w:r>
    </w:p>
    <w:p>
      <w:pPr>
        <w:spacing w:after="40"/>
      </w:pPr>
      <w:r>
        <w:rPr>
          <w:b/>
          <w:bCs/>
          <w:color w:val="666666"/>
          <w:sz w:val="20"/>
          <w:szCs w:val="20"/>
        </w:rPr>
        <w:t xml:space="preserve">Hosted by: </w:t>
      </w:r>
      <w:r>
        <w:rPr>
          <w:color w:val="666666"/>
          <w:sz w:val="20"/>
          <w:szCs w:val="20"/>
        </w:rPr>
        <w:t xml:space="preserve">Agentic AI Foundation (AAIF), under the Linux Foundation</w:t>
      </w:r>
    </w:p>
    <w:p>
      <w:pPr>
        <w:spacing w:after="40"/>
      </w:pPr>
      <w:r>
        <w:rPr>
          <w:b/>
          <w:bCs/>
          <w:color w:val="666666"/>
          <w:sz w:val="20"/>
          <w:szCs w:val="20"/>
        </w:rPr>
        <w:t xml:space="preserve">Author: </w:t>
      </w:r>
      <w:r>
        <w:rPr>
          <w:color w:val="666666"/>
          <w:sz w:val="20"/>
          <w:szCs w:val="20"/>
        </w:rPr>
        <w:t xml:space="preserve">[Your Name], Distinguished Engineer, Capital One</w:t>
      </w:r>
    </w:p>
    <w:p>
      <w:pPr>
        <w:spacing w:after="400"/>
      </w:pPr>
      <w:r>
        <w:rPr>
          <w:b/>
          <w:bCs/>
          <w:color w:val="666666"/>
          <w:sz w:val="20"/>
          <w:szCs w:val="20"/>
        </w:rPr>
        <w:t xml:space="preserve">Date: </w:t>
      </w:r>
      <w:r>
        <w:rPr>
          <w:color w:val="666666"/>
          <w:sz w:val="20"/>
          <w:szCs w:val="20"/>
        </w:rPr>
        <w:t xml:space="preserve">April 2026</w:t>
      </w:r>
    </w:p>
    <w:p>
      <w:pPr>
        <w:pStyle w:val="Heading1"/>
      </w:pPr>
      <w:r>
        <w:t xml:space="preserve">Executive Summary</w:t>
      </w:r>
    </w:p>
    <w:p>
      <w:pPr>
        <w:spacing w:after="200"/>
      </w:pPr>
      <w:r>
        <w:t xml:space="preserve">The inaugural MCP Dev Summit North America, held April 2–3, 2026, at the New York Marriott Marquis, brought together approximately 1,200 attendees for two days of deep technical sessions, keynotes, and workshops focused on the Model Context Protocol (MCP). Organized under the Linux Foundation’s Agentic AI Foundation (AAIF), the summit made one thing clear: MCP has moved decisively from experimental origins to production-grade infrastructure for connecting AI agents with enterprise data and tools.</w:t>
      </w:r>
    </w:p>
    <w:p>
      <w:pPr>
        <w:spacing w:after="200"/>
      </w:pPr>
      <w:r>
        <w:t xml:space="preserve">For Capital One, the implications are significant. As we scale our own agentic AI initiatives, the protocol’s trajectory toward enterprise-grade authentication, observability, and horizontal scaling directly addresses the security, governance, and reliability requirements that define financial services. This article synthesizes the summit’s most consequential announcements and maps them to opportunities and action items for our engineering organization.</w:t>
      </w:r>
    </w:p>
    <w:p>
      <w:pPr>
        <w:pStyle w:val="Heading1"/>
      </w:pPr>
      <w:r>
        <w:t xml:space="preserve">1. The State of MCP: From Experiment to Enterprise Standard</w:t>
      </w:r>
    </w:p>
    <w:p>
      <w:pPr>
        <w:spacing w:after="200"/>
      </w:pPr>
      <w:r>
        <w:t xml:space="preserve">David Soria Parra, MCP co-creator and member of technical staff at Anthropic, delivered the opening keynote tracing the protocol’s evolution. MCP has grown from local, stdio-only servers to a mature ecosystem featuring remote servers, authorization, elicitations, structured outputs, and the experimental tasks primitive for long-running agentic communication.</w:t>
      </w:r>
    </w:p>
    <w:p>
      <w:pPr>
        <w:spacing w:after="200"/>
      </w:pPr>
      <w:r>
        <w:t xml:space="preserve">The most significant technical development is the new transport work anchored by SEP-1442, which will move MCP from stateful sessions toward stateless requests. This architectural shift is critical for enterprise adoption because it enables horizontal scaling without server affinity—a pattern well understood at Capital One, where we operate at massive scale across distributed systems.</w:t>
      </w:r>
    </w:p>
    <w:p>
      <w:pPr>
        <w:spacing w:after="200"/>
      </w:pPr>
      <w:r>
        <w:t xml:space="preserve">The AAIF itself has grown at a remarkable pace. Jim Zemlin, Executive Director of the Linux Foundation, drew a direct comparison to the Cloud Native Computing Foundation (CNCF), noting that CNCF took roughly 13 months to become infrastructure currency, while MCP achieved comparable adoption in approximately 13 weeks. The foundation now exceeds CNCF in membership size, with over 170 members spanning Platinum, Gold, and Silver tiers, and is anchored by contributions including MCP, Block’s Goose, and OpenAI’s AGENTS.md.</w:t>
      </w:r>
    </w:p>
    <w:p>
      <w:pPr>
        <w:pStyle w:val="Heading1"/>
      </w:pPr>
      <w:r>
        <w:t xml:space="preserve">2. Key Technical Announcements</w:t>
      </w:r>
    </w:p>
    <w:p>
      <w:pPr>
        <w:pStyle w:val="Heading2"/>
      </w:pPr>
      <w:r>
        <w:t xml:space="preserve">2.1 MCP Apps: Servers with Interactive UIs</w:t>
      </w:r>
    </w:p>
    <w:p>
      <w:pPr>
        <w:spacing w:after="200"/>
      </w:pPr>
      <w:r>
        <w:t xml:space="preserve">One of the most prominently featured advancements was MCP Apps—the first official MCP extension that enables servers to provide interactive UIs to clients. Released on January 26, 2026, the spec allows tools to declare a UI resource pointing to HTML, JavaScript, and CSS, rendered in a sandboxed iframe, with bidirectional JSON-RPC over postMessage for interaction. Within months, MCP Apps had been adopted by Claude, ChatGPT, VS Code with GitHub Copilot, Goose, Postman, and MCPJam.</w:t>
      </w:r>
    </w:p>
    <w:p>
      <w:pPr>
        <w:spacing w:after="200"/>
      </w:pPr>
      <w:r>
        <w:rPr>
          <w:b/>
          <w:bCs/>
        </w:rPr>
        <w:t xml:space="preserve">Capital One Relevance: </w:t>
      </w:r>
      <w:r>
        <w:t xml:space="preserve">MCP Apps opens the door for our internal tooling teams to build rich, interactive agent experiences that go beyond text-based interactions. Think of a compliance review agent that not only retrieves policy documents but presents an interactive decision tree for risk assessment, all within the agent interface.</w:t>
      </w:r>
    </w:p>
    <w:p>
      <w:pPr>
        <w:pStyle w:val="Heading2"/>
      </w:pPr>
      <w:r>
        <w:t xml:space="preserve">2.2 Stateless Transport and Horizontal Scaling (SEP-1442)</w:t>
      </w:r>
    </w:p>
    <w:p>
      <w:pPr>
        <w:spacing w:after="200"/>
      </w:pPr>
      <w:r>
        <w:t xml:space="preserve">The proposed move from stateful sessions to stateless HTTP requests represents the single most important architectural change for enterprise adoption. Stateless transport eliminates server affinity requirements, enables standard load-balancing, and aligns MCP with the same patterns that power our existing microservices infrastructure.</w:t>
      </w:r>
    </w:p>
    <w:p>
      <w:pPr>
        <w:spacing w:after="200"/>
      </w:pPr>
      <w:r>
        <w:rPr>
          <w:b/>
          <w:bCs/>
        </w:rPr>
        <w:t xml:space="preserve">Capital One Relevance: </w:t>
      </w:r>
      <w:r>
        <w:t xml:space="preserve">Our platform teams should actively track SEP-1442. When it lands, we can deploy MCP servers behind our existing load-balancing and auto-scaling infrastructure without custom session management—a significant reduction in operational complexity.</w:t>
      </w:r>
    </w:p>
    <w:p>
      <w:pPr>
        <w:pStyle w:val="Heading2"/>
      </w:pPr>
      <w:r>
        <w:t xml:space="preserve">2.3 Tasks Primitive for Long-Running Operations (SEP-1686)</w:t>
      </w:r>
    </w:p>
    <w:p>
      <w:pPr>
        <w:spacing w:after="200"/>
      </w:pPr>
      <w:r>
        <w:t xml:space="preserve">The tasks primitive, shipped as experimental in the November 2025 spec revision, enables servers to return a durable handle immediately while real work continues in the background. The community is working to close lifecycle gaps including retry semantics and result expiration policies.</w:t>
      </w:r>
    </w:p>
    <w:p>
      <w:pPr>
        <w:spacing w:after="200"/>
      </w:pPr>
      <w:r>
        <w:rPr>
          <w:b/>
          <w:bCs/>
        </w:rPr>
        <w:t xml:space="preserve">Capital One Relevance: </w:t>
      </w:r>
      <w:r>
        <w:t xml:space="preserve">This pattern maps directly to our asynchronous processing needs. Consider an agent that initiates a fraud investigation spanning multiple data sources—the tasks primitive would allow the agent to hand off long-running analysis while maintaining a durable handle for status tracking and result retrieval.</w:t>
      </w:r>
    </w:p>
    <w:p>
      <w:pPr>
        <w:pStyle w:val="Heading2"/>
      </w:pPr>
      <w:r>
        <w:t xml:space="preserve">2.4 Triggers: Webhooks for MCP</w:t>
      </w:r>
    </w:p>
    <w:p>
      <w:pPr>
        <w:spacing w:after="200"/>
      </w:pPr>
      <w:r>
        <w:t xml:space="preserve">The Triggers and Events Working Group presented their charter for building webhook-like capabilities into MCP. Triggers would allow servers to proactively notify clients of new data, moving agents from a pull-based model to event-driven reactivity.</w:t>
      </w:r>
    </w:p>
    <w:p>
      <w:pPr>
        <w:spacing w:after="200"/>
      </w:pPr>
      <w:r>
        <w:rPr>
          <w:b/>
          <w:bCs/>
        </w:rPr>
        <w:t xml:space="preserve">Capital One Relevance: </w:t>
      </w:r>
      <w:r>
        <w:t xml:space="preserve">Event-driven agent patterns align with our existing Kafka-based event architectures. Triggers could enable agents that respond to real-time events such as suspicious transaction patterns, regulatory filing deadlines, or market condition changes without constant polling.</w:t>
      </w:r>
    </w:p>
    <w:p>
      <w:pPr>
        <w:pStyle w:val="Heading2"/>
      </w:pPr>
      <w:r>
        <w:t xml:space="preserve">2.5 Complementary Standards: A2A and Universal Commerce Protocol</w:t>
      </w:r>
    </w:p>
    <w:p>
      <w:pPr>
        <w:spacing w:after="200"/>
      </w:pPr>
      <w:r>
        <w:t xml:space="preserve">Google’s Agent-to-Agent (A2A) protocol v1.0 launched alongside the summit, formalizing agent-to-agent coordination as a complementary standard to MCP’s agent-to-resource focus. Additionally, Google’s Universal Commerce Protocol v1.0 introduced an economic transaction layer for agents. Together with MCP, these standards form a layered stack: MCP handles tool integration, A2A governs agent coordination, and the Commerce Protocol manages transactions.</w:t>
      </w:r>
    </w:p>
    <w:p>
      <w:pPr>
        <w:pStyle w:val="Heading1"/>
      </w:pPr>
      <w:r>
        <w:t xml:space="preserve">3. Enterprise Security: The Headline Theme</w:t>
      </w:r>
    </w:p>
    <w:p>
      <w:pPr>
        <w:spacing w:after="200"/>
      </w:pPr>
      <w:r>
        <w:t xml:space="preserve">Security dominated the summit’s agenda, reflecting legitimate industry scrutiny that intensified at RSAC earlier this year. A roundtable panel featuring MCP maintainers from Anthropic, AWS, Microsoft, and OpenAI laid out the enterprise security roadmap. The 2026 MCP roadmap specifically targets three areas: authentication maturity, observability integration, and horizontal HTTP scaling—directly addressing the security and scale gaps most frequently cited by critics.</w:t>
      </w:r>
    </w:p>
    <w:p>
      <w:pPr>
        <w:spacing w:after="120"/>
      </w:pPr>
      <w:r>
        <w:rPr>
          <w:b/>
          <w:bCs/>
        </w:rPr>
        <w:t xml:space="preserve">Key security sessions included:</w:t>
      </w:r>
    </w:p>
    <w:p>
      <w:pPr>
        <w:pStyle w:val="ListParagraph"/>
        <w:numPr>
          <w:ilvl w:val="0"/>
          <w:numId w:val="2"/>
        </w:numPr>
        <w:spacing w:after="80"/>
      </w:pPr>
      <w:r>
        <w:rPr>
          <w:sz w:val="22"/>
          <w:szCs w:val="22"/>
        </w:rPr>
        <w:t xml:space="preserve">"Mix-Up Attacks in MCP: Multi-Issuer Confusion and Mitigations" by Emily Lauber from Microsoft, addressing authentication edge cases in multi-tenant environments</w:t>
      </w:r>
    </w:p>
    <w:p>
      <w:pPr>
        <w:pStyle w:val="ListParagraph"/>
        <w:numPr>
          <w:ilvl w:val="0"/>
          <w:numId w:val="2"/>
        </w:numPr>
        <w:spacing w:after="80"/>
      </w:pPr>
      <w:r>
        <w:rPr>
          <w:sz w:val="22"/>
          <w:szCs w:val="22"/>
        </w:rPr>
        <w:t xml:space="preserve">"Hooks, Not Hacks: Modular Enforcement for MCP Agents" by Fred Araujo and Ian Molloy from IBM, proposing composable security enforcement patterns</w:t>
      </w:r>
    </w:p>
    <w:p>
      <w:pPr>
        <w:pStyle w:val="ListParagraph"/>
        <w:numPr>
          <w:ilvl w:val="0"/>
          <w:numId w:val="2"/>
        </w:numPr>
        <w:spacing w:after="80"/>
      </w:pPr>
      <w:r>
        <w:rPr>
          <w:sz w:val="22"/>
          <w:szCs w:val="22"/>
        </w:rPr>
        <w:t xml:space="preserve">"Towards Building Safe and Secure Agentic AI" by Professor Dawn Song from UC Berkeley, covering foundational safety frameworks</w:t>
      </w:r>
    </w:p>
    <w:p>
      <w:pPr>
        <w:pStyle w:val="ListParagraph"/>
        <w:numPr>
          <w:ilvl w:val="0"/>
          <w:numId w:val="2"/>
        </w:numPr>
        <w:spacing w:after="80"/>
      </w:pPr>
      <w:r>
        <w:rPr>
          <w:sz w:val="22"/>
          <w:szCs w:val="22"/>
        </w:rPr>
        <w:t xml:space="preserve">"MCP Elicitation: Balancing Convenience With Security" by Kay James from Gravitee, addressing the tension between user experience and security controls</w:t>
      </w:r>
    </w:p>
    <w:p>
      <w:pPr>
        <w:spacing w:after="200" w:before="120"/>
      </w:pPr>
      <w:r>
        <w:rPr>
          <w:b/>
          <w:bCs/>
        </w:rPr>
        <w:t xml:space="preserve">Capital One Relevance: </w:t>
      </w:r>
      <w:r>
        <w:t xml:space="preserve">As a heavily regulated financial institution, we should consider contributing to the security working groups. Our experience with OAuth 2.0, mTLS, and fine-grained access control in financial services could shape the protocol’s authentication model in ways that benefit both our organization and the broader community.</w:t>
      </w:r>
    </w:p>
    <w:p>
      <w:pPr>
        <w:pStyle w:val="Heading1"/>
      </w:pPr>
      <w:r>
        <w:t xml:space="preserve">4. Enterprise Adoption: Production Case Studies</w:t>
      </w:r>
    </w:p>
    <w:p>
      <w:pPr>
        <w:spacing w:after="200"/>
      </w:pPr>
      <w:r>
        <w:t xml:space="preserve">Enterprise keynotes from Uber, Nordstrom, Bloomberg, Duolingo, and PwC demonstrated MCP operating in production environments. These were not proof-of-concept demos but production-grade deployments with measurable impact. Below, I detail each company’s implementation, the architectural patterns they employed, and the practical lessons Capital One can extract.</w:t>
      </w:r>
    </w:p>
    <w:p>
      <w:pPr>
        <w:pStyle w:val="Heading2"/>
      </w:pPr>
      <w:r>
        <w:t xml:space="preserve">4.1 Uber: MCP Gateway and Registry at Enterprise Scale</w:t>
      </w:r>
    </w:p>
    <w:p>
      <w:pPr>
        <w:spacing w:after="200"/>
      </w:pPr>
      <w:r>
        <w:t xml:space="preserve">Meghana Somasundara (Agentic AI Lead) and Rush Tehrani (Head of Engineering, Agentic AI Platform) delivered the keynote "Operating MCPs at Enterprise Scale: Uber’s Journey," which was arguably the summit’s most compelling enterprise case study. Uber built a centralized MCP Gateway and Registry as the control plane for all agentic interactions. The gateway automatically exposes thousands of internal Thrift, Protobuf, and HTTP endpoints to agents through MCP, with any internal endpoint convertible to an MCP server via a simple configuration change.</w:t>
      </w:r>
    </w:p>
    <w:p>
      <w:pPr>
        <w:spacing w:after="120"/>
      </w:pPr>
      <w:r>
        <w:rPr>
          <w:b/>
          <w:bCs/>
        </w:rPr>
        <w:t xml:space="preserve">Key architectural details:</w:t>
      </w:r>
    </w:p>
    <w:p>
      <w:pPr>
        <w:pStyle w:val="ListParagraph"/>
        <w:numPr>
          <w:ilvl w:val="0"/>
          <w:numId w:val="2"/>
        </w:numPr>
        <w:spacing w:after="80"/>
      </w:pPr>
      <w:r>
        <w:rPr>
          <w:sz w:val="22"/>
          <w:szCs w:val="22"/>
        </w:rPr>
        <w:t xml:space="preserve">GenAI Gateway: A Go-based proxy through which all agentic traffic flows, performing PII redaction and scrubbing internal identifiers before requests reach external LLM providers. This is a critical pattern for any financial institution handling sensitive customer data.</w:t>
      </w:r>
    </w:p>
    <w:p>
      <w:pPr>
        <w:pStyle w:val="ListParagraph"/>
        <w:numPr>
          <w:ilvl w:val="0"/>
          <w:numId w:val="2"/>
        </w:numPr>
        <w:spacing w:after="80"/>
      </w:pPr>
      <w:r>
        <w:rPr>
          <w:sz w:val="22"/>
          <w:szCs w:val="22"/>
        </w:rPr>
        <w:t xml:space="preserve">Scale: Tens of thousands of agent executions run through the platform each week, demonstrating that MCP can operate at true enterprise throughput.</w:t>
      </w:r>
    </w:p>
    <w:p>
      <w:pPr>
        <w:pStyle w:val="ListParagraph"/>
        <w:numPr>
          <w:ilvl w:val="0"/>
          <w:numId w:val="2"/>
        </w:numPr>
        <w:spacing w:after="80"/>
      </w:pPr>
      <w:r>
        <w:rPr>
          <w:sz w:val="22"/>
          <w:szCs w:val="22"/>
        </w:rPr>
        <w:t xml:space="preserve">Agent Builder and Agent Studio: A no-code platform that lets teams build, visualize, debug, trace, version, and evaluate multi-agent workflows. Agents built via the platform become discoverable through a central registry.</w:t>
      </w:r>
    </w:p>
    <w:p>
      <w:pPr>
        <w:pStyle w:val="ListParagraph"/>
        <w:numPr>
          <w:ilvl w:val="0"/>
          <w:numId w:val="2"/>
        </w:numPr>
        <w:spacing w:after="80"/>
      </w:pPr>
      <w:r>
        <w:rPr>
          <w:sz w:val="22"/>
          <w:szCs w:val="22"/>
        </w:rPr>
        <w:t xml:space="preserve">Developer Adoption: As of March 2026, 84% of Uber’s developers are active agentic coding users, and Claude Code usage nearly doubled from 32% in December to 63% in February.</w:t>
      </w:r>
    </w:p>
    <w:p>
      <w:pPr>
        <w:spacing w:after="200" w:before="120"/>
      </w:pPr>
      <w:r>
        <w:rPr>
          <w:b/>
          <w:bCs/>
          <w:color w:val="2E75B6"/>
        </w:rPr>
        <w:t xml:space="preserve">Capital One Parallel: </w:t>
      </w:r>
      <w:r>
        <w:t xml:space="preserve">Uber’s GenAI Gateway pattern maps directly to our needs. A centralized proxy that performs PII redaction and credential scrubbing before any data reaches external models is precisely the kind of architecture our security and compliance teams would require. We should evaluate building a similar gateway that integrates with our existing data loss prevention (DLP) infrastructure and tokenization services. Their Agent Builder’s no-code approach could also inform how we democratize agent creation for non-engineering teams in operations and risk management.</w:t>
      </w:r>
    </w:p>
    <w:p>
      <w:pPr>
        <w:pStyle w:val="Heading2"/>
      </w:pPr>
      <w:r>
        <w:t xml:space="preserve">4.2 Duolingo: Enterprise AI Slackbot and No-Code Agentic Workflows</w:t>
      </w:r>
    </w:p>
    <w:p>
      <w:pPr>
        <w:spacing w:after="200"/>
      </w:pPr>
      <w:r>
        <w:t xml:space="preserve">Aaron Wang from Duolingo’s DevXAI team presented their internal AI Slackbot, which connects to over 180 MCP tools and serves as a company-wide productivity layer. Unlike many early MCP deployments that target developers, Duolingo’s Slackbot is designed for every employee—product managers, researchers, and engineers alike.</w:t>
      </w:r>
    </w:p>
    <w:p>
      <w:pPr>
        <w:spacing w:after="120"/>
      </w:pPr>
      <w:r>
        <w:rPr>
          <w:b/>
          <w:bCs/>
        </w:rPr>
        <w:t xml:space="preserve">Practical capabilities demonstrated:</w:t>
      </w:r>
    </w:p>
    <w:p>
      <w:pPr>
        <w:pStyle w:val="ListParagraph"/>
        <w:numPr>
          <w:ilvl w:val="0"/>
          <w:numId w:val="2"/>
        </w:numPr>
        <w:spacing w:after="80"/>
      </w:pPr>
      <w:r>
        <w:rPr>
          <w:sz w:val="22"/>
          <w:szCs w:val="22"/>
        </w:rPr>
        <w:t xml:space="preserve">Institutional Knowledge Retrieval: The Slackbot searches across help channels to surface past decisions and answers, eliminating the need for employees to re-ask questions that have already been resolved.</w:t>
      </w:r>
    </w:p>
    <w:p>
      <w:pPr>
        <w:pStyle w:val="ListParagraph"/>
        <w:numPr>
          <w:ilvl w:val="0"/>
          <w:numId w:val="2"/>
        </w:numPr>
        <w:spacing w:after="80"/>
      </w:pPr>
      <w:r>
        <w:rPr>
          <w:sz w:val="22"/>
          <w:szCs w:val="22"/>
        </w:rPr>
        <w:t xml:space="preserve">Alert Triage: Operational notifications are automatically routed and prioritized. The agent pulls context from multiple systems (monitoring, code repositories, ticketing) to provide responders with immediate situational awareness.</w:t>
      </w:r>
    </w:p>
    <w:p>
      <w:pPr>
        <w:pStyle w:val="ListParagraph"/>
        <w:numPr>
          <w:ilvl w:val="0"/>
          <w:numId w:val="2"/>
        </w:numPr>
        <w:spacing w:after="80"/>
      </w:pPr>
      <w:r>
        <w:rPr>
          <w:sz w:val="22"/>
          <w:szCs w:val="22"/>
        </w:rPr>
        <w:t xml:space="preserve">Incident Debugging: During production incidents, the Slackbot aggregates context from disparate systems—logs, deployment history, recent code changes—to accelerate root cause analysis.</w:t>
      </w:r>
    </w:p>
    <w:p>
      <w:pPr>
        <w:pStyle w:val="ListParagraph"/>
        <w:numPr>
          <w:ilvl w:val="0"/>
          <w:numId w:val="2"/>
        </w:numPr>
        <w:spacing w:after="80"/>
      </w:pPr>
      <w:r>
        <w:rPr>
          <w:sz w:val="22"/>
          <w:szCs w:val="22"/>
        </w:rPr>
        <w:t xml:space="preserve">No-Code Workflow Platform: Built on Temporal, Duolingo’s platform lets any employee create and share agentic workflows through a simple JSON configuration. Average creation time for a new custom workflow is one to two days. They also open-sourced their Slack MCP server with OAuth 2.1 authentication for the community.</w:t>
      </w:r>
    </w:p>
    <w:p>
      <w:pPr>
        <w:spacing w:after="200" w:before="120"/>
      </w:pPr>
      <w:r>
        <w:rPr>
          <w:b/>
          <w:bCs/>
          <w:color w:val="2E75B6"/>
        </w:rPr>
        <w:t xml:space="preserve">Capital One Parallel: </w:t>
      </w:r>
      <w:r>
        <w:t xml:space="preserve">Duolingo’s approach is the strongest model for Capital One’s initial MCP adoption. An internal Slackbot or Teams bot that connects to our internal knowledge bases, Jira, PagerDuty, Splunk, and Confluence could dramatically reduce time-to-resolution for production incidents and eliminate the institutional knowledge tax that slows onboarding. Starting with read-only MCP tools for search and retrieval minimizes risk while demonstrating immediate value. The no-code workflow platform is also directly applicable: imagine enabling our operations teams to build automated compliance checks or audit workflows without engineering involvement.</w:t>
      </w:r>
    </w:p>
    <w:p>
      <w:pPr>
        <w:pStyle w:val="Heading2"/>
      </w:pPr>
      <w:r>
        <w:t xml:space="preserve">4.3 Nordstrom: One-to-Many MCP for Retail AI Enablement</w:t>
      </w:r>
    </w:p>
    <w:p>
      <w:pPr>
        <w:spacing w:after="200"/>
      </w:pPr>
      <w:r>
        <w:t xml:space="preserve">Ola Hungerford (Principal Engineer and MCP maintainer) and Sandeep Bhat (Engineer) presented "One-To-Many: Enabling MCP, Agents, and Intelligent Systems at Nordstrom." Notably, Hungerford is not just an implementer but an active contributor to the MCP specification itself, contributing to developer tooling, documentation, and community governance. Nordstrom’s AI Enablement team focuses on platform engineering for MCP and AI agents, with a strong emphasis on balancing security-conscious architecture with developer productivity.</w:t>
      </w:r>
    </w:p>
    <w:p>
      <w:pPr>
        <w:spacing w:after="120"/>
      </w:pPr>
      <w:r>
        <w:rPr>
          <w:b/>
          <w:bCs/>
        </w:rPr>
        <w:t xml:space="preserve">Key takeaways from Nordstrom’s approach:</w:t>
      </w:r>
    </w:p>
    <w:p>
      <w:pPr>
        <w:pStyle w:val="ListParagraph"/>
        <w:numPr>
          <w:ilvl w:val="0"/>
          <w:numId w:val="2"/>
        </w:numPr>
        <w:spacing w:after="80"/>
      </w:pPr>
      <w:r>
        <w:rPr>
          <w:sz w:val="22"/>
          <w:szCs w:val="22"/>
        </w:rPr>
        <w:t xml:space="preserve">One-to-Many Architecture: Nordstrom built infrastructure that allows a single MCP integration to serve multiple agent consumers across the organization, avoiding the proliferation of point-to-point connections that typically plagues enterprise AI deployments.</w:t>
      </w:r>
    </w:p>
    <w:p>
      <w:pPr>
        <w:pStyle w:val="ListParagraph"/>
        <w:numPr>
          <w:ilvl w:val="0"/>
          <w:numId w:val="2"/>
        </w:numPr>
        <w:spacing w:after="80"/>
      </w:pPr>
      <w:r>
        <w:rPr>
          <w:sz w:val="22"/>
          <w:szCs w:val="22"/>
        </w:rPr>
        <w:t xml:space="preserve">Security-First Platform Engineering: With Hungerford’s background in security, Nordstrom’s approach emphasizes safe architecture patterns that allow internal teams to deploy scalable solutions without compromising security posture.</w:t>
      </w:r>
    </w:p>
    <w:p>
      <w:pPr>
        <w:pStyle w:val="ListParagraph"/>
        <w:numPr>
          <w:ilvl w:val="0"/>
          <w:numId w:val="2"/>
        </w:numPr>
        <w:spacing w:after="80"/>
      </w:pPr>
      <w:r>
        <w:rPr>
          <w:sz w:val="22"/>
          <w:szCs w:val="22"/>
        </w:rPr>
        <w:t xml:space="preserve">Internal Enablement Focus: Rather than building a single monolithic agent, Nordstrom empowers individual teams to deploy their own agents on top of shared MCP infrastructure, turning platform engineering into an enablement function.</w:t>
      </w:r>
    </w:p>
    <w:p>
      <w:pPr>
        <w:spacing w:after="200" w:before="120"/>
      </w:pPr>
      <w:r>
        <w:rPr>
          <w:b/>
          <w:bCs/>
          <w:color w:val="2E75B6"/>
        </w:rPr>
        <w:t xml:space="preserve">Capital One Parallel: </w:t>
      </w:r>
      <w:r>
        <w:t xml:space="preserve">Nordstrom’s one-to-many model is particularly relevant to Capital One’s organizational structure. We have dozens of product teams that would benefit from agent capabilities—cards, banking, auto, commercial—but building bespoke integrations for each is unsustainable. A shared MCP platform that individual business lines can build upon would allow us to invest once in security, governance, and infrastructure while enabling distributed innovation. We should also consider contributing to MCP’s specification and governance, as Nordstrom has, to ensure the protocol evolves in ways that serve regulated industries.</w:t>
      </w:r>
    </w:p>
    <w:p>
      <w:pPr>
        <w:pStyle w:val="Heading2"/>
      </w:pPr>
      <w:r>
        <w:t xml:space="preserve">4.4 Bloomberg: Trustworthy AI Infrastructure at Scale</w:t>
      </w:r>
    </w:p>
    <w:p>
      <w:pPr>
        <w:spacing w:after="200"/>
      </w:pPr>
      <w:r>
        <w:t xml:space="preserve">Ania Musial, Head of AI Platforms Product in Bloomberg’s Office of the CTO, delivered the keynote "Interoperability Isn’t Enough: Building Trustworthy AI Infrastructure with MCP." Bloomberg’s challenge was emblematic of large-scale enterprises: with nearly 10,000 engineers, they needed a standardized way to integrate tools and agents across teams without creating an unmanageable web of custom integrations.</w:t>
      </w:r>
    </w:p>
    <w:p>
      <w:pPr>
        <w:spacing w:after="120"/>
      </w:pPr>
      <w:r>
        <w:rPr>
          <w:b/>
          <w:bCs/>
        </w:rPr>
        <w:t xml:space="preserve">Bloomberg’s implementation approach:</w:t>
      </w:r>
    </w:p>
    <w:p>
      <w:pPr>
        <w:pStyle w:val="ListParagraph"/>
        <w:numPr>
          <w:ilvl w:val="0"/>
          <w:numId w:val="2"/>
        </w:numPr>
        <w:spacing w:after="80"/>
      </w:pPr>
      <w:r>
        <w:rPr>
          <w:sz w:val="22"/>
          <w:szCs w:val="22"/>
        </w:rPr>
        <w:t xml:space="preserve">Modular, Remote-First Components: Bloomberg transformed their internal tools into remote-first MCP components that agents can call through a unified interface, replacing the previous patchwork of custom API integrations.</w:t>
      </w:r>
    </w:p>
    <w:p>
      <w:pPr>
        <w:pStyle w:val="ListParagraph"/>
        <w:numPr>
          <w:ilvl w:val="0"/>
          <w:numId w:val="2"/>
        </w:numPr>
        <w:spacing w:after="80"/>
      </w:pPr>
      <w:r>
        <w:rPr>
          <w:sz w:val="22"/>
          <w:szCs w:val="22"/>
        </w:rPr>
        <w:t xml:space="preserve">Cross-Organization Tool Contribution: By standardizing on MCP, individual engineers across Bloomberg can contribute tools to a shared ecosystem while AI teams focus exclusively on building agents rather than integration plumbing.</w:t>
      </w:r>
    </w:p>
    <w:p>
      <w:pPr>
        <w:pStyle w:val="ListParagraph"/>
        <w:numPr>
          <w:ilvl w:val="0"/>
          <w:numId w:val="2"/>
        </w:numPr>
        <w:spacing w:after="80"/>
      </w:pPr>
      <w:r>
        <w:rPr>
          <w:sz w:val="22"/>
          <w:szCs w:val="22"/>
        </w:rPr>
        <w:t xml:space="preserve">Trust and Interoperability: Musial’s keynote emphasized that interoperability alone is insufficient—enterprise AI infrastructure must also be trustworthy, meaning observable, auditable, and governed. Bloomberg now supports scalable, secure agent workflows with full MCP ecosystem interoperability.</w:t>
      </w:r>
    </w:p>
    <w:p>
      <w:pPr>
        <w:spacing w:after="200" w:before="120"/>
      </w:pPr>
      <w:r>
        <w:rPr>
          <w:b/>
          <w:bCs/>
          <w:color w:val="2E75B6"/>
        </w:rPr>
        <w:t xml:space="preserve">Capital One Parallel: </w:t>
      </w:r>
      <w:r>
        <w:t xml:space="preserve">Bloomberg’s experience is the closest analog to Capital One among the presenters. As a large financial services firm with thousands of engineers, their challenge of unifying tool access across a fragmented engineering organization mirrors ours. Their emphasis on trustworthy infrastructure—not just functional interoperability—aligns with the regulatory expectations we face. We should study Bloomberg’s model of enabling engineers to contribute MCP tools to a shared catalog while maintaining centralized governance, as this would allow our business lines to innovate on agent capabilities without creating shadow AI infrastructure.</w:t>
      </w:r>
    </w:p>
    <w:p>
      <w:pPr>
        <w:pStyle w:val="Heading2"/>
      </w:pPr>
      <w:r>
        <w:t xml:space="preserve">4.5 PwC: Skills Orchestration for Enterprise Advisory</w:t>
      </w:r>
    </w:p>
    <w:p>
      <w:pPr>
        <w:spacing w:after="200"/>
      </w:pPr>
      <w:r>
        <w:t xml:space="preserve">Jacob Wilson, a Principal and GenAI Transformation Leader in PwC’s Advisory Analytics practice, presented "Using MCP for Skills Orchestration and Enterprise Integration." Wilson, who holds a Master of Data Science from UC Berkeley and multiple patents in AI and GenAI, described how PwC is using MCP as the orchestration layer for composable AI skills across their advisory practices.</w:t>
      </w:r>
    </w:p>
    <w:p>
      <w:pPr>
        <w:spacing w:after="120"/>
      </w:pPr>
      <w:r>
        <w:rPr>
          <w:b/>
          <w:bCs/>
        </w:rPr>
        <w:t xml:space="preserve">PwC’s skills orchestration model:</w:t>
      </w:r>
    </w:p>
    <w:p>
      <w:pPr>
        <w:pStyle w:val="ListParagraph"/>
        <w:numPr>
          <w:ilvl w:val="0"/>
          <w:numId w:val="2"/>
        </w:numPr>
        <w:spacing w:after="80"/>
      </w:pPr>
      <w:r>
        <w:rPr>
          <w:sz w:val="22"/>
          <w:szCs w:val="22"/>
        </w:rPr>
        <w:t xml:space="preserve">Skills as MCP Tools: PwC treats individual AI capabilities—data analysis, document review, financial modeling, regulatory compliance checking—as discrete "skills" exposed through MCP servers that can be composed into complex advisory workflows.</w:t>
      </w:r>
    </w:p>
    <w:p>
      <w:pPr>
        <w:pStyle w:val="ListParagraph"/>
        <w:numPr>
          <w:ilvl w:val="0"/>
          <w:numId w:val="2"/>
        </w:numPr>
        <w:spacing w:after="80"/>
      </w:pPr>
      <w:r>
        <w:rPr>
          <w:sz w:val="22"/>
          <w:szCs w:val="22"/>
        </w:rPr>
        <w:t xml:space="preserve">Cross-Practice Reusability: By standardizing on MCP, skills developed for one advisory engagement (such as financial due diligence) can be reused across other practices (tax, risk, consulting) without re-implementation.</w:t>
      </w:r>
    </w:p>
    <w:p>
      <w:pPr>
        <w:pStyle w:val="ListParagraph"/>
        <w:numPr>
          <w:ilvl w:val="0"/>
          <w:numId w:val="2"/>
        </w:numPr>
        <w:spacing w:after="80"/>
      </w:pPr>
      <w:r>
        <w:rPr>
          <w:sz w:val="22"/>
          <w:szCs w:val="22"/>
        </w:rPr>
        <w:t xml:space="preserve">Client-Facing Delivery: Unlike most other presenters who focused on internal tooling, PwC demonstrated MCP in client-facing GenAI delivery transformation, showing how the protocol can underpin professional services AI at scale.</w:t>
      </w:r>
    </w:p>
    <w:p>
      <w:pPr>
        <w:spacing w:after="200" w:before="120"/>
      </w:pPr>
      <w:r>
        <w:rPr>
          <w:b/>
          <w:bCs/>
          <w:color w:val="2E75B6"/>
        </w:rPr>
        <w:t xml:space="preserve">Capital One Parallel: </w:t>
      </w:r>
      <w:r>
        <w:t xml:space="preserve">PwC’s skills orchestration model is directly applicable to how we think about composable AI capabilities across Capital One. Imagine a suite of MCP-based skills—credit risk scoring, fraud pattern detection, regulatory compliance checking, customer sentiment analysis—that can be composed into different workflows depending on the business context. A loan officer’s agent might compose credit risk and compliance skills, while a fraud investigator’s agent composes fraud detection and transaction analysis skills, all drawing from the same shared infrastructure.</w:t>
      </w:r>
    </w:p>
    <w:p>
      <w:pPr>
        <w:pStyle w:val="Heading2"/>
      </w:pPr>
      <w:r>
        <w:t xml:space="preserve">4.6 Enterprise Adoption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2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Keynote Focus</w:t>
            </w:r>
          </w:p>
        </w:tc>
        <w:tc>
          <w:tcPr>
            <w:tcW w:type="dxa" w:w="2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Architecture Pattern</w:t>
            </w:r>
          </w:p>
        </w:tc>
        <w:tc>
          <w:tcPr>
            <w:tcW w:type="dxa" w:w="2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Scale Indicator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Operating MCPs at Enterprise Scale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Centralized MCP Gateway with PII redaction proxy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10,000s of agent executions/week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Duolingo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Enterprise AI Slackbot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180+ MCP tools with no-code Temporal workflows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Company-wide, all employee roles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Nordstrom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One-To-Many MCP Enablement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Shared MCP platform with security-first design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Multi-team retail operations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Bloomberg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Trustworthy AI Infrastructure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Remote-first modular MCP components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 engineers served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PwC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Skills Orchestration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Composable AI skills as MCP tools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Cross-practice advisory delivery</w:t>
            </w:r>
          </w:p>
        </w:tc>
      </w:tr>
    </w:tbl>
    <w:p>
      <w:pPr>
        <w:spacing w:after="200"/>
      </w:pPr>
    </w:p>
    <w:p>
      <w:pPr>
        <w:pStyle w:val="Heading1"/>
      </w:pPr>
      <w:r>
        <w:t xml:space="preserve">5. Observability and Governance</w:t>
      </w:r>
    </w:p>
    <w:p>
      <w:pPr>
        <w:spacing w:after="200"/>
      </w:pPr>
      <w:r>
        <w:t xml:space="preserve">The emerging standards stack of MCP plus A2A plus OpenTelemetry is forming the backbone of enterprise agent governance. Sessions on conformance testing (notably "One Spec, Ten SDKs, Zero Excuses" by Paul Carleton from Anthropic) and context middleware (by Peder Holdgaard Pedersen from Saxo Bank) highlighted the maturation of operational tooling.</w:t>
      </w:r>
    </w:p>
    <w:p>
      <w:pPr>
        <w:spacing w:after="200"/>
      </w:pPr>
      <w:r>
        <w:t xml:space="preserve">The session on operating MCP in the enterprise by Amar Deep Singh from GM Financial and Neelabh Tripathi from Cisco Systems was especially relevant, covering the journey from protocol specification to production deployment in regulated environments.</w:t>
      </w:r>
    </w:p>
    <w:p>
      <w:pPr>
        <w:spacing w:after="200"/>
      </w:pPr>
      <w:r>
        <w:rPr>
          <w:b/>
          <w:bCs/>
        </w:rPr>
        <w:t xml:space="preserve">Capital One Relevance: </w:t>
      </w:r>
      <w:r>
        <w:t xml:space="preserve">We should integrate MCP observability into our existing monitoring stack. OpenTelemetry-based tracing of agent interactions would provide the auditability and explainability that our compliance teams require. The conformance testing frameworks discussed at the summit could also serve as the basis for internal MCP server quality gates in our CI/CD pipelines.</w:t>
      </w:r>
    </w:p>
    <w:p>
      <w:pPr>
        <w:pStyle w:val="Heading1"/>
      </w:pPr>
      <w:r>
        <w:t xml:space="preserve">6. Recommended Actions for Capital One</w:t>
      </w:r>
    </w:p>
    <w:p>
      <w:pPr>
        <w:spacing w:after="120"/>
      </w:pPr>
      <w:r>
        <w:t xml:space="preserve">Based on the summit’s outcomes, I recommend the following actions for our engineering leadership:</w:t>
      </w:r>
    </w:p>
    <w:p>
      <w:pPr>
        <w:pStyle w:val="ListParagraph"/>
        <w:numPr>
          <w:ilvl w:val="0"/>
          <w:numId w:val="3"/>
        </w:numPr>
        <w:spacing w:after="120"/>
      </w:pPr>
      <w:r>
        <w:rPr>
          <w:b/>
          <w:bCs/>
          <w:sz w:val="22"/>
          <w:szCs w:val="22"/>
        </w:rPr>
        <w:t xml:space="preserve">Establish an MCP Center of Excellence: </w:t>
      </w:r>
      <w:r>
        <w:rPr>
          <w:sz w:val="22"/>
          <w:szCs w:val="22"/>
        </w:rPr>
        <w:t xml:space="preserve">Stand up a cross-functional team spanning platform engineering, security, and AI/ML to evaluate MCP for internal tooling. Start with a low-risk, high-value use case such as an internal developer productivity agent similar to Duolingo’s approach.</w:t>
      </w:r>
    </w:p>
    <w:p>
      <w:pPr>
        <w:pStyle w:val="ListParagraph"/>
        <w:numPr>
          <w:ilvl w:val="0"/>
          <w:numId w:val="3"/>
        </w:numPr>
        <w:spacing w:after="120"/>
      </w:pPr>
      <w:r>
        <w:rPr>
          <w:b/>
          <w:bCs/>
          <w:sz w:val="22"/>
          <w:szCs w:val="22"/>
        </w:rPr>
        <w:t xml:space="preserve">Engage with AAIF Security Working Groups: </w:t>
      </w:r>
      <w:r>
        <w:rPr>
          <w:sz w:val="22"/>
          <w:szCs w:val="22"/>
        </w:rPr>
        <w:t xml:space="preserve">Our security engineering teams should contribute to the authentication and authorization workstreams. Capital One’s depth in financial services security can help shape a protocol that works for regulated industries.</w:t>
      </w:r>
    </w:p>
    <w:p>
      <w:pPr>
        <w:pStyle w:val="ListParagraph"/>
        <w:numPr>
          <w:ilvl w:val="0"/>
          <w:numId w:val="3"/>
        </w:numPr>
        <w:spacing w:after="120"/>
      </w:pPr>
      <w:r>
        <w:rPr>
          <w:b/>
          <w:bCs/>
          <w:sz w:val="22"/>
          <w:szCs w:val="22"/>
        </w:rPr>
        <w:t xml:space="preserve">Track SEP-1442 (Stateless Transport): </w:t>
      </w:r>
      <w:r>
        <w:rPr>
          <w:sz w:val="22"/>
          <w:szCs w:val="22"/>
        </w:rPr>
        <w:t xml:space="preserve">Assign a platform engineering team to prototype MCP server deployments that leverage our existing Kubernetes and load-balancing infrastructure, preparing for the stateless transport specification.</w:t>
      </w:r>
    </w:p>
    <w:p>
      <w:pPr>
        <w:pStyle w:val="ListParagraph"/>
        <w:numPr>
          <w:ilvl w:val="0"/>
          <w:numId w:val="3"/>
        </w:numPr>
        <w:spacing w:after="120"/>
      </w:pPr>
      <w:r>
        <w:rPr>
          <w:b/>
          <w:bCs/>
          <w:sz w:val="22"/>
          <w:szCs w:val="22"/>
        </w:rPr>
        <w:t xml:space="preserve">Evaluate MCP Apps for Internal Tooling: </w:t>
      </w:r>
      <w:r>
        <w:rPr>
          <w:sz w:val="22"/>
          <w:szCs w:val="22"/>
        </w:rPr>
        <w:t xml:space="preserve">Identify two to three internal tools that would benefit from interactive agent-driven UIs. The sandboxed iframe model provides the isolation needed for sensitive financial applications.</w:t>
      </w:r>
    </w:p>
    <w:p>
      <w:pPr>
        <w:pStyle w:val="ListParagraph"/>
        <w:numPr>
          <w:ilvl w:val="0"/>
          <w:numId w:val="3"/>
        </w:numPr>
        <w:spacing w:after="120"/>
      </w:pPr>
      <w:r>
        <w:rPr>
          <w:b/>
          <w:bCs/>
          <w:sz w:val="22"/>
          <w:szCs w:val="22"/>
        </w:rPr>
        <w:t xml:space="preserve">Integrate MCP Observability with Existing Monitoring: </w:t>
      </w:r>
      <w:r>
        <w:rPr>
          <w:sz w:val="22"/>
          <w:szCs w:val="22"/>
        </w:rPr>
        <w:t xml:space="preserve">Ensure that any MCP deployments are instrumented with OpenTelemetry and integrated into our centralized monitoring and compliance dashboards from day one.</w:t>
      </w:r>
    </w:p>
    <w:p>
      <w:pPr>
        <w:pStyle w:val="ListParagraph"/>
        <w:numPr>
          <w:ilvl w:val="0"/>
          <w:numId w:val="3"/>
        </w:numPr>
        <w:spacing w:after="120"/>
      </w:pPr>
      <w:r>
        <w:rPr>
          <w:b/>
          <w:bCs/>
          <w:sz w:val="22"/>
          <w:szCs w:val="22"/>
        </w:rPr>
        <w:t xml:space="preserve">Pilot the Tasks Primitive for Async Workflows: </w:t>
      </w:r>
      <w:r>
        <w:rPr>
          <w:sz w:val="22"/>
          <w:szCs w:val="22"/>
        </w:rPr>
        <w:t xml:space="preserve">Identify long-running analytical processes in fraud detection, credit decisioning, or regulatory reporting that could benefit from durable asynchronous agent orchestration.</w:t>
      </w:r>
    </w:p>
    <w:p>
      <w:pPr>
        <w:spacing w:after="200"/>
      </w:pPr>
    </w:p>
    <w:p>
      <w:pPr>
        <w:pStyle w:val="Heading1"/>
      </w:pPr>
      <w:r>
        <w:t xml:space="preserve">7. Strategic Opportunity: AAIF Membership for Capital One</w:t>
      </w:r>
    </w:p>
    <w:p>
      <w:pPr>
        <w:spacing w:after="200"/>
      </w:pPr>
      <w:r>
        <w:t xml:space="preserve">One of the clearest outcomes of the summit is the strategic value of formal AAIF membership. The Agentic AI Foundation, formed in December 2025 under the Linux Foundation, has rapidly grown to over 170 members and now surpasses CNCF in membership size. Financial services peers including American Express, JPMorgan Chase, Bloomberg, and Global Payments have already joined. Capital One’s absence from this roster represents both a gap and an opportunity.</w:t>
      </w:r>
    </w:p>
    <w:p>
      <w:pPr>
        <w:pStyle w:val="Heading2"/>
      </w:pPr>
      <w:r>
        <w:t xml:space="preserve">7.1 Financial Services Peers Already at the Table</w:t>
      </w:r>
    </w:p>
    <w:p>
      <w:pPr>
        <w:spacing w:after="200"/>
      </w:pPr>
      <w:r>
        <w:t xml:space="preserve">The competitive landscape for AAIF membership in financial services is moving quickly. Bloomberg is a Platinum Member—the highest tier—giving them governing board representation and direct influence on protocol direction. JPMorgan Chase and American Express joined as Gold Members, alongside Global Payments and Stripe. GM Financial presented at the summit on operating MCP in enterprise regulated environments. Capital One’s financial services competitors and peers are actively shaping the standards that will govern how AI agents interact with financial data, transactions, and customer information. Joining now ensures we have a voice in those decisions rather than inheriting standards designed without our regulatory context in mind.</w:t>
      </w:r>
    </w:p>
    <w:p>
      <w:pPr>
        <w:pStyle w:val="Heading2"/>
      </w:pPr>
      <w:r>
        <w:t xml:space="preserve">7.2 Membership Tiers and Benefits</w:t>
      </w:r>
    </w:p>
    <w:p>
      <w:pPr>
        <w:spacing w:after="120"/>
      </w:pPr>
      <w:r>
        <w:t xml:space="preserve">The AAIF offers four membership tiers, each requiring Linux Foundation Silver Membership as a prerequisite. Dues are based on total corporate consolidated headcount of the parent company. Here is a summary of what each tier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7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Key Benefits</w:t>
            </w:r>
          </w:p>
        </w:tc>
        <w:tc>
          <w:tcPr>
            <w:tcW w:type="dxa" w:w="37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Governance Rights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Platinum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Exclusive leadership summits, private advisory sessions with LF and other Platinum members, early access to initiatives and ecosystem reports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voting rights on governance and policy, ability to nominate for officer or committee positions, governing board representation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Gold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quarterly meetings with Platinum members, early access to conformance programs and ecosystem reports, website recognition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Ability to nominate representatives for officer or committee positions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Silver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Networking access to member organizations, open source leaders, and technical steering committees (TSCs)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Ability to nominate for committees, public identification as Silver Member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Associate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Community participation in AAIF initiatives, events, and technical collaborations (non-profit/academic/government only)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voting rights or board representation; access to community resources and events</w:t>
            </w:r>
          </w:p>
        </w:tc>
      </w:tr>
    </w:tbl>
    <w:p>
      <w:pPr>
        <w:spacing w:after="200"/>
      </w:pPr>
    </w:p>
    <w:p>
      <w:pPr>
        <w:pStyle w:val="Heading2"/>
      </w:pPr>
      <w:r>
        <w:t xml:space="preserve">7.3 Recommended Tier: Gold Membership</w:t>
      </w:r>
    </w:p>
    <w:p>
      <w:pPr>
        <w:spacing w:after="200"/>
      </w:pPr>
      <w:r>
        <w:t xml:space="preserve">Given Capital One’s scale, technical depth, and regulatory requirements, I recommend pursuing </w:t>
      </w:r>
      <w:r>
        <w:rPr>
          <w:b/>
          <w:bCs/>
        </w:rPr>
        <w:t xml:space="preserve">Gold Membership</w:t>
      </w:r>
      <w:r>
        <w:t xml:space="preserve"> as the entry point, with the option to evaluate an upgrade to Platinum within 12 months based on our level of engagement and strategic priority. Gold membership provides the right balance of influence and investment for an organization beginning its formal AAIF engagement.</w:t>
      </w:r>
    </w:p>
    <w:p>
      <w:pPr>
        <w:spacing w:after="120"/>
      </w:pPr>
      <w:r>
        <w:rPr>
          <w:b/>
          <w:bCs/>
        </w:rPr>
        <w:t xml:space="preserve">Rationale for Gold Membership:</w:t>
      </w:r>
    </w:p>
    <w:p>
      <w:pPr>
        <w:pStyle w:val="ListParagraph"/>
        <w:numPr>
          <w:ilvl w:val="0"/>
          <w:numId w:val="2"/>
        </w:numPr>
        <w:spacing w:after="80"/>
      </w:pPr>
      <w:r>
        <w:rPr>
          <w:sz w:val="22"/>
          <w:szCs w:val="22"/>
        </w:rPr>
        <w:t xml:space="preserve">Peer Alignment: JPMorgan Chase and American Express, our most direct financial services peers, are Gold Members. Joining at this tier positions us alongside the companies whose regulatory and operational context most closely mirrors ours.</w:t>
      </w:r>
    </w:p>
    <w:p>
      <w:pPr>
        <w:pStyle w:val="ListParagraph"/>
        <w:numPr>
          <w:ilvl w:val="0"/>
          <w:numId w:val="2"/>
        </w:numPr>
        <w:spacing w:after="80"/>
      </w:pPr>
      <w:r>
        <w:rPr>
          <w:sz w:val="22"/>
          <w:szCs w:val="22"/>
        </w:rPr>
        <w:t xml:space="preserve">Committee Access: Gold membership allows us to nominate representatives for officer and committee positions, including the security and authentication working groups where financial services requirements must be represented.</w:t>
      </w:r>
    </w:p>
    <w:p>
      <w:pPr>
        <w:pStyle w:val="ListParagraph"/>
        <w:numPr>
          <w:ilvl w:val="0"/>
          <w:numId w:val="2"/>
        </w:numPr>
        <w:spacing w:after="80"/>
      </w:pPr>
      <w:r>
        <w:rPr>
          <w:sz w:val="22"/>
          <w:szCs w:val="22"/>
        </w:rPr>
        <w:t xml:space="preserve">Quarterly Executive Access: Regular meetings with Platinum members (AWS, Anthropic, Google, Microsoft, Bloomberg, OpenAI) provide strategic visibility into protocol direction and early warning on changes that could affect our architecture.</w:t>
      </w:r>
    </w:p>
    <w:p>
      <w:pPr>
        <w:pStyle w:val="ListParagraph"/>
        <w:numPr>
          <w:ilvl w:val="0"/>
          <w:numId w:val="2"/>
        </w:numPr>
        <w:spacing w:after="80"/>
      </w:pPr>
      <w:r>
        <w:rPr>
          <w:sz w:val="22"/>
          <w:szCs w:val="22"/>
        </w:rPr>
        <w:t xml:space="preserve">Cost-Effective Entry: Gold membership provides meaningful influence without the higher financial commitment of Platinum, allowing us to demonstrate value before requesting additional investment.</w:t>
      </w:r>
    </w:p>
    <w:p>
      <w:pPr>
        <w:spacing w:after="100"/>
      </w:pPr>
    </w:p>
    <w:p>
      <w:pPr>
        <w:pStyle w:val="Heading2"/>
      </w:pPr>
      <w:r>
        <w:t xml:space="preserve">7.4 Strategic Value of Membership for Capital One</w:t>
      </w:r>
    </w:p>
    <w:p>
      <w:pPr>
        <w:spacing w:after="120"/>
      </w:pPr>
      <w:r>
        <w:t xml:space="preserve">Formal AAIF membership would unlock several strategic advantages beyond the direct membership benefits:</w:t>
      </w:r>
    </w:p>
    <w:p>
      <w:pPr>
        <w:pStyle w:val="ListParagraph"/>
        <w:numPr>
          <w:ilvl w:val="0"/>
          <w:numId w:val="2"/>
        </w:numPr>
        <w:spacing w:after="100"/>
      </w:pPr>
      <w:r>
        <w:rPr>
          <w:b/>
          <w:bCs/>
          <w:sz w:val="22"/>
          <w:szCs w:val="22"/>
        </w:rPr>
        <w:t xml:space="preserve">Influence Authentication Standards for Financial Services: </w:t>
      </w:r>
      <w:r>
        <w:rPr>
          <w:sz w:val="22"/>
          <w:szCs w:val="22"/>
        </w:rPr>
        <w:t xml:space="preserve">The 2026 MCP roadmap prioritizes authentication maturity. As a Gold Member, Capital One engineers could contribute directly to the OAuth 2.1 implementation, token scoping, and fine-grained authorization models—ensuring the protocol supports the compliance requirements (PCI-DSS, SOX, GLBA) that govern our operations.</w:t>
      </w:r>
    </w:p>
    <w:p>
      <w:pPr>
        <w:pStyle w:val="ListParagraph"/>
        <w:numPr>
          <w:ilvl w:val="0"/>
          <w:numId w:val="2"/>
        </w:numPr>
        <w:spacing w:after="100"/>
      </w:pPr>
      <w:r>
        <w:rPr>
          <w:b/>
          <w:bCs/>
          <w:sz w:val="22"/>
          <w:szCs w:val="22"/>
        </w:rPr>
        <w:t xml:space="preserve">Shape the Agent Gateway Pattern: </w:t>
      </w:r>
      <w:r>
        <w:rPr>
          <w:sz w:val="22"/>
          <w:szCs w:val="22"/>
        </w:rPr>
        <w:t xml:space="preserve">The gateway architecture that emerged as the dominant consensus at the summit (used by Uber, Amazon, and others) will need a reference implementation for regulated industries. Capital One could lead the development of a financial-services-grade gateway specification that addresses PII handling, model risk management, and audit trail requirements.</w:t>
      </w:r>
    </w:p>
    <w:p>
      <w:pPr>
        <w:pStyle w:val="ListParagraph"/>
        <w:numPr>
          <w:ilvl w:val="0"/>
          <w:numId w:val="2"/>
        </w:numPr>
        <w:spacing w:after="100"/>
      </w:pPr>
      <w:r>
        <w:rPr>
          <w:b/>
          <w:bCs/>
          <w:sz w:val="22"/>
          <w:szCs w:val="22"/>
        </w:rPr>
        <w:t xml:space="preserve">Early Access to Conformance and Security Programs: </w:t>
      </w:r>
      <w:r>
        <w:rPr>
          <w:sz w:val="22"/>
          <w:szCs w:val="22"/>
        </w:rPr>
        <w:t xml:space="preserve">Gold members receive early access to conformance testing programs and ecosystem reports. This would give our platform teams a head start on evaluating MCP server quality, security posture, and specification compliance before adopting any external MCP tools.</w:t>
      </w:r>
    </w:p>
    <w:p>
      <w:pPr>
        <w:pStyle w:val="ListParagraph"/>
        <w:numPr>
          <w:ilvl w:val="0"/>
          <w:numId w:val="2"/>
        </w:numPr>
        <w:spacing w:after="100"/>
      </w:pPr>
      <w:r>
        <w:rPr>
          <w:b/>
          <w:bCs/>
          <w:sz w:val="22"/>
          <w:szCs w:val="22"/>
        </w:rPr>
        <w:t xml:space="preserve">Talent Attraction and Industry Positioning: </w:t>
      </w:r>
      <w:r>
        <w:rPr>
          <w:sz w:val="22"/>
          <w:szCs w:val="22"/>
        </w:rPr>
        <w:t xml:space="preserve">Active participation in AAIF positions Capital One as a forward-thinking technology company in the agentic AI space. This visibility supports talent acquisition, especially for the AI/ML and platform engineering roles critical to our strategy.</w:t>
      </w:r>
    </w:p>
    <w:p>
      <w:pPr>
        <w:pStyle w:val="ListParagraph"/>
        <w:numPr>
          <w:ilvl w:val="0"/>
          <w:numId w:val="2"/>
        </w:numPr>
        <w:spacing w:after="100"/>
      </w:pPr>
      <w:r>
        <w:rPr>
          <w:b/>
          <w:bCs/>
          <w:sz w:val="22"/>
          <w:szCs w:val="22"/>
        </w:rPr>
        <w:t xml:space="preserve">Project Contribution Opportunity: </w:t>
      </w:r>
      <w:r>
        <w:rPr>
          <w:sz w:val="22"/>
          <w:szCs w:val="22"/>
        </w:rPr>
        <w:t xml:space="preserve">The AAIF accepts project proposals through its GitHub process. Capital One could contribute internal tools, patterns, or reference implementations that solve financial services-specific challenges (such as a PII-aware MCP proxy or a compliance-first agent gateway), establishing thought leadership while benefiting the broader community.</w:t>
      </w:r>
    </w:p>
    <w:p>
      <w:pPr>
        <w:spacing w:after="100"/>
      </w:pPr>
    </w:p>
    <w:p>
      <w:pPr>
        <w:pStyle w:val="Heading2"/>
      </w:pPr>
      <w:r>
        <w:t xml:space="preserve">7.5 Enrollment Process</w:t>
      </w:r>
    </w:p>
    <w:p>
      <w:pPr>
        <w:spacing w:after="200"/>
      </w:pPr>
      <w:r>
        <w:t xml:space="preserve">Enrollment is managed through the Linux Foundation’s LFX platform at enrollment.lfx.linuxfoundation.org. A prerequisite Linux Foundation Silver Membership is required before joining AAIF. I recommend coordinating with our Open Source Program Office (OSPO) and Legal to initiate the enrollment process. The next major AAIF gathering is MCP Dev Summit Europe (September 17–18, 2026, Amsterdam), which would serve as an excellent venue for Capital One to debut its membership and engage with the community.</w:t>
      </w:r>
    </w:p>
    <w:p>
      <w:pPr>
        <w:pStyle w:val="Heading1"/>
      </w:pPr>
      <w:r>
        <w:t xml:space="preserve">8. Conclusion</w:t>
      </w:r>
    </w:p>
    <w:p>
      <w:pPr>
        <w:spacing w:after="200"/>
      </w:pPr>
      <w:r>
        <w:t xml:space="preserve">The MCP Dev Summit 2026 demonstrated that the Model Context Protocol has reached an inflection point. The protocol is no longer an interesting experiment—it is becoming the standard integration layer for how AI agents connect to enterprise data and tools. The breadth of production deployments, the depth of the security roadmap, and the institutional backing of the Linux Foundation all point to MCP as a durable standard that will shape agent architecture for years to come.</w:t>
      </w:r>
    </w:p>
    <w:p>
      <w:pPr>
        <w:spacing w:after="200"/>
      </w:pPr>
      <w:r>
        <w:t xml:space="preserve">For Capital One, the question is not whether to engage with MCP, but how quickly and strategically we can do so. The organizations that invest early in understanding the protocol’s capabilities and limitations—and that contribute to shaping its enterprise features—will have a meaningful competitive advantage as agentic AI moves from exploratory to operational across the financial services industry.</w:t>
      </w:r>
    </w:p>
    <w:p>
      <w:pPr>
        <w:spacing w:after="200"/>
      </w:pPr>
      <w:r>
        <w:t xml:space="preserve">I look forward to discussing these recommendations with our engineering leadership and charting a path forward for Capital One’s MCP adoption strategy.</w:t>
      </w:r>
    </w:p>
    <w:p>
      <w:pPr>
        <w:pBdr>
          <w:bottom w:val="single" w:color="2E75B6" w:sz="4" w:space="8"/>
        </w:pBdr>
        <w:spacing w:after="200"/>
      </w:pPr>
    </w:p>
    <w:p>
      <w:pPr>
        <w:pStyle w:val="Heading2"/>
      </w:pPr>
      <w:r>
        <w:t xml:space="preserve">References and Further Reading</w:t>
      </w:r>
    </w:p>
    <w:p>
      <w:pPr>
        <w:pStyle w:val="ListParagraph"/>
        <w:numPr>
          <w:ilvl w:val="0"/>
          <w:numId w:val="2"/>
        </w:numPr>
        <w:spacing w:after="60"/>
      </w:pPr>
      <w:r>
        <w:rPr>
          <w:color w:val="666666"/>
          <w:sz w:val="20"/>
          <w:szCs w:val="20"/>
        </w:rPr>
        <w:t xml:space="preserve">MCP Dev Summit North America 2026 – Full Schedule: mcpdevsummitna26.sched.com</w:t>
      </w:r>
    </w:p>
    <w:p>
      <w:pPr>
        <w:pStyle w:val="ListParagraph"/>
        <w:numPr>
          <w:ilvl w:val="0"/>
          <w:numId w:val="2"/>
        </w:numPr>
        <w:spacing w:after="60"/>
      </w:pPr>
      <w:r>
        <w:rPr>
          <w:color w:val="666666"/>
          <w:sz w:val="20"/>
          <w:szCs w:val="20"/>
        </w:rPr>
        <w:t xml:space="preserve">Agentic AI Foundation: agenticaifoundation.org</w:t>
      </w:r>
    </w:p>
    <w:p>
      <w:pPr>
        <w:pStyle w:val="ListParagraph"/>
        <w:numPr>
          <w:ilvl w:val="0"/>
          <w:numId w:val="2"/>
        </w:numPr>
        <w:spacing w:after="60"/>
      </w:pPr>
      <w:r>
        <w:rPr>
          <w:color w:val="666666"/>
          <w:sz w:val="20"/>
          <w:szCs w:val="20"/>
        </w:rPr>
        <w:t xml:space="preserve">Model Context Protocol Specification: spec.modelcontextprotocol.io</w:t>
      </w:r>
    </w:p>
    <w:p>
      <w:pPr>
        <w:pStyle w:val="ListParagraph"/>
        <w:numPr>
          <w:ilvl w:val="0"/>
          <w:numId w:val="2"/>
        </w:numPr>
        <w:spacing w:after="60"/>
      </w:pPr>
      <w:r>
        <w:rPr>
          <w:color w:val="666666"/>
          <w:sz w:val="20"/>
          <w:szCs w:val="20"/>
        </w:rPr>
        <w:t xml:space="preserve">Day 1 and Day 2 Livestream Recordings: AAIF YouTube Channel</w:t>
      </w:r>
    </w:p>
    <w:p>
      <w:pPr>
        <w:pStyle w:val="ListParagraph"/>
        <w:numPr>
          <w:ilvl w:val="0"/>
          <w:numId w:val="2"/>
        </w:numPr>
        <w:spacing w:after="60"/>
      </w:pPr>
      <w:r>
        <w:rPr>
          <w:color w:val="666666"/>
          <w:sz w:val="20"/>
          <w:szCs w:val="20"/>
        </w:rPr>
        <w:t xml:space="preserve">SEP-1442 (Stateless Transport) and SEP-1686 (Tasks Primitive): MCP GitHub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i/>
        <w:iCs/>
        <w:color w:val="666666"/>
        <w:sz w:val="16"/>
        <w:szCs w:val="16"/>
      </w:rPr>
      <w:t xml:space="preserve">INTERNAL – For Capital One Distribution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jc w:val="right"/>
    </w:pPr>
    <w:r>
      <w:rPr>
        <w:rFonts w:ascii="Arial" w:cs="Arial" w:eastAsia="Arial" w:hAnsi="Arial"/>
        <w:b/>
        <w:bCs/>
        <w:color w:val="2E75B6"/>
        <w:sz w:val="18"/>
        <w:szCs w:val="18"/>
      </w:rPr>
      <w:t xml:space="preserve">Capital One  |  Technology &amp;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2026-04-13T04:07:32.712Z</dcterms:created>
  <dcterms:modified xsi:type="dcterms:W3CDTF">2026-04-13T04:07:32.712Z</dcterms:modified>
</cp:coreProperties>
</file>

<file path=docProps/custom.xml><?xml version="1.0" encoding="utf-8"?>
<Properties xmlns="http://schemas.openxmlformats.org/officeDocument/2006/custom-properties" xmlns:vt="http://schemas.openxmlformats.org/officeDocument/2006/docPropsVTypes"/>
</file>