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ourier New" w:cs="Courier New" w:eastAsia="Courier New" w:hAnsi="Courier New"/>
          <w:color w:val="047857"/>
          <w:spacing w:val="60"/>
          <w:sz w:val="26"/>
          <w:szCs w:val="26"/>
        </w:rPr>
        <w:t xml:space="preserve">RISK PLATFORM</w:t>
      </w:r>
    </w:p>
    <w:p>
      <w:pPr>
        <w:spacing w:after="60" w:before="60"/>
      </w:pPr>
      <w:r>
        <w:rPr>
          <w:rFonts w:ascii="Calibri" w:cs="Calibri" w:eastAsia="Calibri" w:hAnsi="Calibri"/>
          <w:b/>
          <w:bCs/>
          <w:color w:val="111827"/>
          <w:sz w:val="60"/>
          <w:szCs w:val="60"/>
        </w:rPr>
        <w:t xml:space="preserve">Reference Architecture</w:t>
      </w:r>
    </w:p>
    <w:p>
      <w:pPr>
        <w:spacing w:after="300" w:before="0" w:line="276"/>
      </w:pPr>
      <w:r>
        <w:rPr>
          <w:rFonts w:ascii="Calibri" w:cs="Calibri" w:eastAsia="Calibri" w:hAnsi="Calibri"/>
          <w:color w:val="4B5563"/>
          <w:sz w:val="26"/>
          <w:szCs w:val="26"/>
        </w:rPr>
        <w:t xml:space="preserve">Configurable workflows · standardized data · event-driven, service-based design — built to pivot to AI.</w:t>
      </w:r>
    </w:p>
    <w:p>
      <w:pPr>
        <w:pBdr>
          <w:bottom w:val="single" w:color="D1D5DB" w:sz="4"/>
        </w:pBdr>
        <w:spacing w:after="120" w:before="40"/>
      </w:pPr>
    </w:p>
    <w:p>
      <w:pPr>
        <w:spacing w:after="120" w:before="0" w:line="276"/>
      </w:pPr>
      <w:r>
        <w:rPr>
          <w:rFonts w:ascii="Calibri" w:cs="Calibri" w:eastAsia="Calibri" w:hAnsi="Calibri"/>
          <w:b/>
          <w:bCs/>
          <w:color w:val="111827"/>
          <w:sz w:val="22"/>
          <w:szCs w:val="22"/>
        </w:rPr>
        <w:t xml:space="preserve">A practitioner's point of view</w:t>
      </w:r>
      <w:r>
        <w:rPr>
          <w:rFonts w:ascii="Calibri" w:cs="Calibri" w:eastAsia="Calibri" w:hAnsi="Calibri"/>
          <w:color w:val="4B5563"/>
          <w:sz w:val="22"/>
          <w:szCs w:val="22"/>
        </w:rPr>
        <w:t xml:space="preserve">  — patterns from the field, not one company's playbook.</w:t>
      </w:r>
    </w:p>
    <w:p>
      <w:pPr>
        <w:spacing w:after="300" w:before="0" w:line="276"/>
      </w:pPr>
      <w:r>
        <w:rPr>
          <w:rFonts w:ascii="Calibri" w:cs="Calibri" w:eastAsia="Calibri" w:hAnsi="Calibri"/>
          <w:color w:val="4B5563"/>
          <w:sz w:val="21"/>
          <w:szCs w:val="21"/>
        </w:rPr>
        <w:t xml:space="preserve">Companion to the fintech_devcon 2026 talk </w:t>
      </w:r>
      <w:r>
        <w:rPr>
          <w:rFonts w:ascii="Calibri" w:cs="Calibri" w:eastAsia="Calibri" w:hAnsi="Calibri"/>
          <w:i/>
          <w:iCs/>
          <w:color w:val="111827"/>
          <w:sz w:val="21"/>
          <w:szCs w:val="21"/>
        </w:rPr>
        <w:t xml:space="preserve">“What It Takes to Build a Production-Grade Risk Engine.”</w:t>
      </w:r>
    </w:p>
    <w:p>
      <w:pPr>
        <w:spacing w:after="20" w:before="0" w:line="276"/>
      </w:pPr>
      <w:r>
        <w:rPr>
          <w:rFonts w:ascii="Calibri" w:cs="Calibri" w:eastAsia="Calibri" w:hAnsi="Calibri"/>
          <w:b/>
          <w:bCs/>
          <w:color w:val="111827"/>
          <w:sz w:val="24"/>
          <w:szCs w:val="24"/>
        </w:rPr>
        <w:t xml:space="preserve">Lakshmi Narayana Rasalay</w:t>
      </w:r>
    </w:p>
    <w:p>
      <w:pPr>
        <w:spacing w:after="20" w:before="0" w:line="276"/>
      </w:pPr>
      <w:r>
        <w:rPr>
          <w:rFonts w:ascii="Calibri" w:cs="Calibri" w:eastAsia="Calibri" w:hAnsi="Calibri"/>
          <w:color w:val="4B5563"/>
          <w:sz w:val="21"/>
          <w:szCs w:val="21"/>
        </w:rPr>
        <w:t xml:space="preserve">Distinguished Engineer</w:t>
      </w:r>
    </w:p>
    <w:p>
      <w:pPr>
        <w:spacing w:after="0" w:before="0" w:line="276"/>
      </w:pPr>
      <w:r>
        <w:rPr>
          <w:rFonts w:ascii="Courier New" w:cs="Courier New" w:eastAsia="Courier New" w:hAnsi="Courier New"/>
          <w:color w:val="9CA3AF"/>
          <w:sz w:val="18"/>
          <w:szCs w:val="18"/>
        </w:rPr>
        <w:t xml:space="preserve">Views are my own · v1.0 · 2026</w:t>
      </w:r>
    </w:p>
    <w:p>
      <w:r>
        <w:br w:type="page"/>
      </w:r>
    </w:p>
    <w:p>
      <w:pPr>
        <w:pStyle w:val="Heading1"/>
        <w:spacing w:after="140" w:before="320"/>
      </w:pPr>
      <w:r>
        <w:rPr>
          <w:rFonts w:ascii="Calibri" w:cs="Calibri" w:eastAsia="Calibri" w:hAnsi="Calibri"/>
          <w:b/>
          <w:bCs/>
          <w:color w:val="111827"/>
          <w:sz w:val="30"/>
          <w:szCs w:val="30"/>
        </w:rPr>
        <w:t xml:space="preserve">Contents</w:t>
      </w:r>
    </w:p>
    <w:p>
      <w:pPr>
        <w:spacing w:after="70"/>
      </w:pPr>
      <w:r>
        <w:rPr>
          <w:rFonts w:ascii="Calibri" w:cs="Calibri" w:eastAsia="Calibri" w:hAnsi="Calibri"/>
          <w:color w:val="111827"/>
          <w:sz w:val="21"/>
          <w:szCs w:val="21"/>
        </w:rPr>
        <w:t xml:space="preserve">1.  Purpose &amp; audience</w:t>
      </w:r>
    </w:p>
    <w:p>
      <w:pPr>
        <w:spacing w:after="70"/>
      </w:pPr>
      <w:r>
        <w:rPr>
          <w:rFonts w:ascii="Calibri" w:cs="Calibri" w:eastAsia="Calibri" w:hAnsi="Calibri"/>
          <w:color w:val="111827"/>
          <w:sz w:val="21"/>
          <w:szCs w:val="21"/>
        </w:rPr>
        <w:t xml:space="preserve">2.  Context — the roadblock</w:t>
      </w:r>
    </w:p>
    <w:p>
      <w:pPr>
        <w:spacing w:after="70"/>
      </w:pPr>
      <w:r>
        <w:rPr>
          <w:rFonts w:ascii="Calibri" w:cs="Calibri" w:eastAsia="Calibri" w:hAnsi="Calibri"/>
          <w:color w:val="111827"/>
          <w:sz w:val="21"/>
          <w:szCs w:val="21"/>
        </w:rPr>
        <w:t xml:space="preserve">3.  Architecture principles</w:t>
      </w:r>
    </w:p>
    <w:p>
      <w:pPr>
        <w:spacing w:after="70"/>
      </w:pPr>
      <w:r>
        <w:rPr>
          <w:rFonts w:ascii="Calibri" w:cs="Calibri" w:eastAsia="Calibri" w:hAnsi="Calibri"/>
          <w:color w:val="111827"/>
          <w:sz w:val="21"/>
          <w:szCs w:val="21"/>
        </w:rPr>
        <w:t xml:space="preserve">4.  Target architecture (overview)</w:t>
      </w:r>
    </w:p>
    <w:p>
      <w:pPr>
        <w:spacing w:after="70"/>
      </w:pPr>
      <w:r>
        <w:rPr>
          <w:rFonts w:ascii="Calibri" w:cs="Calibri" w:eastAsia="Calibri" w:hAnsi="Calibri"/>
          <w:color w:val="111827"/>
          <w:sz w:val="21"/>
          <w:szCs w:val="21"/>
        </w:rPr>
        <w:t xml:space="preserve">5.  Pillar 1 — Configurable workflow management</w:t>
      </w:r>
    </w:p>
    <w:p>
      <w:pPr>
        <w:spacing w:after="70"/>
      </w:pPr>
      <w:r>
        <w:rPr>
          <w:rFonts w:ascii="Calibri" w:cs="Calibri" w:eastAsia="Calibri" w:hAnsi="Calibri"/>
          <w:color w:val="111827"/>
          <w:sz w:val="21"/>
          <w:szCs w:val="21"/>
        </w:rPr>
        <w:t xml:space="preserve">6.  Pillar 2 — Standardized data, early</w:t>
      </w:r>
    </w:p>
    <w:p>
      <w:pPr>
        <w:spacing w:after="70"/>
      </w:pPr>
      <w:r>
        <w:rPr>
          <w:rFonts w:ascii="Calibri" w:cs="Calibri" w:eastAsia="Calibri" w:hAnsi="Calibri"/>
          <w:color w:val="111827"/>
          <w:sz w:val="21"/>
          <w:szCs w:val="21"/>
        </w:rPr>
        <w:t xml:space="preserve">7.  Pillar 3 — Event-driven, service-based</w:t>
      </w:r>
    </w:p>
    <w:p>
      <w:pPr>
        <w:spacing w:after="70"/>
      </w:pPr>
      <w:r>
        <w:rPr>
          <w:rFonts w:ascii="Calibri" w:cs="Calibri" w:eastAsia="Calibri" w:hAnsi="Calibri"/>
          <w:color w:val="111827"/>
          <w:sz w:val="21"/>
          <w:szCs w:val="21"/>
        </w:rPr>
        <w:t xml:space="preserve">8.  AI extensibility model</w:t>
      </w:r>
    </w:p>
    <w:p>
      <w:pPr>
        <w:spacing w:after="70"/>
      </w:pPr>
      <w:r>
        <w:rPr>
          <w:rFonts w:ascii="Calibri" w:cs="Calibri" w:eastAsia="Calibri" w:hAnsi="Calibri"/>
          <w:color w:val="111827"/>
          <w:sz w:val="21"/>
          <w:szCs w:val="21"/>
        </w:rPr>
        <w:t xml:space="preserve">9.  Cross-cutting concerns</w:t>
      </w:r>
    </w:p>
    <w:p>
      <w:pPr>
        <w:spacing w:after="70"/>
      </w:pPr>
      <w:r>
        <w:rPr>
          <w:rFonts w:ascii="Calibri" w:cs="Calibri" w:eastAsia="Calibri" w:hAnsi="Calibri"/>
          <w:color w:val="111827"/>
          <w:sz w:val="21"/>
          <w:szCs w:val="21"/>
        </w:rPr>
        <w:t xml:space="preserve">10. Non-functional targets &amp; SLOs</w:t>
      </w:r>
    </w:p>
    <w:p>
      <w:pPr>
        <w:spacing w:after="70"/>
      </w:pPr>
      <w:r>
        <w:rPr>
          <w:rFonts w:ascii="Calibri" w:cs="Calibri" w:eastAsia="Calibri" w:hAnsi="Calibri"/>
          <w:color w:val="111827"/>
          <w:sz w:val="21"/>
          <w:szCs w:val="21"/>
        </w:rPr>
        <w:t xml:space="preserve">11. Rollout &amp; adoption</w:t>
      </w:r>
    </w:p>
    <w:p>
      <w:pPr>
        <w:spacing w:after="70"/>
      </w:pPr>
      <w:r>
        <w:rPr>
          <w:rFonts w:ascii="Calibri" w:cs="Calibri" w:eastAsia="Calibri" w:hAnsi="Calibri"/>
          <w:color w:val="111827"/>
          <w:sz w:val="21"/>
          <w:szCs w:val="21"/>
        </w:rPr>
        <w:t xml:space="preserve">12. Risks &amp; mitigations</w:t>
      </w:r>
    </w:p>
    <w:p>
      <w:pPr>
        <w:spacing w:after="70"/>
      </w:pPr>
      <w:r>
        <w:rPr>
          <w:rFonts w:ascii="Calibri" w:cs="Calibri" w:eastAsia="Calibri" w:hAnsi="Calibri"/>
          <w:color w:val="111827"/>
          <w:sz w:val="21"/>
          <w:szCs w:val="21"/>
        </w:rPr>
        <w:t xml:space="preserve">Appendix A — Event contract examples</w:t>
      </w:r>
    </w:p>
    <w:p>
      <w:pPr>
        <w:spacing w:after="70"/>
      </w:pPr>
      <w:r>
        <w:rPr>
          <w:rFonts w:ascii="Calibri" w:cs="Calibri" w:eastAsia="Calibri" w:hAnsi="Calibri"/>
          <w:color w:val="111827"/>
          <w:sz w:val="21"/>
          <w:szCs w:val="21"/>
        </w:rPr>
        <w:t xml:space="preserve">Appendix B — Architecture Decision Records</w:t>
      </w:r>
    </w:p>
    <w:p>
      <w:r>
        <w:br w:type="page"/>
      </w:r>
    </w:p>
    <w:p>
      <w:pPr>
        <w:pStyle w:val="Heading1"/>
        <w:spacing w:after="140" w:before="320"/>
      </w:pPr>
      <w:r>
        <w:rPr>
          <w:rFonts w:ascii="Calibri" w:cs="Calibri" w:eastAsia="Calibri" w:hAnsi="Calibri"/>
          <w:b/>
          <w:bCs/>
          <w:color w:val="111827"/>
          <w:sz w:val="30"/>
          <w:szCs w:val="30"/>
        </w:rPr>
        <w:t xml:space="preserve">1.  Purpose &amp; audience</w:t>
      </w:r>
    </w:p>
    <w:p>
      <w:pPr>
        <w:spacing w:after="120" w:before="0" w:line="276"/>
      </w:pPr>
      <w:r>
        <w:rPr>
          <w:rFonts w:ascii="Calibri" w:cs="Calibri" w:eastAsia="Calibri" w:hAnsi="Calibri"/>
          <w:color w:val="111827"/>
          <w:sz w:val="21"/>
          <w:szCs w:val="21"/>
        </w:rPr>
        <w:t xml:space="preserve">This document describes a target reference architecture for an in-house risk platform — the system that makes fraud, credit, AML, and transactional-risk decisions and manages the work around them. It is written as a point of view: a set of patterns and decisions that have held up in practice, offered so other builders can adapt them rather than rediscover them the hard way.</w:t>
      </w:r>
    </w:p>
    <w:p>
      <w:pPr>
        <w:spacing w:after="120" w:before="0" w:line="276"/>
      </w:pPr>
      <w:r>
        <w:rPr>
          <w:rFonts w:ascii="Calibri" w:cs="Calibri" w:eastAsia="Calibri" w:hAnsi="Calibri"/>
          <w:color w:val="111827"/>
          <w:sz w:val="21"/>
          <w:szCs w:val="21"/>
        </w:rPr>
        <w:t xml:space="preserve">It is deliberately technology-agnostic. Where a concrete choice helps (an event log, a feature store, a workflow engine), the capability is named, not the vendor. The intended reader is an engineer or architect who has outgrown an off-the-shelf risk stack and is deciding what to build, in what order, and how to keep the result extensible — including toward AI.</w:t>
      </w:r>
    </w:p>
    <w:p>
      <w:pPr>
        <w:spacing w:after="120" w:before="0" w:line="276"/>
      </w:pPr>
      <w:r>
        <w:rPr>
          <w:rFonts w:ascii="Calibri" w:cs="Calibri" w:eastAsia="Calibri" w:hAnsi="Calibri"/>
          <w:b/>
          <w:bCs/>
          <w:color w:val="111827"/>
          <w:sz w:val="21"/>
          <w:szCs w:val="21"/>
        </w:rPr>
        <w:t xml:space="preserve">Non-goals.  </w:t>
      </w:r>
      <w:r>
        <w:rPr>
          <w:rFonts w:ascii="Calibri" w:cs="Calibri" w:eastAsia="Calibri" w:hAnsi="Calibri"/>
          <w:color w:val="4B5563"/>
          <w:sz w:val="21"/>
          <w:szCs w:val="21"/>
        </w:rPr>
        <w:t xml:space="preserve">This is not a product selection guide, a model-development methodology, or a compliance manual. It focuses on the platform seams that determine how easily everything else — new sources, new decisions, new models, new AI — can be added later.</w:t>
      </w:r>
    </w:p>
    <w:p>
      <w:pPr>
        <w:pStyle w:val="Heading1"/>
        <w:spacing w:after="140" w:before="320"/>
      </w:pPr>
      <w:r>
        <w:rPr>
          <w:rFonts w:ascii="Calibri" w:cs="Calibri" w:eastAsia="Calibri" w:hAnsi="Calibri"/>
          <w:b/>
          <w:bCs/>
          <w:color w:val="111827"/>
          <w:sz w:val="30"/>
          <w:szCs w:val="30"/>
        </w:rPr>
        <w:t xml:space="preserve">2.  Context — the roadblock</w:t>
      </w:r>
    </w:p>
    <w:p>
      <w:pPr>
        <w:spacing w:after="120" w:before="0" w:line="276"/>
      </w:pPr>
      <w:r>
        <w:rPr>
          <w:rFonts w:ascii="Calibri" w:cs="Calibri" w:eastAsia="Calibri" w:hAnsi="Calibri"/>
          <w:color w:val="111827"/>
          <w:sz w:val="21"/>
          <w:szCs w:val="21"/>
        </w:rPr>
        <w:t xml:space="preserve">Most teams start on a vendor, and that is the correct first move: speed to market, no risk-data team required on day one, and the vendor absorbs regulatory updates. The trade flips with scale. Per-decision pricing compounds, generic models miss the fraud that is specific to your product, black-box scores become a compliance liability, and third-party round-trips cap the latency you can offer.</w:t>
      </w:r>
    </w:p>
    <w:p>
      <w:pPr>
        <w:spacing w:after="120" w:before="0" w:line="276"/>
      </w:pPr>
      <w:r>
        <w:rPr>
          <w:rFonts w:ascii="Calibri" w:cs="Calibri" w:eastAsia="Calibri" w:hAnsi="Calibri"/>
          <w:color w:val="111827"/>
          <w:sz w:val="21"/>
          <w:szCs w:val="21"/>
        </w:rPr>
        <w:t xml:space="preserve">The deeper roadblock is architectural, and it shows up twice. </w:t>
      </w:r>
      <w:r>
        <w:rPr>
          <w:rFonts w:ascii="Calibri" w:cs="Calibri" w:eastAsia="Calibri" w:hAnsi="Calibri"/>
          <w:color w:val="4B5563"/>
          <w:sz w:val="21"/>
          <w:szCs w:val="21"/>
        </w:rPr>
        <w:t xml:space="preserve">First when growth breaks the vendor, and again when the business asks to “add AI everywhere” and the platform has no clean data to train on and no safe seam to insert a model or an agent. Both are the same root cause: the system was optimized for today's decision instead of tomorrow's integrations.</w:t>
      </w:r>
    </w:p>
    <w:p>
      <w:pPr>
        <w:spacing w:after="120" w:before="0" w:line="276"/>
      </w:pPr>
      <w:r>
        <w:rPr>
          <w:rFonts w:ascii="Calibri" w:cs="Calibri" w:eastAsia="Calibri" w:hAnsi="Calibri"/>
          <w:b/>
          <w:bCs/>
          <w:color w:val="111827"/>
          <w:sz w:val="21"/>
          <w:szCs w:val="21"/>
        </w:rPr>
        <w:t xml:space="preserve">The reframe.  </w:t>
      </w:r>
      <w:r>
        <w:rPr>
          <w:rFonts w:ascii="Calibri" w:cs="Calibri" w:eastAsia="Calibri" w:hAnsi="Calibri"/>
          <w:color w:val="4B5563"/>
          <w:sz w:val="21"/>
          <w:szCs w:val="21"/>
        </w:rPr>
        <w:t xml:space="preserve">Don't build a risk engine; build a risk platform. A model is transient and a vendor is replaceable, but the platform — how data flows, how decisions are configured, and how services compose — is the asset that compounds and outlives every model you ship. The three pillars below are the investments that make that true.</w:t>
      </w:r>
    </w:p>
    <w:p>
      <w:pPr>
        <w:pStyle w:val="Heading1"/>
        <w:spacing w:after="140" w:before="320"/>
      </w:pPr>
      <w:r>
        <w:rPr>
          <w:rFonts w:ascii="Calibri" w:cs="Calibri" w:eastAsia="Calibri" w:hAnsi="Calibri"/>
          <w:b/>
          <w:bCs/>
          <w:color w:val="111827"/>
          <w:sz w:val="30"/>
          <w:szCs w:val="30"/>
        </w:rPr>
        <w:t xml:space="preserve">3.  Architecture principles</w:t>
      </w:r>
    </w:p>
    <w:p>
      <w:pPr>
        <w:spacing w:after="120" w:before="0" w:line="276"/>
      </w:pPr>
      <w:r>
        <w:rPr>
          <w:rFonts w:ascii="Calibri" w:cs="Calibri" w:eastAsia="Calibri" w:hAnsi="Calibri"/>
          <w:color w:val="111827"/>
          <w:sz w:val="21"/>
          <w:szCs w:val="21"/>
        </w:rPr>
        <w:t xml:space="preserve">Every decision in this document traces back to one of these principles. They are ordered by how often they settle an argument.</w:t>
      </w:r>
    </w:p>
    <w:p>
      <w:pPr>
        <w:spacing w:after="40"/>
      </w:pP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7480"/>
      </w:tblGrid>
      <w:tr>
        <w:trPr>
          <w:tblHeader/>
        </w:trPr>
        <w:tc>
          <w:tcPr>
            <w:tcW w:type="dxa" w:w="260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Principle</w:t>
            </w:r>
          </w:p>
        </w:tc>
        <w:tc>
          <w:tcPr>
            <w:tcW w:type="dxa" w:w="748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What it means in practice</w:t>
            </w:r>
          </w:p>
        </w:tc>
      </w:tr>
      <w:tr>
        <w:tc>
          <w:tcPr>
            <w:tcW w:type="dxa" w:w="26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Invest in seams, not features</w:t>
            </w:r>
          </w:p>
        </w:tc>
        <w:tc>
          <w:tcPr>
            <w:tcW w:type="dxa" w:w="74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Optimize for the ease of the next integration. A seam (a contract, an event, a config point) pays back every time something new attaches to it.</w:t>
            </w:r>
          </w:p>
        </w:tc>
      </w:tr>
      <w:tr>
        <w:tc>
          <w:tcPr>
            <w:tcW w:type="dxa" w:w="26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Config over code</w:t>
            </w:r>
          </w:p>
        </w:tc>
        <w:tc>
          <w:tcPr>
            <w:tcW w:type="dxa" w:w="74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Behavior that changes with business/risk policy lives in versioned configuration, not in a deploy. Code is the runtime; policy is data.</w:t>
            </w:r>
          </w:p>
        </w:tc>
      </w:tr>
      <w:tr>
        <w:tc>
          <w:tcPr>
            <w:tcW w:type="dxa" w:w="26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Standardize data early</w:t>
            </w:r>
          </w:p>
        </w:tc>
        <w:tc>
          <w:tcPr>
            <w:tcW w:type="dxa" w:w="74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Every source maps once to a canonical model. Consumers read one contract. This is the highest-compounding decision in the platform.</w:t>
            </w:r>
          </w:p>
        </w:tc>
      </w:tr>
      <w:tr>
        <w:tc>
          <w:tcPr>
            <w:tcW w:type="dxa" w:w="26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Events are the contract</w:t>
            </w:r>
          </w:p>
        </w:tc>
        <w:tc>
          <w:tcPr>
            <w:tcW w:type="dxa" w:w="74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Producers publish facts; consumers subscribe. Nothing calls anything directly in the core flow. Adding a consumer touches no producer.</w:t>
            </w:r>
          </w:p>
        </w:tc>
      </w:tr>
      <w:tr>
        <w:tc>
          <w:tcPr>
            <w:tcW w:type="dxa" w:w="26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Bounded, swappable services</w:t>
            </w:r>
          </w:p>
        </w:tc>
        <w:tc>
          <w:tcPr>
            <w:tcW w:type="dxa" w:w="74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Split along risk domains. A stable contract at the edge lets you swap a rules service for an ML or LLM service without the platform noticing.</w:t>
            </w:r>
          </w:p>
        </w:tc>
      </w:tr>
      <w:tr>
        <w:tc>
          <w:tcPr>
            <w:tcW w:type="dxa" w:w="26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Composable to the glass</w:t>
            </w:r>
          </w:p>
        </w:tc>
        <w:tc>
          <w:tcPr>
            <w:tcW w:type="dxa" w:w="74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The operations console is assembled from independently shipped UI modules, so new tools — including AI assist — drop in without a coordinated release.</w:t>
            </w:r>
          </w:p>
        </w:tc>
      </w:tr>
      <w:tr>
        <w:tc>
          <w:tcPr>
            <w:tcW w:type="dxa" w:w="26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Governed by default</w:t>
            </w:r>
          </w:p>
        </w:tc>
        <w:tc>
          <w:tcPr>
            <w:tcW w:type="dxa" w:w="74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Explainability, audit, and policy are cross-cutting platform services, enforced by the runtime, not re-implemented per team.</w:t>
            </w:r>
          </w:p>
        </w:tc>
      </w:tr>
      <w:tr>
        <w:tc>
          <w:tcPr>
            <w:tcW w:type="dxa" w:w="26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AI is an integration</w:t>
            </w:r>
          </w:p>
        </w:tc>
        <w:tc>
          <w:tcPr>
            <w:tcW w:type="dxa" w:w="74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AI capabilities attach at existing seams. If adding AI requires a rewrite, the seams were missing; fix the seams first.</w:t>
            </w:r>
          </w:p>
        </w:tc>
      </w:tr>
    </w:tbl>
    <w:p>
      <w:pPr>
        <w:pStyle w:val="Heading1"/>
        <w:spacing w:after="140" w:before="320"/>
      </w:pPr>
      <w:r>
        <w:rPr>
          <w:rFonts w:ascii="Calibri" w:cs="Calibri" w:eastAsia="Calibri" w:hAnsi="Calibri"/>
          <w:b/>
          <w:bCs/>
          <w:color w:val="111827"/>
          <w:sz w:val="30"/>
          <w:szCs w:val="30"/>
        </w:rPr>
        <w:t xml:space="preserve">4.  Target architecture (overview)</w:t>
      </w:r>
    </w:p>
    <w:p>
      <w:pPr>
        <w:spacing w:after="120" w:before="0" w:line="276"/>
      </w:pPr>
      <w:r>
        <w:rPr>
          <w:rFonts w:ascii="Calibri" w:cs="Calibri" w:eastAsia="Calibri" w:hAnsi="Calibri"/>
          <w:color w:val="111827"/>
          <w:sz w:val="21"/>
          <w:szCs w:val="21"/>
        </w:rPr>
        <w:t xml:space="preserve">The platform is five layers plus one cross-cutting concern. Transactions enter through ingestion, are normalized against the canonical model, and are published to the event bus. Bounded services subscribe to enrich, decide, manage cases, and act. The operations console is composed from micro-frontends over those services. Governance, explainability, and audit cut across every layer.</w:t>
      </w:r>
    </w:p>
    <w:p>
      <w:pPr>
        <w:spacing w:after="40"/>
      </w:pPr>
    </w:p>
    <w:p>
      <w:pPr>
        <w:spacing w:after="60"/>
        <w:jc w:val="center"/>
      </w:pPr>
      <w:r>
        <w:drawing>
          <wp:inline distT="0" distB="0" distL="0" distR="0">
            <wp:extent cx="60007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752850"/>
                    </a:xfrm>
                    <a:prstGeom prst="rect">
                      <a:avLst/>
                    </a:prstGeom>
                  </pic:spPr>
                </pic:pic>
              </a:graphicData>
            </a:graphic>
          </wp:inline>
        </w:drawing>
      </w:r>
    </w:p>
    <w:p>
      <w:pPr>
        <w:spacing w:after="160" w:before="0" w:line="276"/>
        <w:jc w:val="center"/>
      </w:pPr>
      <w:r>
        <w:rPr>
          <w:rFonts w:ascii="Calibri" w:cs="Calibri" w:eastAsia="Calibri" w:hAnsi="Calibri"/>
          <w:b/>
          <w:bCs/>
          <w:color w:val="4B5563"/>
          <w:sz w:val="18"/>
          <w:szCs w:val="18"/>
        </w:rPr>
        <w:t xml:space="preserve">Figure 1. </w:t>
      </w:r>
      <w:r>
        <w:rPr>
          <w:rFonts w:ascii="Calibri" w:cs="Calibri" w:eastAsia="Calibri" w:hAnsi="Calibri"/>
          <w:i/>
          <w:iCs/>
          <w:color w:val="4B5563"/>
          <w:sz w:val="18"/>
          <w:szCs w:val="18"/>
        </w:rPr>
        <w:t xml:space="preserve">Target reference architecture. Each box is a seam; note where AI attaches without a rewrite.</w:t>
      </w:r>
    </w:p>
    <w:p>
      <w:pPr>
        <w:spacing w:after="120" w:before="0" w:line="276"/>
      </w:pPr>
      <w:r>
        <w:rPr>
          <w:rFonts w:ascii="Calibri" w:cs="Calibri" w:eastAsia="Calibri" w:hAnsi="Calibri"/>
          <w:b/>
          <w:bCs/>
          <w:color w:val="111827"/>
          <w:sz w:val="21"/>
          <w:szCs w:val="21"/>
        </w:rPr>
        <w:t xml:space="preserve">Reading the diagram.  </w:t>
      </w:r>
      <w:r>
        <w:rPr>
          <w:rFonts w:ascii="Calibri" w:cs="Calibri" w:eastAsia="Calibri" w:hAnsi="Calibri"/>
          <w:color w:val="4B5563"/>
          <w:sz w:val="21"/>
          <w:szCs w:val="21"/>
        </w:rPr>
        <w:t xml:space="preserve">Flow is bottom-to-top-to-bus: data foundation feeds the bus via ingestion; services hang off the bus as subscribers and producers; the console reads from services. The dashed line is the ingest path — sources standardized once, then published as events.</w:t>
      </w:r>
    </w:p>
    <w:p>
      <w:r>
        <w:br w:type="page"/>
      </w:r>
    </w:p>
    <w:p>
      <w:pPr>
        <w:pStyle w:val="Heading1"/>
        <w:spacing w:after="140" w:before="320"/>
      </w:pPr>
      <w:r>
        <w:rPr>
          <w:rFonts w:ascii="Calibri" w:cs="Calibri" w:eastAsia="Calibri" w:hAnsi="Calibri"/>
          <w:b/>
          <w:bCs/>
          <w:color w:val="111827"/>
          <w:sz w:val="30"/>
          <w:szCs w:val="30"/>
        </w:rPr>
        <w:t xml:space="preserve">5.  Pillar 1 — Configurable workflow management</w:t>
      </w:r>
    </w:p>
    <w:p>
      <w:pPr>
        <w:pStyle w:val="Heading2"/>
        <w:spacing w:after="90" w:before="220"/>
      </w:pPr>
      <w:r>
        <w:rPr>
          <w:rFonts w:ascii="Calibri" w:cs="Calibri" w:eastAsia="Calibri" w:hAnsi="Calibri"/>
          <w:b/>
          <w:bCs/>
          <w:color w:val="B45309"/>
          <w:sz w:val="25"/>
          <w:szCs w:val="25"/>
        </w:rPr>
        <w:t xml:space="preserve">The problem</w:t>
      </w:r>
    </w:p>
    <w:p>
      <w:pPr>
        <w:spacing w:after="120" w:before="0" w:line="276"/>
      </w:pPr>
      <w:r>
        <w:rPr>
          <w:rFonts w:ascii="Calibri" w:cs="Calibri" w:eastAsia="Calibri" w:hAnsi="Calibri"/>
          <w:color w:val="111827"/>
          <w:sz w:val="21"/>
          <w:szCs w:val="21"/>
        </w:rPr>
        <w:t xml:space="preserve">When the decision flow lives in application code, every threshold change, every new review step, and every jurisdiction variant is a code change, a deploy, and a risk review. Risk policy moves at the speed of the engineering backlog — which is exactly backwards, because policy changes far more often than the runtime that executes it.</w:t>
      </w:r>
    </w:p>
    <w:p>
      <w:pPr>
        <w:pStyle w:val="Heading2"/>
        <w:spacing w:after="90" w:before="220"/>
      </w:pPr>
      <w:r>
        <w:rPr>
          <w:rFonts w:ascii="Calibri" w:cs="Calibri" w:eastAsia="Calibri" w:hAnsi="Calibri"/>
          <w:b/>
          <w:bCs/>
          <w:color w:val="B45309"/>
          <w:sz w:val="25"/>
          <w:szCs w:val="25"/>
        </w:rPr>
        <w:t xml:space="preserve">The approach — workflow-as-config</w:t>
      </w:r>
    </w:p>
    <w:p>
      <w:pPr>
        <w:spacing w:after="120" w:before="0" w:line="276"/>
      </w:pPr>
      <w:r>
        <w:rPr>
          <w:rFonts w:ascii="Calibri" w:cs="Calibri" w:eastAsia="Calibri" w:hAnsi="Calibri"/>
          <w:color w:val="111827"/>
          <w:sz w:val="21"/>
          <w:szCs w:val="21"/>
        </w:rPr>
        <w:t xml:space="preserve">Externalize the flow. States, transitions, SLAs, queue assignments, and guard conditions become declarative, versioned configuration that a risk analyst can change and that the platform executes. The engine owns routing, timeouts, retries, audit, and guard enforcement; the config owns the policy.</w:t>
      </w:r>
    </w:p>
    <w:p>
      <w:pPr>
        <w:spacing w:after="30"/>
      </w:pP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10080"/>
      </w:tblGrid>
      <w:tr>
        <w:tc>
          <w:tcPr>
            <w:tcW w:type="dxa" w:w="10080"/>
            <w:shd w:fill="F3F4F6" w:color="auto" w:val="clear"/>
            <w:tcMar>
              <w:top w:type="dxa" w:w="120"/>
              <w:left w:type="dxa" w:w="160"/>
              <w:bottom w:type="dxa" w:w="120"/>
              <w:right w:type="dxa" w:w="160"/>
            </w:tcMar>
          </w:tcPr>
          <w:p>
            <w:pPr>
              <w:spacing w:after="0" w:line="240"/>
            </w:pPr>
            <w:r>
              <w:rPr>
                <w:rFonts w:ascii="Courier New" w:cs="Courier New" w:eastAsia="Courier New" w:hAnsi="Courier New"/>
                <w:color w:val="111827"/>
                <w:sz w:val="17"/>
                <w:szCs w:val="17"/>
              </w:rPr>
              <w:t xml:space="preserve">workflow: onboarding_review</w:t>
            </w:r>
          </w:p>
          <w:p>
            <w:pPr>
              <w:spacing w:after="0" w:line="240"/>
            </w:pPr>
            <w:r>
              <w:rPr>
                <w:rFonts w:ascii="Courier New" w:cs="Courier New" w:eastAsia="Courier New" w:hAnsi="Courier New"/>
                <w:color w:val="111827"/>
                <w:sz w:val="17"/>
                <w:szCs w:val="17"/>
              </w:rPr>
              <w:t xml:space="preserve">states:</w:t>
            </w:r>
          </w:p>
          <w:p>
            <w:pPr>
              <w:spacing w:after="0" w:line="240"/>
            </w:pPr>
            <w:r>
              <w:rPr>
                <w:rFonts w:ascii="Courier New" w:cs="Courier New" w:eastAsia="Courier New" w:hAnsi="Courier New"/>
                <w:color w:val="111827"/>
                <w:sz w:val="17"/>
                <w:szCs w:val="17"/>
              </w:rPr>
              <w:t xml:space="preserve">  screen:   { on_pass: score,  on_fail: deny }</w:t>
            </w:r>
          </w:p>
          <w:p>
            <w:pPr>
              <w:spacing w:after="0" w:line="240"/>
            </w:pPr>
            <w:r>
              <w:rPr>
                <w:rFonts w:ascii="Courier New" w:cs="Courier New" w:eastAsia="Courier New" w:hAnsi="Courier New"/>
                <w:color w:val="111827"/>
                <w:sz w:val="17"/>
                <w:szCs w:val="17"/>
              </w:rPr>
              <w:t xml:space="preserve">  score:    { threshold: 0.80, on_high: review }</w:t>
            </w:r>
          </w:p>
          <w:p>
            <w:pPr>
              <w:spacing w:after="0" w:line="240"/>
            </w:pPr>
            <w:r>
              <w:rPr>
                <w:rFonts w:ascii="Courier New" w:cs="Courier New" w:eastAsia="Courier New" w:hAnsi="Courier New"/>
                <w:color w:val="111827"/>
                <w:sz w:val="17"/>
                <w:szCs w:val="17"/>
              </w:rPr>
              <w:t xml:space="preserve">  review:   { sla_hrs: 24,     queue: risk_ops }</w:t>
            </w:r>
          </w:p>
          <w:p>
            <w:pPr>
              <w:spacing w:after="0" w:line="240"/>
            </w:pPr>
            <w:r>
              <w:rPr>
                <w:rFonts w:ascii="Courier New" w:cs="Courier New" w:eastAsia="Courier New" w:hAnsi="Courier New"/>
                <w:color w:val="111827"/>
                <w:sz w:val="17"/>
                <w:szCs w:val="17"/>
              </w:rPr>
              <w:t xml:space="preserve">  decide:   { emit: onboarding.decided }</w:t>
            </w:r>
          </w:p>
          <w:p>
            <w:pPr>
              <w:spacing w:after="0" w:line="240"/>
            </w:pPr>
            <w:r>
              <w:rPr>
                <w:rFonts w:ascii="Courier New" w:cs="Courier New" w:eastAsia="Courier New" w:hAnsi="Courier New"/>
                <w:color w:val="111827"/>
                <w:sz w:val="17"/>
                <w:szCs w:val="17"/>
              </w:rPr>
              <w:t xml:space="preserve">guards:  [ jurisdiction, sanctions ]</w:t>
            </w:r>
          </w:p>
          <w:p>
            <w:pPr>
              <w:spacing w:after="0" w:line="240"/>
            </w:pPr>
            <w:r>
              <w:rPr>
                <w:rFonts w:ascii="Courier New" w:cs="Courier New" w:eastAsia="Courier New" w:hAnsi="Courier New"/>
                <w:color w:val="111827"/>
                <w:sz w:val="17"/>
                <w:szCs w:val="17"/>
              </w:rPr>
              <w:t xml:space="preserve">audit:   full        # every transition recorded</w:t>
            </w:r>
          </w:p>
        </w:tc>
      </w:tr>
    </w:tbl>
    <w:p>
      <w:pPr>
        <w:spacing w:after="60"/>
      </w:pPr>
    </w:p>
    <w:p>
      <w:pPr>
        <w:pStyle w:val="Heading2"/>
        <w:spacing w:after="90" w:before="220"/>
      </w:pPr>
      <w:r>
        <w:rPr>
          <w:rFonts w:ascii="Calibri" w:cs="Calibri" w:eastAsia="Calibri" w:hAnsi="Calibri"/>
          <w:b/>
          <w:bCs/>
          <w:color w:val="B45309"/>
          <w:sz w:val="25"/>
          <w:szCs w:val="25"/>
        </w:rPr>
        <w:t xml:space="preserve">Why it pays off</w:t>
      </w:r>
    </w:p>
    <w:p>
      <w:pPr>
        <w:pStyle w:val="ListParagraph"/>
        <w:numPr>
          <w:ilvl w:val="0"/>
          <w:numId w:val="2"/>
        </w:numPr>
        <w:spacing w:after="60" w:line="264"/>
      </w:pPr>
      <w:r>
        <w:rPr>
          <w:rFonts w:ascii="Calibri" w:cs="Calibri" w:eastAsia="Calibri" w:hAnsi="Calibri"/>
          <w:color w:val="111827"/>
          <w:sz w:val="21"/>
          <w:szCs w:val="21"/>
        </w:rPr>
        <w:t xml:space="preserve">Ship a policy change in minutes, not a sprint — no deploy on the critical path.</w:t>
      </w:r>
    </w:p>
    <w:p>
      <w:pPr>
        <w:pStyle w:val="ListParagraph"/>
        <w:numPr>
          <w:ilvl w:val="0"/>
          <w:numId w:val="2"/>
        </w:numPr>
        <w:spacing w:after="60" w:line="264"/>
      </w:pPr>
      <w:r>
        <w:rPr>
          <w:rFonts w:ascii="Calibri" w:cs="Calibri" w:eastAsia="Calibri" w:hAnsi="Calibri"/>
          <w:color w:val="111827"/>
          <w:sz w:val="21"/>
          <w:szCs w:val="21"/>
        </w:rPr>
        <w:t xml:space="preserve">Champion/challenger on whole flows, not just model scores.</w:t>
      </w:r>
    </w:p>
    <w:p>
      <w:pPr>
        <w:pStyle w:val="ListParagraph"/>
        <w:numPr>
          <w:ilvl w:val="0"/>
          <w:numId w:val="2"/>
        </w:numPr>
        <w:spacing w:after="60" w:line="264"/>
      </w:pPr>
      <w:r>
        <w:rPr>
          <w:rFonts w:ascii="Calibri" w:cs="Calibri" w:eastAsia="Calibri" w:hAnsi="Calibri"/>
          <w:color w:val="111827"/>
          <w:sz w:val="21"/>
          <w:szCs w:val="21"/>
        </w:rPr>
        <w:t xml:space="preserve">Per-jurisdiction variants from one engine, selected by guard, not by fork.</w:t>
      </w:r>
    </w:p>
    <w:p>
      <w:pPr>
        <w:pStyle w:val="ListParagraph"/>
        <w:numPr>
          <w:ilvl w:val="0"/>
          <w:numId w:val="2"/>
        </w:numPr>
        <w:spacing w:after="60" w:line="264"/>
      </w:pPr>
      <w:r>
        <w:rPr>
          <w:rFonts w:ascii="Calibri" w:cs="Calibri" w:eastAsia="Calibri" w:hAnsi="Calibri"/>
          <w:color w:val="111827"/>
          <w:sz w:val="21"/>
          <w:szCs w:val="21"/>
        </w:rPr>
        <w:t xml:space="preserve">Every change is versioned, diffable, and auditable by construction.</w:t>
      </w:r>
    </w:p>
    <w:p>
      <w:pPr>
        <w:spacing w:after="120" w:before="0" w:line="276"/>
      </w:pPr>
      <w:r>
        <w:rPr>
          <w:rFonts w:ascii="Calibri" w:cs="Calibri" w:eastAsia="Calibri" w:hAnsi="Calibri"/>
          <w:b/>
          <w:bCs/>
          <w:color w:val="111827"/>
          <w:sz w:val="21"/>
          <w:szCs w:val="21"/>
        </w:rPr>
        <w:t xml:space="preserve">→ AI enablement.  </w:t>
      </w:r>
      <w:r>
        <w:rPr>
          <w:rFonts w:ascii="Calibri" w:cs="Calibri" w:eastAsia="Calibri" w:hAnsi="Calibri"/>
          <w:color w:val="4B5563"/>
          <w:sz w:val="21"/>
          <w:szCs w:val="21"/>
        </w:rPr>
        <w:t xml:space="preserve">A workflow engine is really a human-and-agent orchestrator. An agent triage step and a human review step are just more states; the engine already knows how to route to them, guard them, time them out, and audit them. This is where human-in-the-loop and agent steps attach — with no new control plane.</w:t>
      </w:r>
    </w:p>
    <w:p>
      <w:r>
        <w:br w:type="page"/>
      </w:r>
    </w:p>
    <w:p>
      <w:pPr>
        <w:pStyle w:val="Heading1"/>
        <w:spacing w:after="140" w:before="320"/>
      </w:pPr>
      <w:r>
        <w:rPr>
          <w:rFonts w:ascii="Calibri" w:cs="Calibri" w:eastAsia="Calibri" w:hAnsi="Calibri"/>
          <w:b/>
          <w:bCs/>
          <w:color w:val="111827"/>
          <w:sz w:val="30"/>
          <w:szCs w:val="30"/>
        </w:rPr>
        <w:t xml:space="preserve">6.  Pillar 2 — Standardized data, early</w:t>
      </w:r>
    </w:p>
    <w:p>
      <w:pPr>
        <w:pStyle w:val="Heading2"/>
        <w:spacing w:after="90" w:before="220"/>
      </w:pPr>
      <w:r>
        <w:rPr>
          <w:rFonts w:ascii="Calibri" w:cs="Calibri" w:eastAsia="Calibri" w:hAnsi="Calibri"/>
          <w:b/>
          <w:bCs/>
          <w:color w:val="B45309"/>
          <w:sz w:val="25"/>
          <w:szCs w:val="25"/>
        </w:rPr>
        <w:t xml:space="preserve">The problem — N × M</w:t>
      </w:r>
    </w:p>
    <w:p>
      <w:pPr>
        <w:spacing w:after="120" w:before="0" w:line="276"/>
      </w:pPr>
      <w:r>
        <w:rPr>
          <w:rFonts w:ascii="Calibri" w:cs="Calibri" w:eastAsia="Calibri" w:hAnsi="Calibri"/>
          <w:color w:val="111827"/>
          <w:sz w:val="21"/>
          <w:szCs w:val="21"/>
        </w:rPr>
        <w:t xml:space="preserve">Ledger, KYC, device, bureau, sanctions, transaction streams — each has its own schema, cadence, and semantics. Wire each consumer directly to each source and the integration count is N × M, and it grows with every addition. This quiet combinatorial mess is where most in-house risk platforms drown.</w:t>
      </w:r>
    </w:p>
    <w:p>
      <w:pPr>
        <w:pStyle w:val="Heading2"/>
        <w:spacing w:after="90" w:before="220"/>
      </w:pPr>
      <w:r>
        <w:rPr>
          <w:rFonts w:ascii="Calibri" w:cs="Calibri" w:eastAsia="Calibri" w:hAnsi="Calibri"/>
          <w:b/>
          <w:bCs/>
          <w:color w:val="B45309"/>
          <w:sz w:val="25"/>
          <w:szCs w:val="25"/>
        </w:rPr>
        <w:t xml:space="preserve">The fix — a canonical model</w:t>
      </w:r>
    </w:p>
    <w:p>
      <w:pPr>
        <w:spacing w:after="120" w:before="0" w:line="276"/>
      </w:pPr>
      <w:r>
        <w:rPr>
          <w:rFonts w:ascii="Calibri" w:cs="Calibri" w:eastAsia="Calibri" w:hAnsi="Calibri"/>
          <w:color w:val="111827"/>
          <w:sz w:val="21"/>
          <w:szCs w:val="21"/>
        </w:rPr>
        <w:t xml:space="preserve">Standardize once. Each source maps a single time to a canonical data model; each consumer reads that one contract. N × M collapses to N + M. A schema registry versions the contracts; a feature store serves them online (for sub-second decisions) and offline (for training), with point-in-time correctness so training never sees data the decision could not have seen.</w:t>
      </w:r>
    </w:p>
    <w:p>
      <w:pPr>
        <w:spacing w:after="30"/>
      </w:pP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7680"/>
      </w:tblGrid>
      <w:tr>
        <w:trPr>
          <w:tblHeader/>
        </w:trPr>
        <w:tc>
          <w:tcPr>
            <w:tcW w:type="dxa" w:w="240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Building block</w:t>
            </w:r>
          </w:p>
        </w:tc>
        <w:tc>
          <w:tcPr>
            <w:tcW w:type="dxa" w:w="768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Responsibility</w:t>
            </w:r>
          </w:p>
        </w:tc>
      </w:tr>
      <w:tr>
        <w:tc>
          <w:tcPr>
            <w:tcW w:type="dxa" w:w="24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Canonical model</w:t>
            </w:r>
          </w:p>
        </w:tc>
        <w:tc>
          <w:tcPr>
            <w:tcW w:type="dxa" w:w="76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One documented schema per domain entity (party, account, transaction, device, case). The single source of meaning.</w:t>
            </w:r>
          </w:p>
        </w:tc>
      </w:tr>
      <w:tr>
        <w:tc>
          <w:tcPr>
            <w:tcW w:type="dxa" w:w="24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Schema registry</w:t>
            </w:r>
          </w:p>
        </w:tc>
        <w:tc>
          <w:tcPr>
            <w:tcW w:type="dxa" w:w="76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Versioned, backward-compatible contracts. Producers and consumers evolve independently against it.</w:t>
            </w:r>
          </w:p>
        </w:tc>
      </w:tr>
      <w:tr>
        <w:tc>
          <w:tcPr>
            <w:tcW w:type="dxa" w:w="24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Feature store (online)</w:t>
            </w:r>
          </w:p>
        </w:tc>
        <w:tc>
          <w:tcPr>
            <w:tcW w:type="dxa" w:w="76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Low-latency features for inline decisions, served from cache/key-value at decision time.</w:t>
            </w:r>
          </w:p>
        </w:tc>
      </w:tr>
      <w:tr>
        <w:tc>
          <w:tcPr>
            <w:tcW w:type="dxa" w:w="24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Feature store (offline)</w:t>
            </w:r>
          </w:p>
        </w:tc>
        <w:tc>
          <w:tcPr>
            <w:tcW w:type="dxa" w:w="76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Historical, point-in-time-correct features for training and back-testing. Same definitions as online.</w:t>
            </w:r>
          </w:p>
        </w:tc>
      </w:tr>
      <w:tr>
        <w:tc>
          <w:tcPr>
            <w:tcW w:type="dxa" w:w="24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Data contracts</w:t>
            </w:r>
          </w:p>
        </w:tc>
        <w:tc>
          <w:tcPr>
            <w:tcW w:type="dxa" w:w="76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Explicit ownership, SLAs, and quality expectations per feed. Validation and lineage enforced in one place.</w:t>
            </w:r>
          </w:p>
        </w:tc>
      </w:tr>
    </w:tbl>
    <w:p>
      <w:pPr>
        <w:spacing w:after="60"/>
      </w:pPr>
    </w:p>
    <w:p>
      <w:pPr>
        <w:pStyle w:val="Heading2"/>
        <w:spacing w:after="90" w:before="220"/>
      </w:pPr>
      <w:r>
        <w:rPr>
          <w:rFonts w:ascii="Calibri" w:cs="Calibri" w:eastAsia="Calibri" w:hAnsi="Calibri"/>
          <w:b/>
          <w:bCs/>
          <w:color w:val="047857"/>
          <w:sz w:val="25"/>
          <w:szCs w:val="25"/>
        </w:rPr>
        <w:t xml:space="preserve">The long game</w:t>
      </w:r>
    </w:p>
    <w:p>
      <w:pPr>
        <w:spacing w:after="120" w:before="0" w:line="276"/>
      </w:pPr>
      <w:r>
        <w:rPr>
          <w:rFonts w:ascii="Calibri" w:cs="Calibri" w:eastAsia="Calibri" w:hAnsi="Calibri"/>
          <w:color w:val="111827"/>
          <w:sz w:val="21"/>
          <w:szCs w:val="21"/>
        </w:rPr>
        <w:t xml:space="preserve">Standardizing early is the highest-compounding decision in the platform. A new source integrates in days and every existing consumer gets it for free. A new consumer — a report, a model, an agent — reads one clean contract instead of six raw feeds. Data quality is solved once, not per team.</w:t>
      </w:r>
    </w:p>
    <w:p>
      <w:pPr>
        <w:spacing w:after="120" w:before="0" w:line="276"/>
      </w:pPr>
      <w:r>
        <w:rPr>
          <w:rFonts w:ascii="Calibri" w:cs="Calibri" w:eastAsia="Calibri" w:hAnsi="Calibri"/>
          <w:b/>
          <w:bCs/>
          <w:color w:val="111827"/>
          <w:sz w:val="21"/>
          <w:szCs w:val="21"/>
        </w:rPr>
        <w:t xml:space="preserve">→ AI enablement.  </w:t>
      </w:r>
      <w:r>
        <w:rPr>
          <w:rFonts w:ascii="Calibri" w:cs="Calibri" w:eastAsia="Calibri" w:hAnsi="Calibri"/>
          <w:color w:val="4B5563"/>
          <w:sz w:val="21"/>
          <w:szCs w:val="21"/>
        </w:rPr>
        <w:t xml:space="preserve">No canonical data, no AI. Your standardized substrate is simultaneously the training set and the real-time feature source — the single hardest AI prerequisite, already satisfied. Teams that skip this pay for it later as a data project wearing an AI project's name.</w:t>
      </w:r>
    </w:p>
    <w:p>
      <w:r>
        <w:br w:type="page"/>
      </w:r>
    </w:p>
    <w:p>
      <w:pPr>
        <w:pStyle w:val="Heading1"/>
        <w:spacing w:after="140" w:before="320"/>
      </w:pPr>
      <w:r>
        <w:rPr>
          <w:rFonts w:ascii="Calibri" w:cs="Calibri" w:eastAsia="Calibri" w:hAnsi="Calibri"/>
          <w:b/>
          <w:bCs/>
          <w:color w:val="111827"/>
          <w:sz w:val="30"/>
          <w:szCs w:val="30"/>
        </w:rPr>
        <w:t xml:space="preserve">7.  Pillar 3 — Event-driven, service-based</w:t>
      </w:r>
    </w:p>
    <w:p>
      <w:pPr>
        <w:pStyle w:val="Heading2"/>
        <w:spacing w:after="90" w:before="220"/>
      </w:pPr>
      <w:r>
        <w:rPr>
          <w:rFonts w:ascii="Calibri" w:cs="Calibri" w:eastAsia="Calibri" w:hAnsi="Calibri"/>
          <w:b/>
          <w:bCs/>
          <w:color w:val="6D28D9"/>
          <w:sz w:val="25"/>
          <w:szCs w:val="25"/>
        </w:rPr>
        <w:t xml:space="preserve">Event-driven backbone</w:t>
      </w:r>
    </w:p>
    <w:p>
      <w:pPr>
        <w:spacing w:after="120" w:before="0" w:line="276"/>
      </w:pPr>
      <w:r>
        <w:rPr>
          <w:rFonts w:ascii="Calibri" w:cs="Calibri" w:eastAsia="Calibri" w:hAnsi="Calibri"/>
          <w:color w:val="111827"/>
          <w:sz w:val="21"/>
          <w:szCs w:val="21"/>
        </w:rPr>
        <w:t xml:space="preserve">Events are the integration contract. Producers publish facts to the bus; consumers subscribe. Nothing in the core flow calls anything directly. Need a new capability? Add a subscriber — the producer never changes. The event log doubles as an audit trail and a rebuild button: reprocess history to backfill a new consumer or recover state.</w:t>
      </w:r>
    </w:p>
    <w:p>
      <w:pPr>
        <w:pStyle w:val="Heading3"/>
        <w:spacing w:after="70" w:before="150"/>
      </w:pPr>
      <w:r>
        <w:rPr>
          <w:rFonts w:ascii="Calibri" w:cs="Calibri" w:eastAsia="Calibri" w:hAnsi="Calibri"/>
          <w:b/>
          <w:bCs/>
          <w:color w:val="6D28D9"/>
          <w:sz w:val="22"/>
          <w:szCs w:val="22"/>
        </w:rPr>
        <w:t xml:space="preserve">Event catalog (illustrative)</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2100"/>
        <w:gridCol w:w="3180"/>
        <w:gridCol w:w="2200"/>
      </w:tblGrid>
      <w:tr>
        <w:trPr>
          <w:tblHeader/>
        </w:trPr>
        <w:tc>
          <w:tcPr>
            <w:tcW w:type="dxa" w:w="260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Event</w:t>
            </w:r>
          </w:p>
        </w:tc>
        <w:tc>
          <w:tcPr>
            <w:tcW w:type="dxa" w:w="210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Emitted by</w:t>
            </w:r>
          </w:p>
        </w:tc>
        <w:tc>
          <w:tcPr>
            <w:tcW w:type="dxa" w:w="318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Key payload</w:t>
            </w:r>
          </w:p>
        </w:tc>
        <w:tc>
          <w:tcPr>
            <w:tcW w:type="dxa" w:w="220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Consumers</w:t>
            </w:r>
          </w:p>
        </w:tc>
      </w:tr>
      <w:tr>
        <w:tc>
          <w:tcPr>
            <w:tcW w:type="dxa" w:w="2600"/>
            <w:shd w:fill="FFFFFF"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txn.received</w:t>
            </w:r>
          </w:p>
        </w:tc>
        <w:tc>
          <w:tcPr>
            <w:tcW w:type="dxa" w:w="21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ingestion</w:t>
            </w:r>
          </w:p>
        </w:tc>
        <w:tc>
          <w:tcPr>
            <w:tcW w:type="dxa" w:w="31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party_id, amount, channel, ts</w:t>
            </w:r>
          </w:p>
        </w:tc>
        <w:tc>
          <w:tcPr>
            <w:tcW w:type="dxa" w:w="22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enrichment, decisioning</w:t>
            </w:r>
          </w:p>
        </w:tc>
      </w:tr>
      <w:tr>
        <w:tc>
          <w:tcPr>
            <w:tcW w:type="dxa" w:w="2600"/>
            <w:shd w:fill="F9FAFB"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features.ready</w:t>
            </w:r>
          </w:p>
        </w:tc>
        <w:tc>
          <w:tcPr>
            <w:tcW w:type="dxa" w:w="21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enrichment</w:t>
            </w:r>
          </w:p>
        </w:tc>
        <w:tc>
          <w:tcPr>
            <w:tcW w:type="dxa" w:w="31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entity_id, feature_vector_ref</w:t>
            </w:r>
          </w:p>
        </w:tc>
        <w:tc>
          <w:tcPr>
            <w:tcW w:type="dxa" w:w="22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decisioning</w:t>
            </w:r>
          </w:p>
        </w:tc>
      </w:tr>
      <w:tr>
        <w:tc>
          <w:tcPr>
            <w:tcW w:type="dxa" w:w="2600"/>
            <w:shd w:fill="FFFFFF"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risk.scored</w:t>
            </w:r>
          </w:p>
        </w:tc>
        <w:tc>
          <w:tcPr>
            <w:tcW w:type="dxa" w:w="21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decisioning</w:t>
            </w:r>
          </w:p>
        </w:tc>
        <w:tc>
          <w:tcPr>
            <w:tcW w:type="dxa" w:w="31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txn_id, score, reasons[]</w:t>
            </w:r>
          </w:p>
        </w:tc>
        <w:tc>
          <w:tcPr>
            <w:tcW w:type="dxa" w:w="22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orchestration, analytics</w:t>
            </w:r>
          </w:p>
        </w:tc>
      </w:tr>
      <w:tr>
        <w:tc>
          <w:tcPr>
            <w:tcW w:type="dxa" w:w="2600"/>
            <w:shd w:fill="F9FAFB"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case.opened</w:t>
            </w:r>
          </w:p>
        </w:tc>
        <w:tc>
          <w:tcPr>
            <w:tcW w:type="dxa" w:w="21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case-mgmt</w:t>
            </w:r>
          </w:p>
        </w:tc>
        <w:tc>
          <w:tcPr>
            <w:tcW w:type="dxa" w:w="31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case_id, priority, assignee</w:t>
            </w:r>
          </w:p>
        </w:tc>
        <w:tc>
          <w:tcPr>
            <w:tcW w:type="dxa" w:w="22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notify, console</w:t>
            </w:r>
          </w:p>
        </w:tc>
      </w:tr>
      <w:tr>
        <w:tc>
          <w:tcPr>
            <w:tcW w:type="dxa" w:w="2600"/>
            <w:shd w:fill="FFFFFF"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onboarding.decided</w:t>
            </w:r>
          </w:p>
        </w:tc>
        <w:tc>
          <w:tcPr>
            <w:tcW w:type="dxa" w:w="21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orchestration</w:t>
            </w:r>
          </w:p>
        </w:tc>
        <w:tc>
          <w:tcPr>
            <w:tcW w:type="dxa" w:w="31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party_id, decision, reasons[]</w:t>
            </w:r>
          </w:p>
        </w:tc>
        <w:tc>
          <w:tcPr>
            <w:tcW w:type="dxa" w:w="22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notify, ledger, analytics</w:t>
            </w:r>
          </w:p>
        </w:tc>
      </w:tr>
      <w:tr>
        <w:tc>
          <w:tcPr>
            <w:tcW w:type="dxa" w:w="2600"/>
            <w:shd w:fill="F9FAFB"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label.recorded</w:t>
            </w:r>
          </w:p>
        </w:tc>
        <w:tc>
          <w:tcPr>
            <w:tcW w:type="dxa" w:w="21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case-mgmt</w:t>
            </w:r>
          </w:p>
        </w:tc>
        <w:tc>
          <w:tcPr>
            <w:tcW w:type="dxa" w:w="31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entity_id, outcome, ts</w:t>
            </w:r>
          </w:p>
        </w:tc>
        <w:tc>
          <w:tcPr>
            <w:tcW w:type="dxa" w:w="22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feature store, training</w:t>
            </w:r>
          </w:p>
        </w:tc>
      </w:tr>
    </w:tbl>
    <w:p>
      <w:pPr>
        <w:spacing w:after="60"/>
      </w:pPr>
    </w:p>
    <w:p>
      <w:pPr>
        <w:pStyle w:val="Heading2"/>
        <w:spacing w:after="90" w:before="220"/>
      </w:pPr>
      <w:r>
        <w:rPr>
          <w:rFonts w:ascii="Calibri" w:cs="Calibri" w:eastAsia="Calibri" w:hAnsi="Calibri"/>
          <w:b/>
          <w:bCs/>
          <w:color w:val="6D28D9"/>
          <w:sz w:val="25"/>
          <w:szCs w:val="25"/>
        </w:rPr>
        <w:t xml:space="preserve">Microservices — bounded, swappable</w:t>
      </w:r>
    </w:p>
    <w:p>
      <w:pPr>
        <w:spacing w:after="120" w:before="0" w:line="276"/>
      </w:pPr>
      <w:r>
        <w:rPr>
          <w:rFonts w:ascii="Calibri" w:cs="Calibri" w:eastAsia="Calibri" w:hAnsi="Calibri"/>
          <w:color w:val="111827"/>
          <w:sz w:val="21"/>
          <w:szCs w:val="21"/>
        </w:rPr>
        <w:t xml:space="preserve">Split the platform along risk domains. Each service owns its data and is independently deployable and scalable. A stable contract at the edge is what makes implementations swappable — the same decisioning contract can be served by rules today, an ML model tomorrow, and an LLM-assisted service after that, with nothing else changing.</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4000"/>
        <w:gridCol w:w="2200"/>
        <w:gridCol w:w="1680"/>
      </w:tblGrid>
      <w:tr>
        <w:trPr>
          <w:tblHeader/>
        </w:trPr>
        <w:tc>
          <w:tcPr>
            <w:tcW w:type="dxa" w:w="220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Service</w:t>
            </w:r>
          </w:p>
        </w:tc>
        <w:tc>
          <w:tcPr>
            <w:tcW w:type="dxa" w:w="400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Responsibility</w:t>
            </w:r>
          </w:p>
        </w:tc>
        <w:tc>
          <w:tcPr>
            <w:tcW w:type="dxa" w:w="220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Owns</w:t>
            </w:r>
          </w:p>
        </w:tc>
        <w:tc>
          <w:tcPr>
            <w:tcW w:type="dxa" w:w="168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Contract</w:t>
            </w:r>
          </w:p>
        </w:tc>
      </w:tr>
      <w:tr>
        <w:tc>
          <w:tcPr>
            <w:tcW w:type="dxa" w:w="2200"/>
            <w:shd w:fill="FFFFFF"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ingestion</w:t>
            </w:r>
          </w:p>
        </w:tc>
        <w:tc>
          <w:tcPr>
            <w:tcW w:type="dxa" w:w="40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Normalize disparate sources to the canonical model; publish.</w:t>
            </w:r>
          </w:p>
        </w:tc>
        <w:tc>
          <w:tcPr>
            <w:tcW w:type="dxa" w:w="22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raw→canonical map</w:t>
            </w:r>
          </w:p>
        </w:tc>
        <w:tc>
          <w:tcPr>
            <w:tcW w:type="dxa" w:w="16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events</w:t>
            </w:r>
          </w:p>
        </w:tc>
      </w:tr>
      <w:tr>
        <w:tc>
          <w:tcPr>
            <w:tcW w:type="dxa" w:w="2200"/>
            <w:shd w:fill="F9FAFB"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enrichment</w:t>
            </w:r>
          </w:p>
        </w:tc>
        <w:tc>
          <w:tcPr>
            <w:tcW w:type="dxa" w:w="40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Compute/serve features on demand; online + offline parity.</w:t>
            </w:r>
          </w:p>
        </w:tc>
        <w:tc>
          <w:tcPr>
            <w:tcW w:type="dxa" w:w="22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feature defs</w:t>
            </w:r>
          </w:p>
        </w:tc>
        <w:tc>
          <w:tcPr>
            <w:tcW w:type="dxa" w:w="16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sync + events</w:t>
            </w:r>
          </w:p>
        </w:tc>
      </w:tr>
      <w:tr>
        <w:tc>
          <w:tcPr>
            <w:tcW w:type="dxa" w:w="2200"/>
            <w:shd w:fill="FFFFFF"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decisioning</w:t>
            </w:r>
          </w:p>
        </w:tc>
        <w:tc>
          <w:tcPr>
            <w:tcW w:type="dxa" w:w="40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Combine rules + model score + policy into a decision.</w:t>
            </w:r>
          </w:p>
        </w:tc>
        <w:tc>
          <w:tcPr>
            <w:tcW w:type="dxa" w:w="22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policies, models</w:t>
            </w:r>
          </w:p>
        </w:tc>
        <w:tc>
          <w:tcPr>
            <w:tcW w:type="dxa" w:w="16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sync API</w:t>
            </w:r>
          </w:p>
        </w:tc>
      </w:tr>
      <w:tr>
        <w:tc>
          <w:tcPr>
            <w:tcW w:type="dxa" w:w="2200"/>
            <w:shd w:fill="F9FAFB"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case-mgmt</w:t>
            </w:r>
          </w:p>
        </w:tc>
        <w:tc>
          <w:tcPr>
            <w:tcW w:type="dxa" w:w="40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Queues, dispositions, and the labeling pipeline.</w:t>
            </w:r>
          </w:p>
        </w:tc>
        <w:tc>
          <w:tcPr>
            <w:tcW w:type="dxa" w:w="22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cases, labels</w:t>
            </w:r>
          </w:p>
        </w:tc>
        <w:tc>
          <w:tcPr>
            <w:tcW w:type="dxa" w:w="16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events + API</w:t>
            </w:r>
          </w:p>
        </w:tc>
      </w:tr>
      <w:tr>
        <w:tc>
          <w:tcPr>
            <w:tcW w:type="dxa" w:w="2200"/>
            <w:shd w:fill="FFFFFF"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notify</w:t>
            </w:r>
          </w:p>
        </w:tc>
        <w:tc>
          <w:tcPr>
            <w:tcW w:type="dxa" w:w="40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Downstream actions, webhooks, and customer messaging.</w:t>
            </w:r>
          </w:p>
        </w:tc>
        <w:tc>
          <w:tcPr>
            <w:tcW w:type="dxa" w:w="22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action log</w:t>
            </w:r>
          </w:p>
        </w:tc>
        <w:tc>
          <w:tcPr>
            <w:tcW w:type="dxa" w:w="16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events</w:t>
            </w:r>
          </w:p>
        </w:tc>
      </w:tr>
    </w:tbl>
    <w:p>
      <w:pPr>
        <w:spacing w:after="60"/>
      </w:pPr>
    </w:p>
    <w:p>
      <w:pPr>
        <w:pStyle w:val="Heading2"/>
        <w:spacing w:after="90" w:before="220"/>
      </w:pPr>
      <w:r>
        <w:rPr>
          <w:rFonts w:ascii="Calibri" w:cs="Calibri" w:eastAsia="Calibri" w:hAnsi="Calibri"/>
          <w:b/>
          <w:bCs/>
          <w:color w:val="6D28D9"/>
          <w:sz w:val="25"/>
          <w:szCs w:val="25"/>
        </w:rPr>
        <w:t xml:space="preserve">Micro-frontends — composable to the glass</w:t>
      </w:r>
    </w:p>
    <w:p>
      <w:pPr>
        <w:spacing w:after="120" w:before="0" w:line="276"/>
      </w:pPr>
      <w:r>
        <w:rPr>
          <w:rFonts w:ascii="Calibri" w:cs="Calibri" w:eastAsia="Calibri" w:hAnsi="Calibri"/>
          <w:color w:val="111827"/>
          <w:sz w:val="21"/>
          <w:szCs w:val="21"/>
        </w:rPr>
        <w:t xml:space="preserve">The analyst and ops console is assembled from independently shipped UI modules on one shell — case queue, case detail, rule editor, dashboards. Teams own their surface end to end, and a new tool drops into the console without a coordinated release.</w:t>
      </w:r>
    </w:p>
    <w:p>
      <w:pPr>
        <w:spacing w:after="120" w:before="0" w:line="276"/>
      </w:pPr>
      <w:r>
        <w:rPr>
          <w:rFonts w:ascii="Calibri" w:cs="Calibri" w:eastAsia="Calibri" w:hAnsi="Calibri"/>
          <w:b/>
          <w:bCs/>
          <w:color w:val="111827"/>
          <w:sz w:val="21"/>
          <w:szCs w:val="21"/>
        </w:rPr>
        <w:t xml:space="preserve">→ AI enablement.  </w:t>
      </w:r>
      <w:r>
        <w:rPr>
          <w:rFonts w:ascii="Calibri" w:cs="Calibri" w:eastAsia="Calibri" w:hAnsi="Calibri"/>
          <w:color w:val="4B5563"/>
          <w:sz w:val="21"/>
          <w:szCs w:val="21"/>
        </w:rPr>
        <w:t xml:space="preserve">Event-driven means real-time inference and agents triggered off events; bounded services mean an ML/LLM service drops in behind an existing contract; micro-frontends mean an AI-assist panel composes into the console beside the case queue. Extensibility is the same mechanism, all the way from data to glass.</w:t>
      </w:r>
    </w:p>
    <w:p>
      <w:r>
        <w:br w:type="page"/>
      </w:r>
    </w:p>
    <w:p>
      <w:pPr>
        <w:pStyle w:val="Heading1"/>
        <w:spacing w:after="140" w:before="320"/>
      </w:pPr>
      <w:r>
        <w:rPr>
          <w:rFonts w:ascii="Calibri" w:cs="Calibri" w:eastAsia="Calibri" w:hAnsi="Calibri"/>
          <w:b/>
          <w:bCs/>
          <w:color w:val="111827"/>
          <w:sz w:val="30"/>
          <w:szCs w:val="30"/>
        </w:rPr>
        <w:t xml:space="preserve">8.  AI extensibility model</w:t>
      </w:r>
    </w:p>
    <w:p>
      <w:pPr>
        <w:spacing w:after="120" w:before="0" w:line="276"/>
      </w:pPr>
      <w:r>
        <w:rPr>
          <w:rFonts w:ascii="Calibri" w:cs="Calibri" w:eastAsia="Calibri" w:hAnsi="Calibri"/>
          <w:color w:val="111827"/>
          <w:sz w:val="21"/>
          <w:szCs w:val="21"/>
        </w:rPr>
        <w:t xml:space="preserve">The central claim of this architecture: every investment above is also an AI investment. AI is not a parallel platform; it attaches at seams that already exist. Teams without those seams face an AI rewrite; teams with them face an AI integration.</w:t>
      </w:r>
    </w:p>
    <w:p>
      <w:pPr>
        <w:spacing w:after="40"/>
      </w:pP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3200"/>
        <w:gridCol w:w="6880"/>
      </w:tblGrid>
      <w:tr>
        <w:trPr>
          <w:tblHeader/>
        </w:trPr>
        <w:tc>
          <w:tcPr>
            <w:tcW w:type="dxa" w:w="320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Platform investment</w:t>
            </w:r>
          </w:p>
        </w:tc>
        <w:tc>
          <w:tcPr>
            <w:tcW w:type="dxa" w:w="688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AI capability it unlocks</w:t>
            </w:r>
          </w:p>
        </w:tc>
      </w:tr>
      <w:tr>
        <w:tc>
          <w:tcPr>
            <w:tcW w:type="dxa" w:w="32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Standardized / canonical data</w:t>
            </w:r>
          </w:p>
        </w:tc>
        <w:tc>
          <w:tcPr>
            <w:tcW w:type="dxa" w:w="68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Training sets and real-time features from one substrate — the hardest AI prerequisite, already solved.</w:t>
            </w:r>
          </w:p>
        </w:tc>
      </w:tr>
      <w:tr>
        <w:tc>
          <w:tcPr>
            <w:tcW w:type="dxa" w:w="32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Event-driven bus</w:t>
            </w:r>
          </w:p>
        </w:tc>
        <w:tc>
          <w:tcPr>
            <w:tcW w:type="dxa" w:w="68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Real-time inference, streaming features, and agents triggered by domain events (e.g., risk.scored).</w:t>
            </w:r>
          </w:p>
        </w:tc>
      </w:tr>
      <w:tr>
        <w:tc>
          <w:tcPr>
            <w:tcW w:type="dxa" w:w="32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Configurable workflows</w:t>
            </w:r>
          </w:p>
        </w:tc>
        <w:tc>
          <w:tcPr>
            <w:tcW w:type="dxa" w:w="68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Human-in-the-loop review and agent steps drop into the same guarded, audited state machine.</w:t>
            </w:r>
          </w:p>
        </w:tc>
      </w:tr>
      <w:tr>
        <w:tc>
          <w:tcPr>
            <w:tcW w:type="dxa" w:w="32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Bounded microservices</w:t>
            </w:r>
          </w:p>
        </w:tc>
        <w:tc>
          <w:tcPr>
            <w:tcW w:type="dxa" w:w="68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Swap a rules service for an ML or LLM service behind the same contract; shadow before promoting.</w:t>
            </w:r>
          </w:p>
        </w:tc>
      </w:tr>
      <w:tr>
        <w:tc>
          <w:tcPr>
            <w:tcW w:type="dxa" w:w="32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Micro-frontends</w:t>
            </w:r>
          </w:p>
        </w:tc>
        <w:tc>
          <w:tcPr>
            <w:tcW w:type="dxa" w:w="68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Analyst copilots and AI-assist panels compose into the existing console with no rewrite.</w:t>
            </w:r>
          </w:p>
        </w:tc>
      </w:tr>
      <w:tr>
        <w:tc>
          <w:tcPr>
            <w:tcW w:type="dxa" w:w="32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Governance services</w:t>
            </w:r>
          </w:p>
        </w:tc>
        <w:tc>
          <w:tcPr>
            <w:tcW w:type="dxa" w:w="68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Reason codes, audit, and policy already wrap every decision — so AI decisions inherit governance for free.</w:t>
            </w:r>
          </w:p>
        </w:tc>
      </w:tr>
    </w:tbl>
    <w:p>
      <w:pPr>
        <w:spacing w:after="60"/>
      </w:pPr>
    </w:p>
    <w:p>
      <w:pPr>
        <w:pStyle w:val="Heading2"/>
        <w:spacing w:after="90" w:before="220"/>
      </w:pPr>
      <w:r>
        <w:rPr>
          <w:rFonts w:ascii="Calibri" w:cs="Calibri" w:eastAsia="Calibri" w:hAnsi="Calibri"/>
          <w:b/>
          <w:bCs/>
          <w:color w:val="047857"/>
          <w:sz w:val="25"/>
          <w:szCs w:val="25"/>
        </w:rPr>
        <w:t xml:space="preserve">Guardrails</w:t>
      </w:r>
    </w:p>
    <w:p>
      <w:pPr>
        <w:pStyle w:val="ListParagraph"/>
        <w:numPr>
          <w:ilvl w:val="0"/>
          <w:numId w:val="2"/>
        </w:numPr>
        <w:spacing w:after="60" w:line="264"/>
      </w:pPr>
      <w:r>
        <w:rPr>
          <w:rFonts w:ascii="Calibri" w:cs="Calibri" w:eastAsia="Calibri" w:hAnsi="Calibri"/>
          <w:color w:val="111827"/>
          <w:sz w:val="21"/>
          <w:szCs w:val="21"/>
        </w:rPr>
        <w:t xml:space="preserve">Human-in-the-loop by default for consequential decisions; agents propose, humans dispose.</w:t>
      </w:r>
    </w:p>
    <w:p>
      <w:pPr>
        <w:pStyle w:val="ListParagraph"/>
        <w:numPr>
          <w:ilvl w:val="0"/>
          <w:numId w:val="2"/>
        </w:numPr>
        <w:spacing w:after="60" w:line="264"/>
      </w:pPr>
      <w:r>
        <w:rPr>
          <w:rFonts w:ascii="Calibri" w:cs="Calibri" w:eastAsia="Calibri" w:hAnsi="Calibri"/>
          <w:color w:val="111827"/>
          <w:sz w:val="21"/>
          <w:szCs w:val="21"/>
        </w:rPr>
        <w:t xml:space="preserve">Adaptive policy is suggested, never auto-shipped — model-proposed config changes go through the same review and versioning as human ones.</w:t>
      </w:r>
    </w:p>
    <w:p>
      <w:pPr>
        <w:pStyle w:val="ListParagraph"/>
        <w:numPr>
          <w:ilvl w:val="0"/>
          <w:numId w:val="2"/>
        </w:numPr>
        <w:spacing w:after="60" w:line="264"/>
      </w:pPr>
      <w:r>
        <w:rPr>
          <w:rFonts w:ascii="Calibri" w:cs="Calibri" w:eastAsia="Calibri" w:hAnsi="Calibri"/>
          <w:color w:val="111827"/>
          <w:sz w:val="21"/>
          <w:szCs w:val="21"/>
        </w:rPr>
        <w:t xml:space="preserve">Every AI-assisted decision emits the same decision record (inputs, score, reasons, model version) as any other.</w:t>
      </w:r>
    </w:p>
    <w:p>
      <w:pPr>
        <w:pStyle w:val="ListParagraph"/>
        <w:numPr>
          <w:ilvl w:val="0"/>
          <w:numId w:val="2"/>
        </w:numPr>
        <w:spacing w:after="60" w:line="264"/>
      </w:pPr>
      <w:r>
        <w:rPr>
          <w:rFonts w:ascii="Calibri" w:cs="Calibri" w:eastAsia="Calibri" w:hAnsi="Calibri"/>
          <w:color w:val="111827"/>
          <w:sz w:val="21"/>
          <w:szCs w:val="21"/>
        </w:rPr>
        <w:t xml:space="preserve">Reversibility: an AI capability behind a contract or a workflow state can be disabled in one config change.</w:t>
      </w:r>
    </w:p>
    <w:p>
      <w:pPr>
        <w:pStyle w:val="Heading1"/>
        <w:spacing w:after="140" w:before="320"/>
      </w:pPr>
      <w:r>
        <w:rPr>
          <w:rFonts w:ascii="Calibri" w:cs="Calibri" w:eastAsia="Calibri" w:hAnsi="Calibri"/>
          <w:b/>
          <w:bCs/>
          <w:color w:val="111827"/>
          <w:sz w:val="30"/>
          <w:szCs w:val="30"/>
        </w:rPr>
        <w:t xml:space="preserve">9.  Cross-cutting concerns</w:t>
      </w:r>
    </w:p>
    <w:p>
      <w:pPr>
        <w:pStyle w:val="Heading3"/>
        <w:spacing w:after="70" w:before="150"/>
      </w:pPr>
      <w:r>
        <w:rPr>
          <w:rFonts w:ascii="Calibri" w:cs="Calibri" w:eastAsia="Calibri" w:hAnsi="Calibri"/>
          <w:b/>
          <w:bCs/>
          <w:color w:val="4B5563"/>
          <w:sz w:val="22"/>
          <w:szCs w:val="22"/>
        </w:rPr>
        <w:t xml:space="preserve">Explainability</w:t>
      </w:r>
    </w:p>
    <w:p>
      <w:pPr>
        <w:spacing w:after="120" w:before="0" w:line="276"/>
      </w:pPr>
      <w:r>
        <w:rPr>
          <w:rFonts w:ascii="Calibri" w:cs="Calibri" w:eastAsia="Calibri" w:hAnsi="Calibri"/>
          <w:color w:val="111827"/>
          <w:sz w:val="21"/>
          <w:szCs w:val="21"/>
        </w:rPr>
        <w:t xml:space="preserve">Declines need reasons. Reason codes are generated with every decision and logged alongside inputs, score, and model version. Adverse-action requirements (e.g., ECOA / Reg B for credit) and model risk management expectations (e.g., SR 11-7) are far cheaper built in from day one than retrofitted.</w:t>
      </w:r>
    </w:p>
    <w:p>
      <w:pPr>
        <w:pStyle w:val="Heading3"/>
        <w:spacing w:after="70" w:before="150"/>
      </w:pPr>
      <w:r>
        <w:rPr>
          <w:rFonts w:ascii="Calibri" w:cs="Calibri" w:eastAsia="Calibri" w:hAnsi="Calibri"/>
          <w:b/>
          <w:bCs/>
          <w:color w:val="4B5563"/>
          <w:sz w:val="22"/>
          <w:szCs w:val="22"/>
        </w:rPr>
        <w:t xml:space="preserve">Compliance across jurisdictions</w:t>
      </w:r>
    </w:p>
    <w:p>
      <w:pPr>
        <w:spacing w:after="120" w:before="0" w:line="276"/>
      </w:pPr>
      <w:r>
        <w:rPr>
          <w:rFonts w:ascii="Calibri" w:cs="Calibri" w:eastAsia="Calibri" w:hAnsi="Calibri"/>
          <w:color w:val="111827"/>
          <w:sz w:val="21"/>
          <w:szCs w:val="21"/>
        </w:rPr>
        <w:t xml:space="preserve">AML/KYC monitoring, sanctions screening, and SAR workflows differ by jurisdiction — thresholds, data residency, retention. Express these as policy-as-config per region, not hardcoded, so a new market is a configuration change rather than a rewrite.</w:t>
      </w:r>
    </w:p>
    <w:p>
      <w:pPr>
        <w:pStyle w:val="Heading3"/>
        <w:spacing w:after="70" w:before="150"/>
      </w:pPr>
      <w:r>
        <w:rPr>
          <w:rFonts w:ascii="Calibri" w:cs="Calibri" w:eastAsia="Calibri" w:hAnsi="Calibri"/>
          <w:b/>
          <w:bCs/>
          <w:color w:val="4B5563"/>
          <w:sz w:val="22"/>
          <w:szCs w:val="22"/>
        </w:rPr>
        <w:t xml:space="preserve">Audit &amp; security</w:t>
      </w:r>
    </w:p>
    <w:p>
      <w:pPr>
        <w:spacing w:after="120" w:before="0" w:line="276"/>
      </w:pPr>
      <w:r>
        <w:rPr>
          <w:rFonts w:ascii="Calibri" w:cs="Calibri" w:eastAsia="Calibri" w:hAnsi="Calibri"/>
          <w:color w:val="111827"/>
          <w:sz w:val="21"/>
          <w:szCs w:val="21"/>
        </w:rPr>
        <w:t xml:space="preserve">The event log provides an immutable, replayable audit trail. PII handling is a design constraint from the first schema: minimize, encrypt, and scope access. Every policy change, override, and decision is reconstructable on demand.</w:t>
      </w:r>
    </w:p>
    <w:p>
      <w:pPr>
        <w:pStyle w:val="Heading1"/>
        <w:spacing w:after="140" w:before="320"/>
      </w:pPr>
      <w:r>
        <w:rPr>
          <w:rFonts w:ascii="Calibri" w:cs="Calibri" w:eastAsia="Calibri" w:hAnsi="Calibri"/>
          <w:b/>
          <w:bCs/>
          <w:color w:val="111827"/>
          <w:sz w:val="30"/>
          <w:szCs w:val="30"/>
        </w:rPr>
        <w:t xml:space="preserve">10.  Non-functional targets &amp; SLOs</w:t>
      </w:r>
    </w:p>
    <w:p>
      <w:pPr>
        <w:spacing w:after="120" w:before="0" w:line="276"/>
      </w:pPr>
      <w:r>
        <w:rPr>
          <w:rFonts w:ascii="Calibri" w:cs="Calibri" w:eastAsia="Calibri" w:hAnsi="Calibri"/>
          <w:color w:val="111827"/>
          <w:sz w:val="21"/>
          <w:szCs w:val="21"/>
        </w:rPr>
        <w:t xml:space="preserve">Targets are illustrative starting points; calibrate to your product and loss economics. The point is to treat them as design inputs, not a tuning pass at the end.</w:t>
      </w:r>
    </w:p>
    <w:p>
      <w:pPr>
        <w:spacing w:after="40"/>
      </w:pP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2600"/>
        <w:gridCol w:w="4880"/>
      </w:tblGrid>
      <w:tr>
        <w:trPr>
          <w:tblHeader/>
        </w:trPr>
        <w:tc>
          <w:tcPr>
            <w:tcW w:type="dxa" w:w="260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Concern</w:t>
            </w:r>
          </w:p>
        </w:tc>
        <w:tc>
          <w:tcPr>
            <w:tcW w:type="dxa" w:w="260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Target (starting point)</w:t>
            </w:r>
          </w:p>
        </w:tc>
        <w:tc>
          <w:tcPr>
            <w:tcW w:type="dxa" w:w="488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Notes</w:t>
            </w:r>
          </w:p>
        </w:tc>
      </w:tr>
      <w:tr>
        <w:tc>
          <w:tcPr>
            <w:tcW w:type="dxa" w:w="26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Inline decision latency</w:t>
            </w:r>
          </w:p>
        </w:tc>
        <w:tc>
          <w:tcPr>
            <w:tcW w:type="dxa" w:w="2600"/>
            <w:shd w:fill="FFFFFF"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p99 &lt; 100–300 ms</w:t>
            </w:r>
          </w:p>
        </w:tc>
        <w:tc>
          <w:tcPr>
            <w:tcW w:type="dxa" w:w="48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Feature fetch + model + rules + overhead, budgeted explicitly.</w:t>
            </w:r>
          </w:p>
        </w:tc>
      </w:tr>
      <w:tr>
        <w:tc>
          <w:tcPr>
            <w:tcW w:type="dxa" w:w="26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Decision availability</w:t>
            </w:r>
          </w:p>
        </w:tc>
        <w:tc>
          <w:tcPr>
            <w:tcW w:type="dxa" w:w="2600"/>
            <w:shd w:fill="F9FAFB"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 99.95%</w:t>
            </w:r>
          </w:p>
        </w:tc>
        <w:tc>
          <w:tcPr>
            <w:tcW w:type="dxa" w:w="48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Every external call has a timeout and a safe, defined fallback.</w:t>
            </w:r>
          </w:p>
        </w:tc>
      </w:tr>
      <w:tr>
        <w:tc>
          <w:tcPr>
            <w:tcW w:type="dxa" w:w="26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Throughput</w:t>
            </w:r>
          </w:p>
        </w:tc>
        <w:tc>
          <w:tcPr>
            <w:tcW w:type="dxa" w:w="2600"/>
            <w:shd w:fill="FFFFFF"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millions / month</w:t>
            </w:r>
          </w:p>
        </w:tc>
        <w:tc>
          <w:tcPr>
            <w:tcW w:type="dxa" w:w="48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Horizontal scale per service; the bus absorbs spikes.</w:t>
            </w:r>
          </w:p>
        </w:tc>
      </w:tr>
      <w:tr>
        <w:tc>
          <w:tcPr>
            <w:tcW w:type="dxa" w:w="26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False-positive rate</w:t>
            </w:r>
          </w:p>
        </w:tc>
        <w:tc>
          <w:tcPr>
            <w:tcW w:type="dxa" w:w="2600"/>
            <w:shd w:fill="F9FAFB"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tuned to loss</w:t>
            </w:r>
          </w:p>
        </w:tc>
        <w:tc>
          <w:tcPr>
            <w:tcW w:type="dxa" w:w="48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Traded against fraud loss (bps), not optimized as accuracy.</w:t>
            </w:r>
          </w:p>
        </w:tc>
      </w:tr>
      <w:tr>
        <w:tc>
          <w:tcPr>
            <w:tcW w:type="dxa" w:w="26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Explainability coverage</w:t>
            </w:r>
          </w:p>
        </w:tc>
        <w:tc>
          <w:tcPr>
            <w:tcW w:type="dxa" w:w="2600"/>
            <w:shd w:fill="FFFFFF"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100% of decisions</w:t>
            </w:r>
          </w:p>
        </w:tc>
        <w:tc>
          <w:tcPr>
            <w:tcW w:type="dxa" w:w="48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No decision ships without a reason record.</w:t>
            </w:r>
          </w:p>
        </w:tc>
      </w:tr>
      <w:tr>
        <w:tc>
          <w:tcPr>
            <w:tcW w:type="dxa" w:w="26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Config change lead time</w:t>
            </w:r>
          </w:p>
        </w:tc>
        <w:tc>
          <w:tcPr>
            <w:tcW w:type="dxa" w:w="2600"/>
            <w:shd w:fill="F9FAFB"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minutes</w:t>
            </w:r>
          </w:p>
        </w:tc>
        <w:tc>
          <w:tcPr>
            <w:tcW w:type="dxa" w:w="48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Policy changes require no deploy; versioned and reversible.</w:t>
            </w:r>
          </w:p>
        </w:tc>
      </w:tr>
      <w:tr>
        <w:tc>
          <w:tcPr>
            <w:tcW w:type="dxa" w:w="26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New-source onboarding</w:t>
            </w:r>
          </w:p>
        </w:tc>
        <w:tc>
          <w:tcPr>
            <w:tcW w:type="dxa" w:w="2600"/>
            <w:shd w:fill="FFFFFF" w:color="auto" w:val="clear"/>
            <w:tcMar>
              <w:top w:type="dxa" w:w="70"/>
              <w:left w:type="dxa" w:w="110"/>
              <w:bottom w:type="dxa" w:w="70"/>
              <w:right w:type="dxa" w:w="110"/>
            </w:tcMar>
            <w:vAlign w:val="center"/>
          </w:tcPr>
          <w:p>
            <w:pPr>
              <w:spacing w:after="0" w:line="252"/>
            </w:pPr>
            <w:r>
              <w:rPr>
                <w:rFonts w:ascii="Courier New" w:cs="Courier New" w:eastAsia="Courier New" w:hAnsi="Courier New"/>
                <w:color w:val="111827"/>
                <w:sz w:val="19"/>
                <w:szCs w:val="19"/>
              </w:rPr>
              <w:t xml:space="preserve">days</w:t>
            </w:r>
          </w:p>
        </w:tc>
        <w:tc>
          <w:tcPr>
            <w:tcW w:type="dxa" w:w="48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One mapping to the canonical model; consumers unchanged.</w:t>
            </w:r>
          </w:p>
        </w:tc>
      </w:tr>
    </w:tbl>
    <w:p>
      <w:pPr>
        <w:pStyle w:val="Heading1"/>
        <w:spacing w:after="140" w:before="320"/>
      </w:pPr>
      <w:r>
        <w:rPr>
          <w:rFonts w:ascii="Calibri" w:cs="Calibri" w:eastAsia="Calibri" w:hAnsi="Calibri"/>
          <w:b/>
          <w:bCs/>
          <w:color w:val="111827"/>
          <w:sz w:val="30"/>
          <w:szCs w:val="30"/>
        </w:rPr>
        <w:t xml:space="preserve">11.  Rollout &amp; adoption</w:t>
      </w:r>
    </w:p>
    <w:p>
      <w:pPr>
        <w:spacing w:after="120" w:before="0" w:line="276"/>
      </w:pPr>
      <w:r>
        <w:rPr>
          <w:rFonts w:ascii="Calibri" w:cs="Calibri" w:eastAsia="Calibri" w:hAnsi="Calibri"/>
          <w:color w:val="111827"/>
          <w:sz w:val="21"/>
          <w:szCs w:val="21"/>
        </w:rPr>
        <w:t xml:space="preserve">Don't boil the ocean, and don't build features before seams. Sequence the investment so each step is reversible and each seam is in place before the thing that depends on it.</w:t>
      </w:r>
    </w:p>
    <w:p>
      <w:pPr>
        <w:pStyle w:val="ListParagraph"/>
        <w:numPr>
          <w:ilvl w:val="0"/>
          <w:numId w:val="2"/>
        </w:numPr>
        <w:spacing w:after="60" w:line="264"/>
      </w:pPr>
      <w:r>
        <w:rPr>
          <w:rFonts w:ascii="Calibri" w:cs="Calibri" w:eastAsia="Calibri" w:hAnsi="Calibri"/>
          <w:b/>
          <w:bCs/>
          <w:color w:val="111827"/>
          <w:sz w:val="21"/>
          <w:szCs w:val="21"/>
        </w:rPr>
        <w:t xml:space="preserve">Seams first. </w:t>
      </w:r>
      <w:r>
        <w:rPr>
          <w:rFonts w:ascii="Calibri" w:cs="Calibri" w:eastAsia="Calibri" w:hAnsi="Calibri"/>
          <w:color w:val="4B5563"/>
          <w:sz w:val="21"/>
          <w:szCs w:val="21"/>
        </w:rPr>
        <w:t xml:space="preserve">Model the canonical schema and stand up an event bus early — even at low volume. Everything else attaches to these.</w:t>
      </w:r>
    </w:p>
    <w:p>
      <w:pPr>
        <w:pStyle w:val="ListParagraph"/>
        <w:numPr>
          <w:ilvl w:val="0"/>
          <w:numId w:val="2"/>
        </w:numPr>
        <w:spacing w:after="60" w:line="264"/>
      </w:pPr>
      <w:r>
        <w:rPr>
          <w:rFonts w:ascii="Calibri" w:cs="Calibri" w:eastAsia="Calibri" w:hAnsi="Calibri"/>
          <w:b/>
          <w:bCs/>
          <w:color w:val="111827"/>
          <w:sz w:val="21"/>
          <w:szCs w:val="21"/>
        </w:rPr>
        <w:t xml:space="preserve">Externalize policy. </w:t>
      </w:r>
      <w:r>
        <w:rPr>
          <w:rFonts w:ascii="Calibri" w:cs="Calibri" w:eastAsia="Calibri" w:hAnsi="Calibri"/>
          <w:color w:val="4B5563"/>
          <w:sz w:val="21"/>
          <w:szCs w:val="21"/>
        </w:rPr>
        <w:t xml:space="preserve">Move the decision flow to versioned config before flows proliferate in code.</w:t>
      </w:r>
    </w:p>
    <w:p>
      <w:pPr>
        <w:pStyle w:val="ListParagraph"/>
        <w:numPr>
          <w:ilvl w:val="0"/>
          <w:numId w:val="2"/>
        </w:numPr>
        <w:spacing w:after="60" w:line="264"/>
      </w:pPr>
      <w:r>
        <w:rPr>
          <w:rFonts w:ascii="Calibri" w:cs="Calibri" w:eastAsia="Calibri" w:hAnsi="Calibri"/>
          <w:b/>
          <w:bCs/>
          <w:color w:val="111827"/>
          <w:sz w:val="21"/>
          <w:szCs w:val="21"/>
        </w:rPr>
        <w:t xml:space="preserve">Shadow. </w:t>
      </w:r>
      <w:r>
        <w:rPr>
          <w:rFonts w:ascii="Calibri" w:cs="Calibri" w:eastAsia="Calibri" w:hAnsi="Calibri"/>
          <w:color w:val="4B5563"/>
          <w:sz w:val="21"/>
          <w:szCs w:val="21"/>
        </w:rPr>
        <w:t xml:space="preserve">Run the platform in parallel with the incumbent. Compare decisions; decide nothing yet.</w:t>
      </w:r>
    </w:p>
    <w:p>
      <w:pPr>
        <w:pStyle w:val="ListParagraph"/>
        <w:numPr>
          <w:ilvl w:val="0"/>
          <w:numId w:val="2"/>
        </w:numPr>
        <w:spacing w:after="60" w:line="264"/>
      </w:pPr>
      <w:r>
        <w:rPr>
          <w:rFonts w:ascii="Calibri" w:cs="Calibri" w:eastAsia="Calibri" w:hAnsi="Calibri"/>
          <w:b/>
          <w:bCs/>
          <w:color w:val="111827"/>
          <w:sz w:val="21"/>
          <w:szCs w:val="21"/>
        </w:rPr>
        <w:t xml:space="preserve">Canary. </w:t>
      </w:r>
      <w:r>
        <w:rPr>
          <w:rFonts w:ascii="Calibri" w:cs="Calibri" w:eastAsia="Calibri" w:hAnsi="Calibri"/>
          <w:color w:val="4B5563"/>
          <w:sz w:val="21"/>
          <w:szCs w:val="21"/>
        </w:rPr>
        <w:t xml:space="preserve">Take a small percentage of low-risk traffic. Watch metrics, not vibes.</w:t>
      </w:r>
    </w:p>
    <w:p>
      <w:pPr>
        <w:pStyle w:val="ListParagraph"/>
        <w:numPr>
          <w:ilvl w:val="0"/>
          <w:numId w:val="2"/>
        </w:numPr>
        <w:spacing w:after="60" w:line="264"/>
      </w:pPr>
      <w:r>
        <w:rPr>
          <w:rFonts w:ascii="Calibri" w:cs="Calibri" w:eastAsia="Calibri" w:hAnsi="Calibri"/>
          <w:b/>
          <w:bCs/>
          <w:color w:val="111827"/>
          <w:sz w:val="21"/>
          <w:szCs w:val="21"/>
        </w:rPr>
        <w:t xml:space="preserve">Layer cutover. </w:t>
      </w:r>
      <w:r>
        <w:rPr>
          <w:rFonts w:ascii="Calibri" w:cs="Calibri" w:eastAsia="Calibri" w:hAnsi="Calibri"/>
          <w:color w:val="4B5563"/>
          <w:sz w:val="21"/>
          <w:szCs w:val="21"/>
        </w:rPr>
        <w:t xml:space="preserve">Rules first, then ML scores, then full decisioning — one layer at a time, incumbent held as fallback until parity is proven on loss and latency.</w:t>
      </w:r>
    </w:p>
    <w:p>
      <w:pPr>
        <w:pStyle w:val="Heading1"/>
        <w:spacing w:after="140" w:before="320"/>
      </w:pPr>
      <w:r>
        <w:rPr>
          <w:rFonts w:ascii="Calibri" w:cs="Calibri" w:eastAsia="Calibri" w:hAnsi="Calibri"/>
          <w:b/>
          <w:bCs/>
          <w:color w:val="111827"/>
          <w:sz w:val="30"/>
          <w:szCs w:val="30"/>
        </w:rPr>
        <w:t xml:space="preserve">12.  Risks &amp; mitigations</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3200"/>
        <w:gridCol w:w="6880"/>
      </w:tblGrid>
      <w:tr>
        <w:trPr>
          <w:tblHeader/>
        </w:trPr>
        <w:tc>
          <w:tcPr>
            <w:tcW w:type="dxa" w:w="320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Risk</w:t>
            </w:r>
          </w:p>
        </w:tc>
        <w:tc>
          <w:tcPr>
            <w:tcW w:type="dxa" w:w="6880"/>
            <w:shd w:fill="111827"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Mitigation</w:t>
            </w:r>
          </w:p>
        </w:tc>
      </w:tr>
      <w:tr>
        <w:tc>
          <w:tcPr>
            <w:tcW w:type="dxa" w:w="32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Over-engineering the platform before there is load</w:t>
            </w:r>
          </w:p>
        </w:tc>
        <w:tc>
          <w:tcPr>
            <w:tcW w:type="dxa" w:w="68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Start with the two seams that compound (canonical model + event bus); add services only as domains emerge.</w:t>
            </w:r>
          </w:p>
        </w:tc>
      </w:tr>
      <w:tr>
        <w:tc>
          <w:tcPr>
            <w:tcW w:type="dxa" w:w="32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Canonical model becomes a bottleneck committee</w:t>
            </w:r>
          </w:p>
        </w:tc>
        <w:tc>
          <w:tcPr>
            <w:tcW w:type="dxa" w:w="68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Version aggressively; allow backward-compatible additions without central sign-off; own the model per domain.</w:t>
            </w:r>
          </w:p>
        </w:tc>
      </w:tr>
      <w:tr>
        <w:tc>
          <w:tcPr>
            <w:tcW w:type="dxa" w:w="32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Event schema churn breaks consumers</w:t>
            </w:r>
          </w:p>
        </w:tc>
        <w:tc>
          <w:tcPr>
            <w:tcW w:type="dxa" w:w="68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Backward-compatible evolution in the registry; consumers tolerate unknown fields; deprecate on a clock.</w:t>
            </w:r>
          </w:p>
        </w:tc>
      </w:tr>
      <w:tr>
        <w:tc>
          <w:tcPr>
            <w:tcW w:type="dxa" w:w="32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Config engine becomes a shadow programming language</w:t>
            </w:r>
          </w:p>
        </w:tc>
        <w:tc>
          <w:tcPr>
            <w:tcW w:type="dxa" w:w="68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Keep config declarative; push imperative logic into services behind contracts, not into workflow YAML.</w:t>
            </w:r>
          </w:p>
        </w:tc>
      </w:tr>
      <w:tr>
        <w:tc>
          <w:tcPr>
            <w:tcW w:type="dxa" w:w="320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Latency creep from too many hops</w:t>
            </w:r>
          </w:p>
        </w:tc>
        <w:tc>
          <w:tcPr>
            <w:tcW w:type="dxa" w:w="6880"/>
            <w:shd w:fill="FFFFFF"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Budget the p99 explicitly; keep the sync path thin; async-enrich everything non-critical.</w:t>
            </w:r>
          </w:p>
        </w:tc>
      </w:tr>
      <w:tr>
        <w:tc>
          <w:tcPr>
            <w:tcW w:type="dxa" w:w="320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AI bolted on outside governance</w:t>
            </w:r>
          </w:p>
        </w:tc>
        <w:tc>
          <w:tcPr>
            <w:tcW w:type="dxa" w:w="6880"/>
            <w:shd w:fill="F9FAFB" w:color="auto" w:val="clear"/>
            <w:tcMar>
              <w:top w:type="dxa" w:w="70"/>
              <w:left w:type="dxa" w:w="110"/>
              <w:bottom w:type="dxa" w:w="70"/>
              <w:right w:type="dxa" w:w="110"/>
            </w:tcMar>
            <w:vAlign w:val="center"/>
          </w:tcPr>
          <w:p>
            <w:pPr>
              <w:spacing w:after="0" w:line="252"/>
            </w:pPr>
            <w:r>
              <w:rPr>
                <w:rFonts w:ascii="Calibri" w:cs="Calibri" w:eastAsia="Calibri" w:hAnsi="Calibri"/>
                <w:color w:val="111827"/>
                <w:sz w:val="19"/>
                <w:szCs w:val="19"/>
              </w:rPr>
              <w:t xml:space="preserve">Require AI to attach at existing seams so it inherits reason codes, audit, and human-in-the-loop by default.</w:t>
            </w:r>
          </w:p>
        </w:tc>
      </w:tr>
    </w:tbl>
    <w:p>
      <w:r>
        <w:br w:type="page"/>
      </w:r>
    </w:p>
    <w:p>
      <w:pPr>
        <w:pStyle w:val="Heading1"/>
        <w:spacing w:after="140" w:before="320"/>
      </w:pPr>
      <w:r>
        <w:rPr>
          <w:rFonts w:ascii="Calibri" w:cs="Calibri" w:eastAsia="Calibri" w:hAnsi="Calibri"/>
          <w:b/>
          <w:bCs/>
          <w:color w:val="111827"/>
          <w:sz w:val="30"/>
          <w:szCs w:val="30"/>
        </w:rPr>
        <w:t xml:space="preserve">Appendix A — Event contract examples</w:t>
      </w:r>
    </w:p>
    <w:p>
      <w:pPr>
        <w:spacing w:after="120" w:before="0" w:line="276"/>
      </w:pPr>
      <w:r>
        <w:rPr>
          <w:rFonts w:ascii="Calibri" w:cs="Calibri" w:eastAsia="Calibri" w:hAnsi="Calibri"/>
          <w:color w:val="111827"/>
          <w:sz w:val="21"/>
          <w:szCs w:val="21"/>
        </w:rPr>
        <w:t xml:space="preserve">Illustrative payloads. Real contracts live in the schema registry with versioning and compatibility rules.</w:t>
      </w:r>
    </w:p>
    <w:p>
      <w:pPr>
        <w:pStyle w:val="Heading3"/>
        <w:spacing w:after="70" w:before="150"/>
      </w:pPr>
      <w:r>
        <w:rPr>
          <w:rFonts w:ascii="Calibri" w:cs="Calibri" w:eastAsia="Calibri" w:hAnsi="Calibri"/>
          <w:b/>
          <w:bCs/>
          <w:color w:val="6D28D9"/>
          <w:sz w:val="22"/>
          <w:szCs w:val="22"/>
        </w:rPr>
        <w:t xml:space="preserve">risk.scored</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10080"/>
      </w:tblGrid>
      <w:tr>
        <w:tc>
          <w:tcPr>
            <w:tcW w:type="dxa" w:w="10080"/>
            <w:shd w:fill="F3F4F6" w:color="auto" w:val="clear"/>
            <w:tcMar>
              <w:top w:type="dxa" w:w="120"/>
              <w:left w:type="dxa" w:w="160"/>
              <w:bottom w:type="dxa" w:w="120"/>
              <w:right w:type="dxa" w:w="160"/>
            </w:tcMar>
          </w:tcPr>
          <w:p>
            <w:pPr>
              <w:spacing w:after="0" w:line="240"/>
            </w:pPr>
            <w:r>
              <w:rPr>
                <w:rFonts w:ascii="Courier New" w:cs="Courier New" w:eastAsia="Courier New" w:hAnsi="Courier New"/>
                <w:color w:val="111827"/>
                <w:sz w:val="17"/>
                <w:szCs w:val="17"/>
              </w:rPr>
              <w:t xml:space="preserve">{</w:t>
            </w:r>
          </w:p>
          <w:p>
            <w:pPr>
              <w:spacing w:after="0" w:line="240"/>
            </w:pPr>
            <w:r>
              <w:rPr>
                <w:rFonts w:ascii="Courier New" w:cs="Courier New" w:eastAsia="Courier New" w:hAnsi="Courier New"/>
                <w:color w:val="111827"/>
                <w:sz w:val="17"/>
                <w:szCs w:val="17"/>
              </w:rPr>
              <w:t xml:space="preserve">  "event": "risk.scored",</w:t>
            </w:r>
          </w:p>
          <w:p>
            <w:pPr>
              <w:spacing w:after="0" w:line="240"/>
            </w:pPr>
            <w:r>
              <w:rPr>
                <w:rFonts w:ascii="Courier New" w:cs="Courier New" w:eastAsia="Courier New" w:hAnsi="Courier New"/>
                <w:color w:val="111827"/>
                <w:sz w:val="17"/>
                <w:szCs w:val="17"/>
              </w:rPr>
              <w:t xml:space="preserve">  "version": 3,</w:t>
            </w:r>
          </w:p>
          <w:p>
            <w:pPr>
              <w:spacing w:after="0" w:line="240"/>
            </w:pPr>
            <w:r>
              <w:rPr>
                <w:rFonts w:ascii="Courier New" w:cs="Courier New" w:eastAsia="Courier New" w:hAnsi="Courier New"/>
                <w:color w:val="111827"/>
                <w:sz w:val="17"/>
                <w:szCs w:val="17"/>
              </w:rPr>
              <w:t xml:space="preserve">  "txn_id": "a91f...",</w:t>
            </w:r>
          </w:p>
          <w:p>
            <w:pPr>
              <w:spacing w:after="0" w:line="240"/>
            </w:pPr>
            <w:r>
              <w:rPr>
                <w:rFonts w:ascii="Courier New" w:cs="Courier New" w:eastAsia="Courier New" w:hAnsi="Courier New"/>
                <w:color w:val="111827"/>
                <w:sz w:val="17"/>
                <w:szCs w:val="17"/>
              </w:rPr>
              <w:t xml:space="preserve">  "score": 0.87,</w:t>
            </w:r>
          </w:p>
          <w:p>
            <w:pPr>
              <w:spacing w:after="0" w:line="240"/>
            </w:pPr>
            <w:r>
              <w:rPr>
                <w:rFonts w:ascii="Courier New" w:cs="Courier New" w:eastAsia="Courier New" w:hAnsi="Courier New"/>
                <w:color w:val="111827"/>
                <w:sz w:val="17"/>
                <w:szCs w:val="17"/>
              </w:rPr>
              <w:t xml:space="preserve">  "decision": "decline",</w:t>
            </w:r>
          </w:p>
          <w:p>
            <w:pPr>
              <w:spacing w:after="0" w:line="240"/>
            </w:pPr>
            <w:r>
              <w:rPr>
                <w:rFonts w:ascii="Courier New" w:cs="Courier New" w:eastAsia="Courier New" w:hAnsi="Courier New"/>
                <w:color w:val="111827"/>
                <w:sz w:val="17"/>
                <w:szCs w:val="17"/>
              </w:rPr>
              <w:t xml:space="preserve">  "reasons": ["velocity_24h_high", "device_mismatch"],</w:t>
            </w:r>
          </w:p>
          <w:p>
            <w:pPr>
              <w:spacing w:after="0" w:line="240"/>
            </w:pPr>
            <w:r>
              <w:rPr>
                <w:rFonts w:ascii="Courier New" w:cs="Courier New" w:eastAsia="Courier New" w:hAnsi="Courier New"/>
                <w:color w:val="111827"/>
                <w:sz w:val="17"/>
                <w:szCs w:val="17"/>
              </w:rPr>
              <w:t xml:space="preserve">  "model": "fraud_v7",</w:t>
            </w:r>
          </w:p>
          <w:p>
            <w:pPr>
              <w:spacing w:after="0" w:line="240"/>
            </w:pPr>
            <w:r>
              <w:rPr>
                <w:rFonts w:ascii="Courier New" w:cs="Courier New" w:eastAsia="Courier New" w:hAnsi="Courier New"/>
                <w:color w:val="111827"/>
                <w:sz w:val="17"/>
                <w:szCs w:val="17"/>
              </w:rPr>
              <w:t xml:space="preserve">  "latency_ms": 112,</w:t>
            </w:r>
          </w:p>
          <w:p>
            <w:pPr>
              <w:spacing w:after="0" w:line="240"/>
            </w:pPr>
            <w:r>
              <w:rPr>
                <w:rFonts w:ascii="Courier New" w:cs="Courier New" w:eastAsia="Courier New" w:hAnsi="Courier New"/>
                <w:color w:val="111827"/>
                <w:sz w:val="17"/>
                <w:szCs w:val="17"/>
              </w:rPr>
              <w:t xml:space="preserve">  "ts": "2026-08-04T15:02:11Z"</w:t>
            </w:r>
          </w:p>
          <w:p>
            <w:pPr>
              <w:spacing w:after="0" w:line="240"/>
            </w:pPr>
            <w:r>
              <w:rPr>
                <w:rFonts w:ascii="Courier New" w:cs="Courier New" w:eastAsia="Courier New" w:hAnsi="Courier New"/>
                <w:color w:val="111827"/>
                <w:sz w:val="17"/>
                <w:szCs w:val="17"/>
              </w:rPr>
              <w:t xml:space="preserve">}</w:t>
            </w:r>
          </w:p>
        </w:tc>
      </w:tr>
    </w:tbl>
    <w:p>
      <w:pPr>
        <w:spacing w:after="60"/>
      </w:pPr>
    </w:p>
    <w:p>
      <w:pPr>
        <w:pStyle w:val="Heading3"/>
        <w:spacing w:after="70" w:before="150"/>
      </w:pPr>
      <w:r>
        <w:rPr>
          <w:rFonts w:ascii="Calibri" w:cs="Calibri" w:eastAsia="Calibri" w:hAnsi="Calibri"/>
          <w:b/>
          <w:bCs/>
          <w:color w:val="6D28D9"/>
          <w:sz w:val="22"/>
          <w:szCs w:val="22"/>
        </w:rPr>
        <w:t xml:space="preserve">label.recorded</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10080"/>
      </w:tblGrid>
      <w:tr>
        <w:tc>
          <w:tcPr>
            <w:tcW w:type="dxa" w:w="10080"/>
            <w:shd w:fill="F3F4F6" w:color="auto" w:val="clear"/>
            <w:tcMar>
              <w:top w:type="dxa" w:w="120"/>
              <w:left w:type="dxa" w:w="160"/>
              <w:bottom w:type="dxa" w:w="120"/>
              <w:right w:type="dxa" w:w="160"/>
            </w:tcMar>
          </w:tcPr>
          <w:p>
            <w:pPr>
              <w:spacing w:after="0" w:line="240"/>
            </w:pPr>
            <w:r>
              <w:rPr>
                <w:rFonts w:ascii="Courier New" w:cs="Courier New" w:eastAsia="Courier New" w:hAnsi="Courier New"/>
                <w:color w:val="111827"/>
                <w:sz w:val="17"/>
                <w:szCs w:val="17"/>
              </w:rPr>
              <w:t xml:space="preserve">{</w:t>
            </w:r>
          </w:p>
          <w:p>
            <w:pPr>
              <w:spacing w:after="0" w:line="240"/>
            </w:pPr>
            <w:r>
              <w:rPr>
                <w:rFonts w:ascii="Courier New" w:cs="Courier New" w:eastAsia="Courier New" w:hAnsi="Courier New"/>
                <w:color w:val="111827"/>
                <w:sz w:val="17"/>
                <w:szCs w:val="17"/>
              </w:rPr>
              <w:t xml:space="preserve">  "event": "label.recorded",</w:t>
            </w:r>
          </w:p>
          <w:p>
            <w:pPr>
              <w:spacing w:after="0" w:line="240"/>
            </w:pPr>
            <w:r>
              <w:rPr>
                <w:rFonts w:ascii="Courier New" w:cs="Courier New" w:eastAsia="Courier New" w:hAnsi="Courier New"/>
                <w:color w:val="111827"/>
                <w:sz w:val="17"/>
                <w:szCs w:val="17"/>
              </w:rPr>
              <w:t xml:space="preserve">  "version": 1,</w:t>
            </w:r>
          </w:p>
          <w:p>
            <w:pPr>
              <w:spacing w:after="0" w:line="240"/>
            </w:pPr>
            <w:r>
              <w:rPr>
                <w:rFonts w:ascii="Courier New" w:cs="Courier New" w:eastAsia="Courier New" w:hAnsi="Courier New"/>
                <w:color w:val="111827"/>
                <w:sz w:val="17"/>
                <w:szCs w:val="17"/>
              </w:rPr>
              <w:t xml:space="preserve">  "entity_id": "party:7c2...",</w:t>
            </w:r>
          </w:p>
          <w:p>
            <w:pPr>
              <w:spacing w:after="0" w:line="240"/>
            </w:pPr>
            <w:r>
              <w:rPr>
                <w:rFonts w:ascii="Courier New" w:cs="Courier New" w:eastAsia="Courier New" w:hAnsi="Courier New"/>
                <w:color w:val="111827"/>
                <w:sz w:val="17"/>
                <w:szCs w:val="17"/>
              </w:rPr>
              <w:t xml:space="preserve">  "outcome": "confirmed_fraud",</w:t>
            </w:r>
          </w:p>
          <w:p>
            <w:pPr>
              <w:spacing w:after="0" w:line="240"/>
            </w:pPr>
            <w:r>
              <w:rPr>
                <w:rFonts w:ascii="Courier New" w:cs="Courier New" w:eastAsia="Courier New" w:hAnsi="Courier New"/>
                <w:color w:val="111827"/>
                <w:sz w:val="17"/>
                <w:szCs w:val="17"/>
              </w:rPr>
              <w:t xml:space="preserve">  "source": "analyst_disposition",</w:t>
            </w:r>
          </w:p>
          <w:p>
            <w:pPr>
              <w:spacing w:after="0" w:line="240"/>
            </w:pPr>
            <w:r>
              <w:rPr>
                <w:rFonts w:ascii="Courier New" w:cs="Courier New" w:eastAsia="Courier New" w:hAnsi="Courier New"/>
                <w:color w:val="111827"/>
                <w:sz w:val="17"/>
                <w:szCs w:val="17"/>
              </w:rPr>
              <w:t xml:space="preserve">  "ts": "2026-08-06T09:20:00Z"</w:t>
            </w:r>
          </w:p>
          <w:p>
            <w:pPr>
              <w:spacing w:after="0" w:line="240"/>
            </w:pPr>
            <w:r>
              <w:rPr>
                <w:rFonts w:ascii="Courier New" w:cs="Courier New" w:eastAsia="Courier New" w:hAnsi="Courier New"/>
                <w:color w:val="111827"/>
                <w:sz w:val="17"/>
                <w:szCs w:val="17"/>
              </w:rPr>
              <w:t xml:space="preserve">}</w:t>
            </w:r>
          </w:p>
        </w:tc>
      </w:tr>
    </w:tbl>
    <w:p>
      <w:r>
        <w:br w:type="page"/>
      </w:r>
    </w:p>
    <w:p>
      <w:pPr>
        <w:pStyle w:val="Heading1"/>
        <w:spacing w:after="140" w:before="320"/>
      </w:pPr>
      <w:r>
        <w:rPr>
          <w:rFonts w:ascii="Calibri" w:cs="Calibri" w:eastAsia="Calibri" w:hAnsi="Calibri"/>
          <w:b/>
          <w:bCs/>
          <w:color w:val="111827"/>
          <w:sz w:val="30"/>
          <w:szCs w:val="30"/>
        </w:rPr>
        <w:t xml:space="preserve">Appendix B — Architecture Decision Records</w:t>
      </w:r>
    </w:p>
    <w:p>
      <w:pPr>
        <w:spacing w:after="120" w:before="0" w:line="276"/>
      </w:pPr>
      <w:r>
        <w:rPr>
          <w:rFonts w:ascii="Calibri" w:cs="Calibri" w:eastAsia="Calibri" w:hAnsi="Calibri"/>
          <w:color w:val="111827"/>
          <w:sz w:val="21"/>
          <w:szCs w:val="21"/>
        </w:rPr>
        <w:t xml:space="preserve">Each ADR is a durable record of one significant decision: the context, the decision, its consequences, and how it enables AI. Status of all: Accepted.</w:t>
      </w:r>
    </w:p>
    <w:p>
      <w:pPr>
        <w:pStyle w:val="Heading2"/>
        <w:spacing w:after="90" w:before="220"/>
      </w:pPr>
      <w:r>
        <w:rPr>
          <w:rFonts w:ascii="Calibri" w:cs="Calibri" w:eastAsia="Calibri" w:hAnsi="Calibri"/>
          <w:b/>
          <w:bCs/>
          <w:color w:val="111827"/>
          <w:sz w:val="25"/>
          <w:szCs w:val="25"/>
        </w:rPr>
        <w:t xml:space="preserve">ADR-001 — Externalize decision workflows as versioned configuration</w:t>
      </w:r>
    </w:p>
    <w:p>
      <w:pPr>
        <w:spacing w:after="120" w:before="0" w:line="276"/>
      </w:pPr>
      <w:r>
        <w:rPr>
          <w:rFonts w:ascii="Calibri" w:cs="Calibri" w:eastAsia="Calibri" w:hAnsi="Calibri"/>
          <w:b/>
          <w:bCs/>
          <w:color w:val="111827"/>
          <w:sz w:val="21"/>
          <w:szCs w:val="21"/>
        </w:rPr>
        <w:t xml:space="preserve">Status.  </w:t>
      </w:r>
      <w:r>
        <w:rPr>
          <w:rFonts w:ascii="Calibri" w:cs="Calibri" w:eastAsia="Calibri" w:hAnsi="Calibri"/>
          <w:color w:val="4B5563"/>
          <w:sz w:val="21"/>
          <w:szCs w:val="21"/>
        </w:rPr>
        <w:t xml:space="preserve">Accepted.</w:t>
      </w:r>
    </w:p>
    <w:p>
      <w:pPr>
        <w:spacing w:after="120" w:before="0" w:line="276"/>
      </w:pPr>
      <w:r>
        <w:rPr>
          <w:rFonts w:ascii="Calibri" w:cs="Calibri" w:eastAsia="Calibri" w:hAnsi="Calibri"/>
          <w:b/>
          <w:bCs/>
          <w:color w:val="111827"/>
          <w:sz w:val="21"/>
          <w:szCs w:val="21"/>
        </w:rPr>
        <w:t xml:space="preserve">Context.  </w:t>
      </w:r>
      <w:r>
        <w:rPr>
          <w:rFonts w:ascii="Calibri" w:cs="Calibri" w:eastAsia="Calibri" w:hAnsi="Calibri"/>
          <w:color w:val="4B5563"/>
          <w:sz w:val="21"/>
          <w:szCs w:val="21"/>
        </w:rPr>
        <w:t xml:space="preserve">Risk policy changes far more often than the runtime that executes it; embedding flows in code makes every policy change a deploy.</w:t>
      </w:r>
    </w:p>
    <w:p>
      <w:pPr>
        <w:spacing w:after="120" w:before="0" w:line="276"/>
      </w:pPr>
      <w:r>
        <w:rPr>
          <w:rFonts w:ascii="Calibri" w:cs="Calibri" w:eastAsia="Calibri" w:hAnsi="Calibri"/>
          <w:b/>
          <w:bCs/>
          <w:color w:val="111827"/>
          <w:sz w:val="21"/>
          <w:szCs w:val="21"/>
        </w:rPr>
        <w:t xml:space="preserve">Decision.  </w:t>
      </w:r>
      <w:r>
        <w:rPr>
          <w:rFonts w:ascii="Calibri" w:cs="Calibri" w:eastAsia="Calibri" w:hAnsi="Calibri"/>
          <w:color w:val="4B5563"/>
          <w:sz w:val="21"/>
          <w:szCs w:val="21"/>
        </w:rPr>
        <w:t xml:space="preserve">Represent workflows (states, transitions, SLAs, guards) as declarative, versioned config executed by a workflow engine.</w:t>
      </w:r>
    </w:p>
    <w:p>
      <w:pPr>
        <w:spacing w:after="40" w:before="0" w:line="276"/>
      </w:pPr>
      <w:r>
        <w:rPr>
          <w:rFonts w:ascii="Calibri" w:cs="Calibri" w:eastAsia="Calibri" w:hAnsi="Calibri"/>
          <w:b/>
          <w:bCs/>
          <w:color w:val="111827"/>
          <w:sz w:val="21"/>
          <w:szCs w:val="21"/>
        </w:rPr>
        <w:t xml:space="preserve">Consequences.</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Policy changes ship in minutes without a deploy.</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Champion/challenger and per-jurisdiction variants from one engine.</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Every change versioned, diffable, auditable.</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A new artifact (the config) needs its own review and testing discipline.</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Risk of the config becoming an ad-hoc language if imperative logic leaks in.</w:t>
      </w:r>
    </w:p>
    <w:p>
      <w:pPr>
        <w:spacing w:after="120" w:before="0" w:line="276"/>
      </w:pPr>
      <w:r>
        <w:rPr>
          <w:rFonts w:ascii="Calibri" w:cs="Calibri" w:eastAsia="Calibri" w:hAnsi="Calibri"/>
          <w:b/>
          <w:bCs/>
          <w:color w:val="111827"/>
          <w:sz w:val="21"/>
          <w:szCs w:val="21"/>
        </w:rPr>
        <w:t xml:space="preserve">→ AI enablement.  </w:t>
      </w:r>
      <w:r>
        <w:rPr>
          <w:rFonts w:ascii="Calibri" w:cs="Calibri" w:eastAsia="Calibri" w:hAnsi="Calibri"/>
          <w:color w:val="4B5563"/>
          <w:sz w:val="21"/>
          <w:szCs w:val="21"/>
        </w:rPr>
        <w:t xml:space="preserve">Agent steps and human review become additional states — orchestration, guarding, and audit are already provided.</w:t>
      </w:r>
    </w:p>
    <w:p>
      <w:pPr>
        <w:spacing w:after="60"/>
      </w:pPr>
    </w:p>
    <w:p>
      <w:pPr>
        <w:pStyle w:val="Heading2"/>
        <w:spacing w:after="90" w:before="220"/>
      </w:pPr>
      <w:r>
        <w:rPr>
          <w:rFonts w:ascii="Calibri" w:cs="Calibri" w:eastAsia="Calibri" w:hAnsi="Calibri"/>
          <w:b/>
          <w:bCs/>
          <w:color w:val="111827"/>
          <w:sz w:val="25"/>
          <w:szCs w:val="25"/>
        </w:rPr>
        <w:t xml:space="preserve">ADR-002 — Adopt a canonical data model with a schema registry</w:t>
      </w:r>
    </w:p>
    <w:p>
      <w:pPr>
        <w:spacing w:after="120" w:before="0" w:line="276"/>
      </w:pPr>
      <w:r>
        <w:rPr>
          <w:rFonts w:ascii="Calibri" w:cs="Calibri" w:eastAsia="Calibri" w:hAnsi="Calibri"/>
          <w:b/>
          <w:bCs/>
          <w:color w:val="111827"/>
          <w:sz w:val="21"/>
          <w:szCs w:val="21"/>
        </w:rPr>
        <w:t xml:space="preserve">Status.  </w:t>
      </w:r>
      <w:r>
        <w:rPr>
          <w:rFonts w:ascii="Calibri" w:cs="Calibri" w:eastAsia="Calibri" w:hAnsi="Calibri"/>
          <w:color w:val="4B5563"/>
          <w:sz w:val="21"/>
          <w:szCs w:val="21"/>
        </w:rPr>
        <w:t xml:space="preserve">Accepted.</w:t>
      </w:r>
    </w:p>
    <w:p>
      <w:pPr>
        <w:spacing w:after="120" w:before="0" w:line="276"/>
      </w:pPr>
      <w:r>
        <w:rPr>
          <w:rFonts w:ascii="Calibri" w:cs="Calibri" w:eastAsia="Calibri" w:hAnsi="Calibri"/>
          <w:b/>
          <w:bCs/>
          <w:color w:val="111827"/>
          <w:sz w:val="21"/>
          <w:szCs w:val="21"/>
        </w:rPr>
        <w:t xml:space="preserve">Context.  </w:t>
      </w:r>
      <w:r>
        <w:rPr>
          <w:rFonts w:ascii="Calibri" w:cs="Calibri" w:eastAsia="Calibri" w:hAnsi="Calibri"/>
          <w:color w:val="4B5563"/>
          <w:sz w:val="21"/>
          <w:szCs w:val="21"/>
        </w:rPr>
        <w:t xml:space="preserve">Disparate sources wired point-to-point produce an N×M integration mess that grows with every addition.</w:t>
      </w:r>
    </w:p>
    <w:p>
      <w:pPr>
        <w:spacing w:after="120" w:before="0" w:line="276"/>
      </w:pPr>
      <w:r>
        <w:rPr>
          <w:rFonts w:ascii="Calibri" w:cs="Calibri" w:eastAsia="Calibri" w:hAnsi="Calibri"/>
          <w:b/>
          <w:bCs/>
          <w:color w:val="111827"/>
          <w:sz w:val="21"/>
          <w:szCs w:val="21"/>
        </w:rPr>
        <w:t xml:space="preserve">Decision.  </w:t>
      </w:r>
      <w:r>
        <w:rPr>
          <w:rFonts w:ascii="Calibri" w:cs="Calibri" w:eastAsia="Calibri" w:hAnsi="Calibri"/>
          <w:color w:val="4B5563"/>
          <w:sz w:val="21"/>
          <w:szCs w:val="21"/>
        </w:rPr>
        <w:t xml:space="preserve">Map each source once to a canonical model; publish versioned contracts through a schema registry; consumers read the canonical form.</w:t>
      </w:r>
    </w:p>
    <w:p>
      <w:pPr>
        <w:spacing w:after="40" w:before="0" w:line="276"/>
      </w:pPr>
      <w:r>
        <w:rPr>
          <w:rFonts w:ascii="Calibri" w:cs="Calibri" w:eastAsia="Calibri" w:hAnsi="Calibri"/>
          <w:b/>
          <w:bCs/>
          <w:color w:val="111827"/>
          <w:sz w:val="21"/>
          <w:szCs w:val="21"/>
        </w:rPr>
        <w:t xml:space="preserve">Consequences.</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N×M collapses to N+M.</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New sources and consumers integrate against one contract.</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Data quality and lineage solved once.</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Upfront modeling effort before the first decision ships.</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Requires governance to keep the model backward-compatible.</w:t>
      </w:r>
    </w:p>
    <w:p>
      <w:pPr>
        <w:spacing w:after="120" w:before="0" w:line="276"/>
      </w:pPr>
      <w:r>
        <w:rPr>
          <w:rFonts w:ascii="Calibri" w:cs="Calibri" w:eastAsia="Calibri" w:hAnsi="Calibri"/>
          <w:b/>
          <w:bCs/>
          <w:color w:val="111827"/>
          <w:sz w:val="21"/>
          <w:szCs w:val="21"/>
        </w:rPr>
        <w:t xml:space="preserve">→ AI enablement.  </w:t>
      </w:r>
      <w:r>
        <w:rPr>
          <w:rFonts w:ascii="Calibri" w:cs="Calibri" w:eastAsia="Calibri" w:hAnsi="Calibri"/>
          <w:color w:val="4B5563"/>
          <w:sz w:val="21"/>
          <w:szCs w:val="21"/>
        </w:rPr>
        <w:t xml:space="preserve">The canonical substrate is both the training set and the real-time feature source — the hardest AI prerequisite, satisfied by default.</w:t>
      </w:r>
    </w:p>
    <w:p>
      <w:pPr>
        <w:spacing w:after="60"/>
      </w:pPr>
    </w:p>
    <w:p>
      <w:pPr>
        <w:pStyle w:val="Heading2"/>
        <w:spacing w:after="90" w:before="220"/>
      </w:pPr>
      <w:r>
        <w:rPr>
          <w:rFonts w:ascii="Calibri" w:cs="Calibri" w:eastAsia="Calibri" w:hAnsi="Calibri"/>
          <w:b/>
          <w:bCs/>
          <w:color w:val="111827"/>
          <w:sz w:val="25"/>
          <w:szCs w:val="25"/>
        </w:rPr>
        <w:t xml:space="preserve">ADR-003 — Event-driven backbone as the primary integration contract</w:t>
      </w:r>
    </w:p>
    <w:p>
      <w:pPr>
        <w:spacing w:after="120" w:before="0" w:line="276"/>
      </w:pPr>
      <w:r>
        <w:rPr>
          <w:rFonts w:ascii="Calibri" w:cs="Calibri" w:eastAsia="Calibri" w:hAnsi="Calibri"/>
          <w:b/>
          <w:bCs/>
          <w:color w:val="111827"/>
          <w:sz w:val="21"/>
          <w:szCs w:val="21"/>
        </w:rPr>
        <w:t xml:space="preserve">Status.  </w:t>
      </w:r>
      <w:r>
        <w:rPr>
          <w:rFonts w:ascii="Calibri" w:cs="Calibri" w:eastAsia="Calibri" w:hAnsi="Calibri"/>
          <w:color w:val="4B5563"/>
          <w:sz w:val="21"/>
          <w:szCs w:val="21"/>
        </w:rPr>
        <w:t xml:space="preserve">Accepted.</w:t>
      </w:r>
    </w:p>
    <w:p>
      <w:pPr>
        <w:spacing w:after="120" w:before="0" w:line="276"/>
      </w:pPr>
      <w:r>
        <w:rPr>
          <w:rFonts w:ascii="Calibri" w:cs="Calibri" w:eastAsia="Calibri" w:hAnsi="Calibri"/>
          <w:b/>
          <w:bCs/>
          <w:color w:val="111827"/>
          <w:sz w:val="21"/>
          <w:szCs w:val="21"/>
        </w:rPr>
        <w:t xml:space="preserve">Context.  </w:t>
      </w:r>
      <w:r>
        <w:rPr>
          <w:rFonts w:ascii="Calibri" w:cs="Calibri" w:eastAsia="Calibri" w:hAnsi="Calibri"/>
          <w:color w:val="4B5563"/>
          <w:sz w:val="21"/>
          <w:szCs w:val="21"/>
        </w:rPr>
        <w:t xml:space="preserve">Direct service-to-service calls couple producers and consumers and make new integrations invasive.</w:t>
      </w:r>
    </w:p>
    <w:p>
      <w:pPr>
        <w:spacing w:after="120" w:before="0" w:line="276"/>
      </w:pPr>
      <w:r>
        <w:rPr>
          <w:rFonts w:ascii="Calibri" w:cs="Calibri" w:eastAsia="Calibri" w:hAnsi="Calibri"/>
          <w:b/>
          <w:bCs/>
          <w:color w:val="111827"/>
          <w:sz w:val="21"/>
          <w:szCs w:val="21"/>
        </w:rPr>
        <w:t xml:space="preserve">Decision.  </w:t>
      </w:r>
      <w:r>
        <w:rPr>
          <w:rFonts w:ascii="Calibri" w:cs="Calibri" w:eastAsia="Calibri" w:hAnsi="Calibri"/>
          <w:color w:val="4B5563"/>
          <w:sz w:val="21"/>
          <w:szCs w:val="21"/>
        </w:rPr>
        <w:t xml:space="preserve">Producers publish domain events to a durable bus; consumers subscribe. The core flow contains no direct calls.</w:t>
      </w:r>
    </w:p>
    <w:p>
      <w:pPr>
        <w:spacing w:after="40" w:before="0" w:line="276"/>
      </w:pPr>
      <w:r>
        <w:rPr>
          <w:rFonts w:ascii="Calibri" w:cs="Calibri" w:eastAsia="Calibri" w:hAnsi="Calibri"/>
          <w:b/>
          <w:bCs/>
          <w:color w:val="111827"/>
          <w:sz w:val="21"/>
          <w:szCs w:val="21"/>
        </w:rPr>
        <w:t xml:space="preserve">Consequences.</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Adding a consumer touches no producer.</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The event log is an audit trail and a rebuild button.</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Natural back-pressure and spike absorption.</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Eventual consistency must be designed for.</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Debugging spans asynchronous boundaries; needs good tracing.</w:t>
      </w:r>
    </w:p>
    <w:p>
      <w:pPr>
        <w:spacing w:after="120" w:before="0" w:line="276"/>
      </w:pPr>
      <w:r>
        <w:rPr>
          <w:rFonts w:ascii="Calibri" w:cs="Calibri" w:eastAsia="Calibri" w:hAnsi="Calibri"/>
          <w:b/>
          <w:bCs/>
          <w:color w:val="111827"/>
          <w:sz w:val="21"/>
          <w:szCs w:val="21"/>
        </w:rPr>
        <w:t xml:space="preserve">→ AI enablement.  </w:t>
      </w:r>
      <w:r>
        <w:rPr>
          <w:rFonts w:ascii="Calibri" w:cs="Calibri" w:eastAsia="Calibri" w:hAnsi="Calibri"/>
          <w:color w:val="4B5563"/>
          <w:sz w:val="21"/>
          <w:szCs w:val="21"/>
        </w:rPr>
        <w:t xml:space="preserve">Real-time inference and event-triggered agents attach as ordinary subscribers — no new pathway required.</w:t>
      </w:r>
    </w:p>
    <w:p>
      <w:pPr>
        <w:spacing w:after="60"/>
      </w:pPr>
    </w:p>
    <w:p>
      <w:pPr>
        <w:pStyle w:val="Heading2"/>
        <w:spacing w:after="90" w:before="220"/>
      </w:pPr>
      <w:r>
        <w:rPr>
          <w:rFonts w:ascii="Calibri" w:cs="Calibri" w:eastAsia="Calibri" w:hAnsi="Calibri"/>
          <w:b/>
          <w:bCs/>
          <w:color w:val="111827"/>
          <w:sz w:val="25"/>
          <w:szCs w:val="25"/>
        </w:rPr>
        <w:t xml:space="preserve">ADR-004 — Decompose along risk-domain microservice boundaries</w:t>
      </w:r>
    </w:p>
    <w:p>
      <w:pPr>
        <w:spacing w:after="120" w:before="0" w:line="276"/>
      </w:pPr>
      <w:r>
        <w:rPr>
          <w:rFonts w:ascii="Calibri" w:cs="Calibri" w:eastAsia="Calibri" w:hAnsi="Calibri"/>
          <w:b/>
          <w:bCs/>
          <w:color w:val="111827"/>
          <w:sz w:val="21"/>
          <w:szCs w:val="21"/>
        </w:rPr>
        <w:t xml:space="preserve">Status.  </w:t>
      </w:r>
      <w:r>
        <w:rPr>
          <w:rFonts w:ascii="Calibri" w:cs="Calibri" w:eastAsia="Calibri" w:hAnsi="Calibri"/>
          <w:color w:val="4B5563"/>
          <w:sz w:val="21"/>
          <w:szCs w:val="21"/>
        </w:rPr>
        <w:t xml:space="preserve">Accepted.</w:t>
      </w:r>
    </w:p>
    <w:p>
      <w:pPr>
        <w:spacing w:after="120" w:before="0" w:line="276"/>
      </w:pPr>
      <w:r>
        <w:rPr>
          <w:rFonts w:ascii="Calibri" w:cs="Calibri" w:eastAsia="Calibri" w:hAnsi="Calibri"/>
          <w:b/>
          <w:bCs/>
          <w:color w:val="111827"/>
          <w:sz w:val="21"/>
          <w:szCs w:val="21"/>
        </w:rPr>
        <w:t xml:space="preserve">Context.  </w:t>
      </w:r>
      <w:r>
        <w:rPr>
          <w:rFonts w:ascii="Calibri" w:cs="Calibri" w:eastAsia="Calibri" w:hAnsi="Calibri"/>
          <w:color w:val="4B5563"/>
          <w:sz w:val="21"/>
          <w:szCs w:val="21"/>
        </w:rPr>
        <w:t xml:space="preserve">A monolithic risk engine is hard to reason about, scale selectively, or evolve implementation-by-implementation.</w:t>
      </w:r>
    </w:p>
    <w:p>
      <w:pPr>
        <w:spacing w:after="120" w:before="0" w:line="276"/>
      </w:pPr>
      <w:r>
        <w:rPr>
          <w:rFonts w:ascii="Calibri" w:cs="Calibri" w:eastAsia="Calibri" w:hAnsi="Calibri"/>
          <w:b/>
          <w:bCs/>
          <w:color w:val="111827"/>
          <w:sz w:val="21"/>
          <w:szCs w:val="21"/>
        </w:rPr>
        <w:t xml:space="preserve">Decision.  </w:t>
      </w:r>
      <w:r>
        <w:rPr>
          <w:rFonts w:ascii="Calibri" w:cs="Calibri" w:eastAsia="Calibri" w:hAnsi="Calibri"/>
          <w:color w:val="4B5563"/>
          <w:sz w:val="21"/>
          <w:szCs w:val="21"/>
        </w:rPr>
        <w:t xml:space="preserve">Split into bounded services (ingestion, enrichment, decisioning, case-mgmt, notify), each owning its data behind a stable contract.</w:t>
      </w:r>
    </w:p>
    <w:p>
      <w:pPr>
        <w:spacing w:after="40" w:before="0" w:line="276"/>
      </w:pPr>
      <w:r>
        <w:rPr>
          <w:rFonts w:ascii="Calibri" w:cs="Calibri" w:eastAsia="Calibri" w:hAnsi="Calibri"/>
          <w:b/>
          <w:bCs/>
          <w:color w:val="111827"/>
          <w:sz w:val="21"/>
          <w:szCs w:val="21"/>
        </w:rPr>
        <w:t xml:space="preserve">Consequences.</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Independent deploy, scale, and ownership.</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Implementations are swappable behind contracts.</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Failure is isolated per domain.</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Operational overhead of many services.</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Contract discipline is now load-bearing.</w:t>
      </w:r>
    </w:p>
    <w:p>
      <w:pPr>
        <w:spacing w:after="120" w:before="0" w:line="276"/>
      </w:pPr>
      <w:r>
        <w:rPr>
          <w:rFonts w:ascii="Calibri" w:cs="Calibri" w:eastAsia="Calibri" w:hAnsi="Calibri"/>
          <w:b/>
          <w:bCs/>
          <w:color w:val="111827"/>
          <w:sz w:val="21"/>
          <w:szCs w:val="21"/>
        </w:rPr>
        <w:t xml:space="preserve">→ AI enablement.  </w:t>
      </w:r>
      <w:r>
        <w:rPr>
          <w:rFonts w:ascii="Calibri" w:cs="Calibri" w:eastAsia="Calibri" w:hAnsi="Calibri"/>
          <w:color w:val="4B5563"/>
          <w:sz w:val="21"/>
          <w:szCs w:val="21"/>
        </w:rPr>
        <w:t xml:space="preserve">Swap a rules service for an ML or LLM service behind the same contract; shadow it before promotion.</w:t>
      </w:r>
    </w:p>
    <w:p>
      <w:pPr>
        <w:spacing w:after="60"/>
      </w:pPr>
    </w:p>
    <w:p>
      <w:pPr>
        <w:pStyle w:val="Heading2"/>
        <w:spacing w:after="90" w:before="220"/>
      </w:pPr>
      <w:r>
        <w:rPr>
          <w:rFonts w:ascii="Calibri" w:cs="Calibri" w:eastAsia="Calibri" w:hAnsi="Calibri"/>
          <w:b/>
          <w:bCs/>
          <w:color w:val="111827"/>
          <w:sz w:val="25"/>
          <w:szCs w:val="25"/>
        </w:rPr>
        <w:t xml:space="preserve">ADR-005 — Compose the operations console from micro-frontends</w:t>
      </w:r>
    </w:p>
    <w:p>
      <w:pPr>
        <w:spacing w:after="120" w:before="0" w:line="276"/>
      </w:pPr>
      <w:r>
        <w:rPr>
          <w:rFonts w:ascii="Calibri" w:cs="Calibri" w:eastAsia="Calibri" w:hAnsi="Calibri"/>
          <w:b/>
          <w:bCs/>
          <w:color w:val="111827"/>
          <w:sz w:val="21"/>
          <w:szCs w:val="21"/>
        </w:rPr>
        <w:t xml:space="preserve">Status.  </w:t>
      </w:r>
      <w:r>
        <w:rPr>
          <w:rFonts w:ascii="Calibri" w:cs="Calibri" w:eastAsia="Calibri" w:hAnsi="Calibri"/>
          <w:color w:val="4B5563"/>
          <w:sz w:val="21"/>
          <w:szCs w:val="21"/>
        </w:rPr>
        <w:t xml:space="preserve">Accepted.</w:t>
      </w:r>
    </w:p>
    <w:p>
      <w:pPr>
        <w:spacing w:after="120" w:before="0" w:line="276"/>
      </w:pPr>
      <w:r>
        <w:rPr>
          <w:rFonts w:ascii="Calibri" w:cs="Calibri" w:eastAsia="Calibri" w:hAnsi="Calibri"/>
          <w:b/>
          <w:bCs/>
          <w:color w:val="111827"/>
          <w:sz w:val="21"/>
          <w:szCs w:val="21"/>
        </w:rPr>
        <w:t xml:space="preserve">Context.  </w:t>
      </w:r>
      <w:r>
        <w:rPr>
          <w:rFonts w:ascii="Calibri" w:cs="Calibri" w:eastAsia="Calibri" w:hAnsi="Calibri"/>
          <w:color w:val="4B5563"/>
          <w:sz w:val="21"/>
          <w:szCs w:val="21"/>
        </w:rPr>
        <w:t xml:space="preserve">A monolithic console couples unrelated UI teams and makes every addition a coordinated release.</w:t>
      </w:r>
    </w:p>
    <w:p>
      <w:pPr>
        <w:spacing w:after="120" w:before="0" w:line="276"/>
      </w:pPr>
      <w:r>
        <w:rPr>
          <w:rFonts w:ascii="Calibri" w:cs="Calibri" w:eastAsia="Calibri" w:hAnsi="Calibri"/>
          <w:b/>
          <w:bCs/>
          <w:color w:val="111827"/>
          <w:sz w:val="21"/>
          <w:szCs w:val="21"/>
        </w:rPr>
        <w:t xml:space="preserve">Decision.  </w:t>
      </w:r>
      <w:r>
        <w:rPr>
          <w:rFonts w:ascii="Calibri" w:cs="Calibri" w:eastAsia="Calibri" w:hAnsi="Calibri"/>
          <w:color w:val="4B5563"/>
          <w:sz w:val="21"/>
          <w:szCs w:val="21"/>
        </w:rPr>
        <w:t xml:space="preserve">Assemble the console from independently shipped UI modules on a shared shell.</w:t>
      </w:r>
    </w:p>
    <w:p>
      <w:pPr>
        <w:spacing w:after="40" w:before="0" w:line="276"/>
      </w:pPr>
      <w:r>
        <w:rPr>
          <w:rFonts w:ascii="Calibri" w:cs="Calibri" w:eastAsia="Calibri" w:hAnsi="Calibri"/>
          <w:b/>
          <w:bCs/>
          <w:color w:val="111827"/>
          <w:sz w:val="21"/>
          <w:szCs w:val="21"/>
        </w:rPr>
        <w:t xml:space="preserve">Consequences.</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UI teams ship independently.</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New tools drop in without a platform release.</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Clear ownership per surface.</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Shell/versioning contract to maintain.</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Cross-module consistency needs a design system.</w:t>
      </w:r>
    </w:p>
    <w:p>
      <w:pPr>
        <w:spacing w:after="120" w:before="0" w:line="276"/>
      </w:pPr>
      <w:r>
        <w:rPr>
          <w:rFonts w:ascii="Calibri" w:cs="Calibri" w:eastAsia="Calibri" w:hAnsi="Calibri"/>
          <w:b/>
          <w:bCs/>
          <w:color w:val="111827"/>
          <w:sz w:val="21"/>
          <w:szCs w:val="21"/>
        </w:rPr>
        <w:t xml:space="preserve">→ AI enablement.  </w:t>
      </w:r>
      <w:r>
        <w:rPr>
          <w:rFonts w:ascii="Calibri" w:cs="Calibri" w:eastAsia="Calibri" w:hAnsi="Calibri"/>
          <w:color w:val="4B5563"/>
          <w:sz w:val="21"/>
          <w:szCs w:val="21"/>
        </w:rPr>
        <w:t xml:space="preserve">An AI-assist panel or analyst copilot composes into the console beside existing modules with no rewrite.</w:t>
      </w:r>
    </w:p>
    <w:p>
      <w:pPr>
        <w:spacing w:after="60"/>
      </w:pPr>
    </w:p>
    <w:p>
      <w:pPr>
        <w:pStyle w:val="Heading2"/>
        <w:spacing w:after="90" w:before="220"/>
      </w:pPr>
      <w:r>
        <w:rPr>
          <w:rFonts w:ascii="Calibri" w:cs="Calibri" w:eastAsia="Calibri" w:hAnsi="Calibri"/>
          <w:b/>
          <w:bCs/>
          <w:color w:val="111827"/>
          <w:sz w:val="25"/>
          <w:szCs w:val="25"/>
        </w:rPr>
        <w:t xml:space="preserve">ADR-006 — Feature store with point-in-time correctness (online + offline)</w:t>
      </w:r>
    </w:p>
    <w:p>
      <w:pPr>
        <w:spacing w:after="120" w:before="0" w:line="276"/>
      </w:pPr>
      <w:r>
        <w:rPr>
          <w:rFonts w:ascii="Calibri" w:cs="Calibri" w:eastAsia="Calibri" w:hAnsi="Calibri"/>
          <w:b/>
          <w:bCs/>
          <w:color w:val="111827"/>
          <w:sz w:val="21"/>
          <w:szCs w:val="21"/>
        </w:rPr>
        <w:t xml:space="preserve">Status.  </w:t>
      </w:r>
      <w:r>
        <w:rPr>
          <w:rFonts w:ascii="Calibri" w:cs="Calibri" w:eastAsia="Calibri" w:hAnsi="Calibri"/>
          <w:color w:val="4B5563"/>
          <w:sz w:val="21"/>
          <w:szCs w:val="21"/>
        </w:rPr>
        <w:t xml:space="preserve">Accepted.</w:t>
      </w:r>
    </w:p>
    <w:p>
      <w:pPr>
        <w:spacing w:after="120" w:before="0" w:line="276"/>
      </w:pPr>
      <w:r>
        <w:rPr>
          <w:rFonts w:ascii="Calibri" w:cs="Calibri" w:eastAsia="Calibri" w:hAnsi="Calibri"/>
          <w:b/>
          <w:bCs/>
          <w:color w:val="111827"/>
          <w:sz w:val="21"/>
          <w:szCs w:val="21"/>
        </w:rPr>
        <w:t xml:space="preserve">Context.  </w:t>
      </w:r>
      <w:r>
        <w:rPr>
          <w:rFonts w:ascii="Calibri" w:cs="Calibri" w:eastAsia="Calibri" w:hAnsi="Calibri"/>
          <w:color w:val="4B5563"/>
          <w:sz w:val="21"/>
          <w:szCs w:val="21"/>
        </w:rPr>
        <w:t xml:space="preserve">Models fail silently when training sees data the decision could not have seen (train/serve skew).</w:t>
      </w:r>
    </w:p>
    <w:p>
      <w:pPr>
        <w:spacing w:after="120" w:before="0" w:line="276"/>
      </w:pPr>
      <w:r>
        <w:rPr>
          <w:rFonts w:ascii="Calibri" w:cs="Calibri" w:eastAsia="Calibri" w:hAnsi="Calibri"/>
          <w:b/>
          <w:bCs/>
          <w:color w:val="111827"/>
          <w:sz w:val="21"/>
          <w:szCs w:val="21"/>
        </w:rPr>
        <w:t xml:space="preserve">Decision.  </w:t>
      </w:r>
      <w:r>
        <w:rPr>
          <w:rFonts w:ascii="Calibri" w:cs="Calibri" w:eastAsia="Calibri" w:hAnsi="Calibri"/>
          <w:color w:val="4B5563"/>
          <w:sz w:val="21"/>
          <w:szCs w:val="21"/>
        </w:rPr>
        <w:t xml:space="preserve">Serve features from an online store at decision time and an offline store for training, sharing definitions and enforcing point-in-time joins.</w:t>
      </w:r>
    </w:p>
    <w:p>
      <w:pPr>
        <w:spacing w:after="40" w:before="0" w:line="276"/>
      </w:pPr>
      <w:r>
        <w:rPr>
          <w:rFonts w:ascii="Calibri" w:cs="Calibri" w:eastAsia="Calibri" w:hAnsi="Calibri"/>
          <w:b/>
          <w:bCs/>
          <w:color w:val="111827"/>
          <w:sz w:val="21"/>
          <w:szCs w:val="21"/>
        </w:rPr>
        <w:t xml:space="preserve">Consequences.</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Consistent features across training and serving.</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Sub-second online reads for inline decisions.</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Reproducible back-tests.</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Feature store is now critical infrastructure to operate.</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Definition governance required to avoid drift.</w:t>
      </w:r>
    </w:p>
    <w:p>
      <w:pPr>
        <w:spacing w:after="120" w:before="0" w:line="276"/>
      </w:pPr>
      <w:r>
        <w:rPr>
          <w:rFonts w:ascii="Calibri" w:cs="Calibri" w:eastAsia="Calibri" w:hAnsi="Calibri"/>
          <w:b/>
          <w:bCs/>
          <w:color w:val="111827"/>
          <w:sz w:val="21"/>
          <w:szCs w:val="21"/>
        </w:rPr>
        <w:t xml:space="preserve">→ AI enablement.  </w:t>
      </w:r>
      <w:r>
        <w:rPr>
          <w:rFonts w:ascii="Calibri" w:cs="Calibri" w:eastAsia="Calibri" w:hAnsi="Calibri"/>
          <w:color w:val="4B5563"/>
          <w:sz w:val="21"/>
          <w:szCs w:val="21"/>
        </w:rPr>
        <w:t xml:space="preserve">Real-time features for inference and historical features for training come from one governed source — no bespoke AI data pipeline.</w:t>
      </w:r>
    </w:p>
    <w:p>
      <w:pPr>
        <w:spacing w:after="60"/>
      </w:pPr>
    </w:p>
    <w:p>
      <w:pPr>
        <w:pStyle w:val="Heading2"/>
        <w:spacing w:after="90" w:before="220"/>
      </w:pPr>
      <w:r>
        <w:rPr>
          <w:rFonts w:ascii="Calibri" w:cs="Calibri" w:eastAsia="Calibri" w:hAnsi="Calibri"/>
          <w:b/>
          <w:bCs/>
          <w:color w:val="111827"/>
          <w:sz w:val="25"/>
          <w:szCs w:val="25"/>
        </w:rPr>
        <w:t xml:space="preserve">ADR-007 — AI capabilities integrate at existing seams</w:t>
      </w:r>
    </w:p>
    <w:p>
      <w:pPr>
        <w:spacing w:after="120" w:before="0" w:line="276"/>
      </w:pPr>
      <w:r>
        <w:rPr>
          <w:rFonts w:ascii="Calibri" w:cs="Calibri" w:eastAsia="Calibri" w:hAnsi="Calibri"/>
          <w:b/>
          <w:bCs/>
          <w:color w:val="111827"/>
          <w:sz w:val="21"/>
          <w:szCs w:val="21"/>
        </w:rPr>
        <w:t xml:space="preserve">Status.  </w:t>
      </w:r>
      <w:r>
        <w:rPr>
          <w:rFonts w:ascii="Calibri" w:cs="Calibri" w:eastAsia="Calibri" w:hAnsi="Calibri"/>
          <w:color w:val="4B5563"/>
          <w:sz w:val="21"/>
          <w:szCs w:val="21"/>
        </w:rPr>
        <w:t xml:space="preserve">Accepted.</w:t>
      </w:r>
    </w:p>
    <w:p>
      <w:pPr>
        <w:spacing w:after="120" w:before="0" w:line="276"/>
      </w:pPr>
      <w:r>
        <w:rPr>
          <w:rFonts w:ascii="Calibri" w:cs="Calibri" w:eastAsia="Calibri" w:hAnsi="Calibri"/>
          <w:b/>
          <w:bCs/>
          <w:color w:val="111827"/>
          <w:sz w:val="21"/>
          <w:szCs w:val="21"/>
        </w:rPr>
        <w:t xml:space="preserve">Context.  </w:t>
      </w:r>
      <w:r>
        <w:rPr>
          <w:rFonts w:ascii="Calibri" w:cs="Calibri" w:eastAsia="Calibri" w:hAnsi="Calibri"/>
          <w:color w:val="4B5563"/>
          <w:sz w:val="21"/>
          <w:szCs w:val="21"/>
        </w:rPr>
        <w:t xml:space="preserve">Bolting AI on as a separate stack duplicates data plumbing and bypasses governance.</w:t>
      </w:r>
    </w:p>
    <w:p>
      <w:pPr>
        <w:spacing w:after="120" w:before="0" w:line="276"/>
      </w:pPr>
      <w:r>
        <w:rPr>
          <w:rFonts w:ascii="Calibri" w:cs="Calibri" w:eastAsia="Calibri" w:hAnsi="Calibri"/>
          <w:b/>
          <w:bCs/>
          <w:color w:val="111827"/>
          <w:sz w:val="21"/>
          <w:szCs w:val="21"/>
        </w:rPr>
        <w:t xml:space="preserve">Decision.  </w:t>
      </w:r>
      <w:r>
        <w:rPr>
          <w:rFonts w:ascii="Calibri" w:cs="Calibri" w:eastAsia="Calibri" w:hAnsi="Calibri"/>
          <w:color w:val="4B5563"/>
          <w:sz w:val="21"/>
          <w:szCs w:val="21"/>
        </w:rPr>
        <w:t xml:space="preserve">Require AI features to attach at existing seams (events, service contracts, workflow states, console shell) rather than new bespoke pipelines.</w:t>
      </w:r>
    </w:p>
    <w:p>
      <w:pPr>
        <w:spacing w:after="40" w:before="0" w:line="276"/>
      </w:pPr>
      <w:r>
        <w:rPr>
          <w:rFonts w:ascii="Calibri" w:cs="Calibri" w:eastAsia="Calibri" w:hAnsi="Calibri"/>
          <w:b/>
          <w:bCs/>
          <w:color w:val="111827"/>
          <w:sz w:val="21"/>
          <w:szCs w:val="21"/>
        </w:rPr>
        <w:t xml:space="preserve">Consequences.</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AI inherits data, contracts, and governance for free.</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AI becomes an integration, not a rewrite.</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Reversible per seam.</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Constrains some AI designs to platform contracts.</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Requires the seams to exist first.</w:t>
      </w:r>
    </w:p>
    <w:p>
      <w:pPr>
        <w:spacing w:after="120" w:before="0" w:line="276"/>
      </w:pPr>
      <w:r>
        <w:rPr>
          <w:rFonts w:ascii="Calibri" w:cs="Calibri" w:eastAsia="Calibri" w:hAnsi="Calibri"/>
          <w:b/>
          <w:bCs/>
          <w:color w:val="111827"/>
          <w:sz w:val="21"/>
          <w:szCs w:val="21"/>
        </w:rPr>
        <w:t xml:space="preserve">→ AI enablement.  </w:t>
      </w:r>
      <w:r>
        <w:rPr>
          <w:rFonts w:ascii="Calibri" w:cs="Calibri" w:eastAsia="Calibri" w:hAnsi="Calibri"/>
          <w:color w:val="4B5563"/>
          <w:sz w:val="21"/>
          <w:szCs w:val="21"/>
        </w:rPr>
        <w:t xml:space="preserve">This ADR is the AI strategy: the prior six decisions are the enabling investments.</w:t>
      </w:r>
    </w:p>
    <w:p>
      <w:pPr>
        <w:spacing w:after="60"/>
      </w:pPr>
    </w:p>
    <w:p>
      <w:pPr>
        <w:pStyle w:val="Heading2"/>
        <w:spacing w:after="90" w:before="220"/>
      </w:pPr>
      <w:r>
        <w:rPr>
          <w:rFonts w:ascii="Calibri" w:cs="Calibri" w:eastAsia="Calibri" w:hAnsi="Calibri"/>
          <w:b/>
          <w:bCs/>
          <w:color w:val="111827"/>
          <w:sz w:val="25"/>
          <w:szCs w:val="25"/>
        </w:rPr>
        <w:t xml:space="preserve">ADR-008 — Governance, explainability, and audit as cross-cutting services</w:t>
      </w:r>
    </w:p>
    <w:p>
      <w:pPr>
        <w:spacing w:after="120" w:before="0" w:line="276"/>
      </w:pPr>
      <w:r>
        <w:rPr>
          <w:rFonts w:ascii="Calibri" w:cs="Calibri" w:eastAsia="Calibri" w:hAnsi="Calibri"/>
          <w:b/>
          <w:bCs/>
          <w:color w:val="111827"/>
          <w:sz w:val="21"/>
          <w:szCs w:val="21"/>
        </w:rPr>
        <w:t xml:space="preserve">Status.  </w:t>
      </w:r>
      <w:r>
        <w:rPr>
          <w:rFonts w:ascii="Calibri" w:cs="Calibri" w:eastAsia="Calibri" w:hAnsi="Calibri"/>
          <w:color w:val="4B5563"/>
          <w:sz w:val="21"/>
          <w:szCs w:val="21"/>
        </w:rPr>
        <w:t xml:space="preserve">Accepted.</w:t>
      </w:r>
    </w:p>
    <w:p>
      <w:pPr>
        <w:spacing w:after="120" w:before="0" w:line="276"/>
      </w:pPr>
      <w:r>
        <w:rPr>
          <w:rFonts w:ascii="Calibri" w:cs="Calibri" w:eastAsia="Calibri" w:hAnsi="Calibri"/>
          <w:b/>
          <w:bCs/>
          <w:color w:val="111827"/>
          <w:sz w:val="21"/>
          <w:szCs w:val="21"/>
        </w:rPr>
        <w:t xml:space="preserve">Context.  </w:t>
      </w:r>
      <w:r>
        <w:rPr>
          <w:rFonts w:ascii="Calibri" w:cs="Calibri" w:eastAsia="Calibri" w:hAnsi="Calibri"/>
          <w:color w:val="4B5563"/>
          <w:sz w:val="21"/>
          <w:szCs w:val="21"/>
        </w:rPr>
        <w:t xml:space="preserve">Re-implementing reason codes, audit, and policy per team is inconsistent and audit-fragile.</w:t>
      </w:r>
    </w:p>
    <w:p>
      <w:pPr>
        <w:spacing w:after="120" w:before="0" w:line="276"/>
      </w:pPr>
      <w:r>
        <w:rPr>
          <w:rFonts w:ascii="Calibri" w:cs="Calibri" w:eastAsia="Calibri" w:hAnsi="Calibri"/>
          <w:b/>
          <w:bCs/>
          <w:color w:val="111827"/>
          <w:sz w:val="21"/>
          <w:szCs w:val="21"/>
        </w:rPr>
        <w:t xml:space="preserve">Decision.  </w:t>
      </w:r>
      <w:r>
        <w:rPr>
          <w:rFonts w:ascii="Calibri" w:cs="Calibri" w:eastAsia="Calibri" w:hAnsi="Calibri"/>
          <w:color w:val="4B5563"/>
          <w:sz w:val="21"/>
          <w:szCs w:val="21"/>
        </w:rPr>
        <w:t xml:space="preserve">Provide explainability, immutable audit, and policy enforcement as shared platform services wrapping every decision.</w:t>
      </w:r>
    </w:p>
    <w:p>
      <w:pPr>
        <w:spacing w:after="40" w:before="0" w:line="276"/>
      </w:pPr>
      <w:r>
        <w:rPr>
          <w:rFonts w:ascii="Calibri" w:cs="Calibri" w:eastAsia="Calibri" w:hAnsi="Calibri"/>
          <w:b/>
          <w:bCs/>
          <w:color w:val="111827"/>
          <w:sz w:val="21"/>
          <w:szCs w:val="21"/>
        </w:rPr>
        <w:t xml:space="preserve">Consequences.</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Uniform reason records and audit across all decisions.</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Compliance expectations met by construction.</w:t>
      </w:r>
    </w:p>
    <w:p>
      <w:pPr>
        <w:pStyle w:val="ListParagraph"/>
        <w:numPr>
          <w:ilvl w:val="0"/>
          <w:numId w:val="2"/>
        </w:numPr>
        <w:spacing w:after="60" w:line="264"/>
      </w:pPr>
      <w:r>
        <w:rPr>
          <w:rFonts w:ascii="Courier New" w:cs="Courier New" w:eastAsia="Courier New" w:hAnsi="Courier New"/>
          <w:b/>
          <w:bCs/>
          <w:color w:val="047857"/>
          <w:sz w:val="21"/>
          <w:szCs w:val="21"/>
        </w:rPr>
        <w:t xml:space="preserve">+ </w:t>
      </w:r>
      <w:r>
        <w:rPr>
          <w:rFonts w:ascii="Calibri" w:cs="Calibri" w:eastAsia="Calibri" w:hAnsi="Calibri"/>
          <w:color w:val="111827"/>
          <w:sz w:val="21"/>
          <w:szCs w:val="21"/>
        </w:rPr>
        <w:t xml:space="preserve">Policy-as-config per jurisdiction.</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Central services must not become a bottleneck.</w:t>
      </w:r>
    </w:p>
    <w:p>
      <w:pPr>
        <w:pStyle w:val="ListParagraph"/>
        <w:numPr>
          <w:ilvl w:val="0"/>
          <w:numId w:val="2"/>
        </w:numPr>
        <w:spacing w:after="60" w:line="264"/>
      </w:pPr>
      <w:r>
        <w:rPr>
          <w:rFonts w:ascii="Courier New" w:cs="Courier New" w:eastAsia="Courier New" w:hAnsi="Courier New"/>
          <w:b/>
          <w:bCs/>
          <w:color w:val="B91C1C"/>
          <w:sz w:val="21"/>
          <w:szCs w:val="21"/>
        </w:rPr>
        <w:t xml:space="preserve">− </w:t>
      </w:r>
      <w:r>
        <w:rPr>
          <w:rFonts w:ascii="Calibri" w:cs="Calibri" w:eastAsia="Calibri" w:hAnsi="Calibri"/>
          <w:color w:val="111827"/>
          <w:sz w:val="21"/>
          <w:szCs w:val="21"/>
        </w:rPr>
        <w:t xml:space="preserve">Requires disciplined contracts for what every decision emits.</w:t>
      </w:r>
    </w:p>
    <w:p>
      <w:pPr>
        <w:spacing w:after="120" w:before="0" w:line="276"/>
      </w:pPr>
      <w:r>
        <w:rPr>
          <w:rFonts w:ascii="Calibri" w:cs="Calibri" w:eastAsia="Calibri" w:hAnsi="Calibri"/>
          <w:b/>
          <w:bCs/>
          <w:color w:val="111827"/>
          <w:sz w:val="21"/>
          <w:szCs w:val="21"/>
        </w:rPr>
        <w:t xml:space="preserve">→ AI enablement.  </w:t>
      </w:r>
      <w:r>
        <w:rPr>
          <w:rFonts w:ascii="Calibri" w:cs="Calibri" w:eastAsia="Calibri" w:hAnsi="Calibri"/>
          <w:color w:val="4B5563"/>
          <w:sz w:val="21"/>
          <w:szCs w:val="21"/>
        </w:rPr>
        <w:t xml:space="preserve">Every AI-assisted decision inherits reason codes, audit, and human-in-the-loop guardrails automatically.</w:t>
      </w:r>
    </w:p>
    <w:p>
      <w:pPr>
        <w:spacing w:after="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
    </w:r>
    <w:r>
      <w:rPr>
        <w:rFonts w:ascii="Calibri" w:cs="Calibri" w:eastAsia="Calibri" w:hAnsi="Calibri"/>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9CA3AF"/>
        <w:sz w:val="16"/>
        <w:szCs w:val="16"/>
      </w:rPr>
      <w:t xml:space="preserve">Risk Platform — Reference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c458cae90ce9fb966d980bce4992bda9bbf7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Platform — Reference Architecture</dc:title>
  <dc:creator>Lakshmi Narayana Rasalay</dc:creator>
  <cp:lastModifiedBy>Un-named</cp:lastModifiedBy>
  <cp:revision>1</cp:revision>
  <dcterms:created xsi:type="dcterms:W3CDTF">2026-07-28T01:53:05.035Z</dcterms:created>
  <dcterms:modified xsi:type="dcterms:W3CDTF">2026-07-28T01:53:05.072Z</dcterms:modified>
</cp:coreProperties>
</file>

<file path=docProps/custom.xml><?xml version="1.0" encoding="utf-8"?>
<Properties xmlns="http://schemas.openxmlformats.org/officeDocument/2006/custom-properties" xmlns:vt="http://schemas.openxmlformats.org/officeDocument/2006/docPropsVTypes"/>
</file>