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A comparative study of 25 European democracies</w:t>
      </w:r>
    </w:p>
    <w:p>
      <w:pPr>
        <w:pStyle w:val="Author"/>
      </w:pPr>
      <w:r>
        <w:t xml:space="preserve">Tristan Muno</w:t>
      </w:r>
    </w:p>
    <w:p>
      <w:pPr>
        <w:pStyle w:val="Author"/>
      </w:pPr>
      <w:r>
        <w:t xml:space="preserve">Thomas König</w:t>
      </w:r>
    </w:p>
    <w:p>
      <w:pPr>
        <w:pStyle w:val="Date"/>
      </w:pPr>
      <w:r>
        <w:t xml:space="preserve">January 16, 2026</w:t>
      </w:r>
    </w:p>
    <w:p>
      <w:pPr>
        <w:pStyle w:val="AbstractTitle"/>
      </w:pPr>
      <w:r>
        <w:t xml:space="preserve">Abstract</w:t>
      </w:r>
    </w:p>
    <w:p>
      <w:pPr>
        <w:pStyle w:val="Abstract"/>
      </w:pPr>
      <w:r>
        <w:t xml:space="preserve">Space for an abstract.</w:t>
      </w:r>
    </w:p>
    <w:p>
      <w:pPr>
        <w:pStyle w:val="FirstParagraph"/>
      </w:pPr>
      <w:r>
        <w:t xml:space="preserve">We term identifiers, non-identifiers, and non-partisans.</w:t>
      </w:r>
    </w:p>
    <w:bookmarkStart w:id="20" w:name="roadmap"/>
    <w:p>
      <w:pPr>
        <w:pStyle w:val="Heading2"/>
      </w:pPr>
      <w:r>
        <w:t xml:space="preserve">1 Roadmap</w:t>
      </w:r>
    </w:p>
    <w:p>
      <w:pPr>
        <w:pStyle w:val="FirstParagraph"/>
      </w:pPr>
      <w:r>
        <w:t xml:space="preserve">This study examines variation in affective polarization (AP) along</w:t>
      </w:r>
      <w:r>
        <w:t xml:space="preserve"> </w:t>
      </w:r>
      <w:r>
        <w:rPr>
          <w:b/>
          <w:bCs/>
        </w:rPr>
        <w:t xml:space="preserve">three analytically distinct dimensions</w:t>
      </w:r>
      <w:r>
        <w:t xml:space="preserve">:</w:t>
      </w:r>
    </w:p>
    <w:p>
      <w:pPr>
        <w:numPr>
          <w:ilvl w:val="0"/>
          <w:numId w:val="1001"/>
        </w:numPr>
      </w:pPr>
      <w:r>
        <w:rPr>
          <w:b/>
          <w:bCs/>
        </w:rPr>
        <w:t xml:space="preserve">Operationalization of partisanship</w:t>
      </w:r>
      <w:r>
        <w:br/>
      </w:r>
      <w:r>
        <w:t xml:space="preserve">Ingroup defined via</w:t>
      </w:r>
      <w:r>
        <w:t xml:space="preserve"> </w:t>
      </w:r>
      <w:r>
        <w:rPr>
          <w:b/>
          <w:bCs/>
        </w:rPr>
        <w:t xml:space="preserve">explicit partisan attachment</w:t>
      </w:r>
      <w:r>
        <w:t xml:space="preserve"> </w:t>
      </w:r>
      <w:r>
        <w:t xml:space="preserve">(identity-based) versus</w:t>
      </w:r>
      <w:r>
        <w:t xml:space="preserve"> </w:t>
      </w:r>
      <w:r>
        <w:rPr>
          <w:b/>
          <w:bCs/>
        </w:rPr>
        <w:t xml:space="preserve">vote intention/choice</w:t>
      </w:r>
      <w:r>
        <w:t xml:space="preserve"> </w:t>
      </w:r>
      <w:r>
        <w:t xml:space="preserve">(behavioral anchoring)</w:t>
      </w:r>
    </w:p>
    <w:p>
      <w:pPr>
        <w:numPr>
          <w:ilvl w:val="0"/>
          <w:numId w:val="1001"/>
        </w:numPr>
      </w:pPr>
      <w:r>
        <w:rPr>
          <w:b/>
          <w:bCs/>
        </w:rPr>
        <w:t xml:space="preserve">Measurement of polarization</w:t>
      </w:r>
      <w:r>
        <w:br/>
      </w:r>
      <w:r>
        <w:rPr>
          <w:b/>
          <w:bCs/>
        </w:rPr>
        <w:t xml:space="preserve">Attitudinal polarization</w:t>
      </w:r>
      <w:r>
        <w:t xml:space="preserve"> </w:t>
      </w:r>
      <w:r>
        <w:t xml:space="preserve">(thermometer-based measures) versus</w:t>
      </w:r>
      <w:r>
        <w:t xml:space="preserve"> </w:t>
      </w:r>
      <w:r>
        <w:rPr>
          <w:b/>
          <w:bCs/>
        </w:rPr>
        <w:t xml:space="preserve">behavioral polarization</w:t>
      </w:r>
      <w:r>
        <w:t xml:space="preserve"> </w:t>
      </w:r>
      <w:r>
        <w:t xml:space="preserve">(conjoint outcomes)</w:t>
      </w:r>
    </w:p>
    <w:p>
      <w:pPr>
        <w:numPr>
          <w:ilvl w:val="0"/>
          <w:numId w:val="1001"/>
        </w:numPr>
      </w:pPr>
      <w:r>
        <w:rPr>
          <w:b/>
          <w:bCs/>
        </w:rPr>
        <w:t xml:space="preserve">External validity and scope conditions</w:t>
      </w:r>
      <w:r>
        <w:br/>
      </w:r>
      <w:r>
        <w:t xml:space="preserve">Cross-national variation in the prevalence and distribution of partisan types across European democracies</w:t>
      </w:r>
    </w:p>
    <w:p>
      <w:r>
        <w:pict>
          <v:rect style="width:0;height:1.5pt" o:hralign="center" o:hrstd="t" o:hr="t"/>
        </w:pict>
      </w:r>
    </w:p>
    <w:bookmarkEnd w:id="20"/>
    <w:bookmarkStart w:id="28" w:name="empirical-strategy"/>
    <w:p>
      <w:pPr>
        <w:pStyle w:val="Heading2"/>
      </w:pPr>
      <w:r>
        <w:t xml:space="preserve">2 Empirical strategy</w:t>
      </w:r>
    </w:p>
    <w:bookmarkStart w:id="21" w:name="aggregate-european-level-patterns"/>
    <w:p>
      <w:pPr>
        <w:pStyle w:val="Heading3"/>
      </w:pPr>
      <w:r>
        <w:t xml:space="preserve">2.1 1. Aggregate (European-level) patterns</w:t>
      </w:r>
    </w:p>
    <w:p>
      <w:pPr>
        <w:pStyle w:val="FirstParagraph"/>
      </w:pPr>
      <w:r>
        <w:t xml:space="preserve">First, we establish</w:t>
      </w:r>
      <w:r>
        <w:t xml:space="preserve"> </w:t>
      </w:r>
      <w:r>
        <w:rPr>
          <w:b/>
          <w:bCs/>
        </w:rPr>
        <w:t xml:space="preserve">European-level benchmarks</w:t>
      </w:r>
      <w:r>
        <w:t xml:space="preserve"> </w:t>
      </w:r>
      <w:r>
        <w:t xml:space="preserve">of affective polarization, conditioning on</w:t>
      </w:r>
      <w:r>
        <w:t xml:space="preserve"> </w:t>
      </w:r>
      <w:r>
        <w:rPr>
          <w:b/>
          <w:bCs/>
        </w:rPr>
        <w:t xml:space="preserve">partisan status</w:t>
      </w:r>
      <w:r>
        <w:t xml:space="preserve"> </w:t>
      </w:r>
      <w:r>
        <w:t xml:space="preserve">and</w:t>
      </w:r>
      <w:r>
        <w:t xml:space="preserve"> </w:t>
      </w:r>
      <w:r>
        <w:rPr>
          <w:b/>
          <w:bCs/>
        </w:rPr>
        <w:t xml:space="preserve">measurement strategy</w:t>
      </w:r>
      <w:r>
        <w:t xml:space="preserve">.</w:t>
      </w:r>
    </w:p>
    <w:p>
      <w:pPr>
        <w:pStyle w:val="Compact"/>
        <w:numPr>
          <w:ilvl w:val="0"/>
          <w:numId w:val="1002"/>
        </w:numPr>
      </w:pPr>
      <w:r>
        <w:t xml:space="preserve">Outcome: Affective polarization</w:t>
      </w:r>
      <w:r>
        <w:br/>
      </w:r>
    </w:p>
    <w:p>
      <w:pPr>
        <w:pStyle w:val="Compact"/>
        <w:numPr>
          <w:ilvl w:val="0"/>
          <w:numId w:val="1002"/>
        </w:numPr>
      </w:pPr>
      <w:r>
        <w:t xml:space="preserve">X-axis: Magnitude of AP</w:t>
      </w:r>
      <w:r>
        <w:br/>
      </w:r>
    </w:p>
    <w:p>
      <w:pPr>
        <w:pStyle w:val="Compact"/>
        <w:numPr>
          <w:ilvl w:val="0"/>
          <w:numId w:val="1002"/>
        </w:numPr>
      </w:pPr>
      <w:r>
        <w:t xml:space="preserve">Y-axis: Measurement type (API, Wagner MD, CJ-based AP)</w:t>
      </w:r>
      <w:r>
        <w:br/>
      </w:r>
    </w:p>
    <w:p>
      <w:pPr>
        <w:pStyle w:val="Compact"/>
        <w:numPr>
          <w:ilvl w:val="0"/>
          <w:numId w:val="1002"/>
        </w:numPr>
      </w:pPr>
      <w:r>
        <w:t xml:space="preserve">Shape / color: Partisan type (explicit partisan, implicit partisan, nonpartisan)</w:t>
      </w:r>
    </w:p>
    <w:p>
      <w:pPr>
        <w:pStyle w:val="FirstParagraph"/>
      </w:pPr>
      <w:r>
        <w:rPr>
          <w:b/>
          <w:bCs/>
        </w:rPr>
        <w:t xml:space="preserve">Measurement logic</w:t>
      </w:r>
      <w:r>
        <w:t xml:space="preserve">:</w:t>
      </w:r>
    </w:p>
    <w:p>
      <w:pPr>
        <w:pStyle w:val="Compact"/>
        <w:numPr>
          <w:ilvl w:val="0"/>
          <w:numId w:val="1003"/>
        </w:numPr>
      </w:pPr>
      <w:r>
        <w:rPr>
          <w:b/>
          <w:bCs/>
        </w:rPr>
        <w:t xml:space="preserve">API and CJ-based AP</w:t>
      </w:r>
      <w:r>
        <w:t xml:space="preserve"> </w:t>
      </w:r>
      <w:r>
        <w:t xml:space="preserve">rely on</w:t>
      </w:r>
      <w:r>
        <w:t xml:space="preserve"> </w:t>
      </w:r>
      <w:r>
        <w:rPr>
          <w:i/>
          <w:iCs/>
        </w:rPr>
        <w:t xml:space="preserve">identity-based ingroup–outgroup definitions</w:t>
      </w:r>
      <w:r>
        <w:t xml:space="preserve"> </w:t>
      </w:r>
      <w:r>
        <w:t xml:space="preserve">and allow direct comparison between</w:t>
      </w:r>
      <w:r>
        <w:t xml:space="preserve"> </w:t>
      </w:r>
      <w:r>
        <w:rPr>
          <w:b/>
          <w:bCs/>
        </w:rPr>
        <w:t xml:space="preserve">attitudinal</w:t>
      </w:r>
      <w:r>
        <w:t xml:space="preserve"> </w:t>
      </w:r>
      <w:r>
        <w:t xml:space="preserve">and</w:t>
      </w:r>
      <w:r>
        <w:t xml:space="preserve"> </w:t>
      </w:r>
      <w:r>
        <w:rPr>
          <w:b/>
          <w:bCs/>
        </w:rPr>
        <w:t xml:space="preserve">behavioral</w:t>
      </w:r>
      <w:r>
        <w:t xml:space="preserve"> </w:t>
      </w:r>
      <w:r>
        <w:t xml:space="preserve">polarization.</w:t>
      </w:r>
    </w:p>
    <w:p>
      <w:pPr>
        <w:pStyle w:val="Compact"/>
        <w:numPr>
          <w:ilvl w:val="0"/>
          <w:numId w:val="1003"/>
        </w:numPr>
      </w:pPr>
      <w:r>
        <w:rPr>
          <w:b/>
          <w:bCs/>
        </w:rPr>
        <w:t xml:space="preserve">Wagner’s measures</w:t>
      </w:r>
      <w:r>
        <w:t xml:space="preserve"> </w:t>
      </w:r>
      <w:r>
        <w:t xml:space="preserve">capture</w:t>
      </w:r>
      <w:r>
        <w:t xml:space="preserve"> </w:t>
      </w:r>
      <w:r>
        <w:rPr>
          <w:i/>
          <w:iCs/>
        </w:rPr>
        <w:t xml:space="preserve">perceived system-level affective differentiation</w:t>
      </w:r>
      <w:r>
        <w:t xml:space="preserve"> </w:t>
      </w:r>
      <w:r>
        <w:t xml:space="preserve">and uniquely allow inclusion of</w:t>
      </w:r>
      <w:r>
        <w:t xml:space="preserve"> </w:t>
      </w:r>
      <w:r>
        <w:rPr>
          <w:b/>
          <w:bCs/>
        </w:rPr>
        <w:t xml:space="preserve">nonpartisans</w:t>
      </w:r>
      <w:r>
        <w:t xml:space="preserve">, providing a non-partisan baseline against which partisan polarization can be evaluated.</w:t>
      </w:r>
    </w:p>
    <w:p>
      <w:pPr>
        <w:pStyle w:val="FirstParagraph"/>
      </w:pPr>
      <w:r>
        <w:t xml:space="preserve">This step clarifies whether differences across partisan types reflect:</w:t>
      </w:r>
      <w:r>
        <w:t xml:space="preserve"> </w:t>
      </w:r>
      <w:r>
        <w:t xml:space="preserve">- ingroup bias,</w:t>
      </w:r>
      <w:r>
        <w:t xml:space="preserve"> </w:t>
      </w:r>
      <w:r>
        <w:t xml:space="preserve">- behavioral discrimination,</w:t>
      </w:r>
      <w:r>
        <w:t xml:space="preserve"> </w:t>
      </w:r>
      <w:r>
        <w:t xml:space="preserve">- or broader differences in perceived affective structure.</w:t>
      </w:r>
    </w:p>
    <w:bookmarkEnd w:id="21"/>
    <w:bookmarkStart w:id="27" w:name="X7f4dfdfe832d32631af53e5d36bd3ba710f7248"/>
    <w:p>
      <w:pPr>
        <w:pStyle w:val="Heading3"/>
      </w:pPr>
      <w:r>
        <w:t xml:space="preserve">2.2 2. Comparative analysis: cross-national variation</w:t>
      </w:r>
    </w:p>
    <w:p>
      <w:pPr>
        <w:pStyle w:val="FirstParagraph"/>
      </w:pPr>
      <w:r>
        <w:t xml:space="preserve">Second, we examine how these patterns</w:t>
      </w:r>
      <w:r>
        <w:t xml:space="preserve"> </w:t>
      </w:r>
      <w:r>
        <w:rPr>
          <w:b/>
          <w:bCs/>
        </w:rPr>
        <w:t xml:space="preserve">vary across countries</w:t>
      </w:r>
      <w:r>
        <w:t xml:space="preserve">.</w:t>
      </w:r>
    </w:p>
    <w:p>
      <w:pPr>
        <w:pStyle w:val="Compact"/>
        <w:numPr>
          <w:ilvl w:val="0"/>
          <w:numId w:val="1004"/>
        </w:numPr>
      </w:pPr>
      <w:r>
        <w:t xml:space="preserve">Compare the magnitude and dispersion of AP by partisan type within countries</w:t>
      </w:r>
      <w:r>
        <w:br/>
      </w:r>
    </w:p>
    <w:p>
      <w:pPr>
        <w:pStyle w:val="Compact"/>
        <w:numPr>
          <w:ilvl w:val="0"/>
          <w:numId w:val="1004"/>
        </w:numPr>
      </w:pPr>
      <w:r>
        <w:t xml:space="preserve">Assess whether identity-based and system-level polarization align or diverge cross-nationally</w:t>
      </w:r>
      <w:r>
        <w:br/>
      </w:r>
    </w:p>
    <w:p>
      <w:pPr>
        <w:pStyle w:val="Compact"/>
        <w:numPr>
          <w:ilvl w:val="0"/>
          <w:numId w:val="1004"/>
        </w:numPr>
      </w:pPr>
      <w:r>
        <w:t xml:space="preserve">Evaluate how the</w:t>
      </w:r>
      <w:r>
        <w:t xml:space="preserve"> </w:t>
      </w:r>
      <w:r>
        <w:rPr>
          <w:b/>
          <w:bCs/>
        </w:rPr>
        <w:t xml:space="preserve">distribution of partisan types</w:t>
      </w:r>
      <w:r>
        <w:t xml:space="preserve"> </w:t>
      </w:r>
      <w:r>
        <w:t xml:space="preserve">conditions observed levels of affective polarization</w:t>
      </w:r>
    </w:p>
    <w:p>
      <w:pPr>
        <w:pStyle w:val="FirstParagraph"/>
      </w:pPr>
      <w:r>
        <w:t xml:space="preserve">This step establishes the</w:t>
      </w:r>
      <w:r>
        <w:t xml:space="preserve"> </w:t>
      </w:r>
      <w:r>
        <w:rPr>
          <w:b/>
          <w:bCs/>
        </w:rPr>
        <w:t xml:space="preserve">external validity</w:t>
      </w:r>
      <w:r>
        <w:t xml:space="preserve"> </w:t>
      </w:r>
      <w:r>
        <w:t xml:space="preserve">of the individual-level findings and identifies contextual heterogeneity across European party systems.</w:t>
      </w:r>
    </w:p>
    <w:tbl>
      <w:tblPr>
        <w:tblStyle w:val="Table"/>
        <w:tblW w:type="pct" w:w="5000"/>
        <w:tblLayout w:type="fixed"/>
        <w:tblLook w:firstRow="0" w:lastRow="0" w:firstColumn="0" w:lastColumn="0" w:noHBand="0" w:noVBand="0" w:val="0000"/>
      </w:tblPr>
      <w:tblGrid>
        <w:gridCol w:w="7920"/>
      </w:tblGrid>
      <w:tr>
        <w:tc>
          <w:tcPr/>
          <w:bookmarkStart w:id="25" w:name="fig-impl-expl-distribution"/>
          <w:p>
            <w:pPr>
              <w:pStyle w:val="Compact"/>
              <w:jc w:val="center"/>
            </w:pPr>
            <w:r>
              <w:drawing>
                <wp:inline>
                  <wp:extent cx="5334000" cy="3810000"/>
                  <wp:effectExtent b="0" l="0" r="0" t="0"/>
                  <wp:docPr descr="" title="" id="23" name="Picture"/>
                  <a:graphic>
                    <a:graphicData uri="http://schemas.openxmlformats.org/drawingml/2006/picture">
                      <pic:pic>
                        <pic:nvPicPr>
                          <pic:cNvPr descr="index_files/figure-docx/code-03_explanal-3.1_descr_anal-fig-impl-expl-distribution-output-1.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5"/>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Code Notebook 3.1</w:t>
        </w:r>
      </w:hyperlink>
    </w:p>
    <w:bookmarkEnd w:id="27"/>
    <w:bookmarkEnd w:id="28"/>
    <w:bookmarkStart w:id="29" w:name="data"/>
    <w:p>
      <w:pPr>
        <w:pStyle w:val="Heading2"/>
      </w:pPr>
      <w:r>
        <w:t xml:space="preserve">3 Data</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w:t>
      </w:r>
    </w:p>
    <w:bookmarkEnd w:id="29"/>
    <w:bookmarkStart w:id="30" w:name="measurement"/>
    <w:p>
      <w:pPr>
        <w:pStyle w:val="Heading2"/>
      </w:pPr>
      <w:r>
        <w:t xml:space="preserve">4 Measurement</w:t>
      </w:r>
    </w:p>
    <w:p>
      <w:pPr>
        <w:pStyle w:val="FirstParagraph"/>
      </w:pPr>
      <w:r>
        <w:t xml:space="preserve">We compare several measurement strategies frequently employed in the context of multi-party systems.</w:t>
      </w:r>
    </w:p>
    <w:p>
      <w:pPr>
        <w:pStyle w:val="BodyText"/>
      </w:pPr>
      <w:r>
        <w:t xml:space="preserve">For our behavioral experiment, we conceptually follow Reiljan’s API</w:t>
      </w:r>
    </w:p>
    <w:bookmarkEnd w:id="30"/>
    <w:bookmarkStart w:id="36" w:name="results"/>
    <w:p>
      <w:pPr>
        <w:pStyle w:val="Heading2"/>
      </w:pPr>
      <w:r>
        <w:t xml:space="preserve">5 Results</w:t>
      </w:r>
    </w:p>
    <w:tbl>
      <w:tblPr>
        <w:tblStyle w:val="Table"/>
        <w:tblW w:type="pct" w:w="5000"/>
        <w:tblLayout w:type="fixed"/>
        <w:tblLook w:firstRow="0" w:lastRow="0" w:firstColumn="0" w:lastColumn="0" w:noHBand="0" w:noVBand="0" w:val="0000"/>
      </w:tblPr>
      <w:tblGrid>
        <w:gridCol w:w="7920"/>
      </w:tblGrid>
      <w:tr>
        <w:tc>
          <w:tcPr/>
          <w:bookmarkStart w:id="34" w:name="fig-eu25-ap"/>
          <w:p>
            <w:pPr>
              <w:pStyle w:val="Compact"/>
              <w:jc w:val="center"/>
            </w:pPr>
            <w:r>
              <w:drawing>
                <wp:inline>
                  <wp:extent cx="5334000" cy="3810000"/>
                  <wp:effectExtent b="0" l="0" r="0" t="0"/>
                  <wp:docPr descr="" title="" id="32" name="Picture"/>
                  <a:graphic>
                    <a:graphicData uri="http://schemas.openxmlformats.org/drawingml/2006/picture">
                      <pic:pic>
                        <pic:nvPicPr>
                          <pic:cNvPr descr="index_files/figure-docx/code-03_explanal-3.2_ap_measures-fig-eu25-ap-output-1.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Affective Polarization in EU25 (2019). Note: 1) Explicit: Reported Attachement; Implicit: Denied Attachement but Reported Vote; Total: All Partisans (Expl. and Impl.). 2) Errorbars represent 95% CI. 3) Weighted estimates and errorbars are based on empirical distribution of reported votes in our data. 4) Behavioral Scale (Token): -10 (10 Token allocated to Out-Party and none to Co-Party) to +10 (10 Token allocated to Co-party and 0 to Out-Party); Attitudinal Scale (Thermo): -10 (Thermoscore 10 for Out-Party and 0 for Co-Party) to +10 (Thermoscore 10 for Co-Party and 0 for Out-Party).</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Code Notebook 3.2</w:t>
        </w:r>
      </w:hyperlink>
    </w:p>
    <w:bookmarkEnd w:id="36"/>
    <w:bookmarkStart w:id="37" w:name="limitations"/>
    <w:p>
      <w:pPr>
        <w:pStyle w:val="Heading2"/>
      </w:pPr>
      <w:r>
        <w:t xml:space="preserve">6 Limitations</w:t>
      </w:r>
    </w:p>
    <w:p>
      <w:pPr>
        <w:pStyle w:val="FirstParagraph"/>
      </w:pPr>
      <w:r>
        <w:t xml:space="preserve">Our findings remain limited due to the cross-national nature of our data.</w:t>
      </w:r>
    </w:p>
    <w:p>
      <w:pPr>
        <w:pStyle w:val="BodyText"/>
      </w:pPr>
      <w:r>
        <w:t xml:space="preserve">When weighting affective polarization by party size to estimate country — or Europe-level scores, this procedure implicitly assumes that the probability of any individual encountering and correctly identifying another partisan is proportional to the size of parties’ electorates. In practice, structural factors may violate this assumption: for example, partisans of smaller or more radical challenger parties may be more salient or more easily recognized, such that their social visibility exceeds their electoral share. Consequently, weighted estimates may over- or understate true horizontal affective polarization in contexts where partisan recognition is systematically biased.</w:t>
      </w:r>
    </w:p>
    <w:bookmarkEnd w:id="37"/>
    <w:bookmarkStart w:id="41" w:name="references"/>
    <w:p>
      <w:pPr>
        <w:pStyle w:val="Heading2"/>
      </w:pPr>
      <w:r>
        <w:t xml:space="preserve">7 References</w:t>
      </w:r>
    </w:p>
    <w:bookmarkStart w:id="40" w:name="refs"/>
    <w:bookmarkStart w:id="39"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38">
        <w:r>
          <w:rPr>
            <w:rStyle w:val="Hyperlink"/>
          </w:rPr>
          <w:t xml:space="preserve">https://doi.org/10.1017/S0003055423000266</w:t>
        </w:r>
      </w:hyperlink>
      <w:r>
        <w:t xml:space="preserve">.</w:t>
      </w:r>
    </w:p>
    <w:bookmarkEnd w:id="39"/>
    <w:bookmarkEnd w:id="40"/>
    <w:bookmarkEnd w:id="41"/>
    <w:bookmarkStart w:id="67" w:name="appendix"/>
    <w:p>
      <w:pPr>
        <w:pStyle w:val="Heading2"/>
      </w:pPr>
      <w:r>
        <w:t xml:space="preserve">8 Appendix</w:t>
      </w:r>
    </w:p>
    <w:bookmarkStart w:id="48" w:name="sample-descriptives"/>
    <w:p>
      <w:pPr>
        <w:pStyle w:val="Heading3"/>
      </w:pPr>
      <w:r>
        <w:t xml:space="preserve">8.1 Sample descriptives</w:t>
      </w:r>
    </w:p>
    <w:tbl>
      <w:tblPr>
        <w:tblStyle w:val="Table"/>
        <w:tblW w:type="pct" w:w="5000"/>
        <w:tblLayout w:type="fixed"/>
        <w:tblLook w:firstRow="0" w:lastRow="0" w:firstColumn="0" w:lastColumn="0" w:noHBand="0" w:noVBand="0" w:val="0000"/>
      </w:tblPr>
      <w:tblGrid>
        <w:gridCol w:w="7920"/>
      </w:tblGrid>
      <w:tr>
        <w:tc>
          <w:tcPr/>
          <w:bookmarkStart w:id="42"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42"/>
          <w:p/>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4"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44"/>
          <w:p/>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6"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Code Notebook 3.1</w:t>
        </w:r>
      </w:hyperlink>
    </w:p>
    <w:bookmarkEnd w:id="48"/>
    <w:bookmarkStart w:id="53" w:name="experimental-setup"/>
    <w:p>
      <w:pPr>
        <w:pStyle w:val="Heading3"/>
      </w:pPr>
      <w:r>
        <w:t xml:space="preserve">8.2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52" w:name="fig-example-profile"/>
          <w:p>
            <w:pPr>
              <w:pStyle w:val="Compact"/>
              <w:jc w:val="center"/>
            </w:pPr>
            <w:r>
              <w:drawing>
                <wp:inline>
                  <wp:extent cx="4458846" cy="3911430"/>
                  <wp:effectExtent b="0" l="0" r="0" t="0"/>
                  <wp:docPr descr="" title="" id="50" name="Picture"/>
                  <a:graphic>
                    <a:graphicData uri="http://schemas.openxmlformats.org/drawingml/2006/picture">
                      <pic:pic>
                        <pic:nvPicPr>
                          <pic:cNvPr descr="images/cj-example-profile.png" id="51" name="Picture"/>
                          <pic:cNvPicPr>
                            <a:picLocks noChangeArrowheads="1" noChangeAspect="1"/>
                          </pic:cNvPicPr>
                        </pic:nvPicPr>
                        <pic:blipFill>
                          <a:blip r:embed="rId49"/>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52"/>
        </w:tc>
      </w:tr>
    </w:tbl>
    <w:bookmarkEnd w:id="53"/>
    <w:bookmarkStart w:id="59" w:name="distribution-of-y"/>
    <w:p>
      <w:pPr>
        <w:pStyle w:val="Heading3"/>
      </w:pPr>
      <w:r>
        <w:t xml:space="preserve">8.3 Distribution of Y</w:t>
      </w:r>
    </w:p>
    <w:tbl>
      <w:tblPr>
        <w:tblStyle w:val="Table"/>
        <w:tblW w:type="pct" w:w="5000"/>
        <w:tblLayout w:type="fixed"/>
        <w:tblLook w:firstRow="0" w:lastRow="0" w:firstColumn="0" w:lastColumn="0" w:noHBand="0" w:noVBand="0" w:val="0000"/>
      </w:tblPr>
      <w:tblGrid>
        <w:gridCol w:w="7920"/>
      </w:tblGrid>
      <w:tr>
        <w:tc>
          <w:tcPr/>
          <w:bookmarkStart w:id="57" w:name="fig-distr-y"/>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code-03_explanal-3.1_descr_anal-fig-distr-y-output-2.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Code Notebook 3.1</w:t>
        </w:r>
      </w:hyperlink>
    </w:p>
    <w:bookmarkEnd w:id="59"/>
    <w:bookmarkStart w:id="62" w:name="distribution-of-t-and-r"/>
    <w:p>
      <w:pPr>
        <w:pStyle w:val="Heading3"/>
      </w:pPr>
      <w:r>
        <w:t xml:space="preserve">8.4 Distribution of T and R</w:t>
      </w:r>
    </w:p>
    <w:tbl>
      <w:tblPr>
        <w:tblStyle w:val="Table"/>
        <w:tblW w:type="pct" w:w="5000"/>
        <w:tblLayout w:type="fixed"/>
        <w:tblLook w:firstRow="0" w:lastRow="0" w:firstColumn="0" w:lastColumn="0" w:noHBand="0" w:noVBand="0" w:val="0000"/>
      </w:tblPr>
      <w:tblGrid>
        <w:gridCol w:w="7920"/>
      </w:tblGrid>
      <w:tr>
        <w:tc>
          <w:tcPr/>
          <w:bookmarkStart w:id="60"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Code Notebook 3.1</w:t>
        </w:r>
      </w:hyperlink>
    </w:p>
    <w:bookmarkEnd w:id="62"/>
    <w:bookmarkStart w:id="65" w:name="distribution-of-covariates-by-t"/>
    <w:p>
      <w:pPr>
        <w:pStyle w:val="Heading3"/>
      </w:pPr>
      <w:r>
        <w:t xml:space="preserve">8.5 Distribution of Covariates by T</w:t>
      </w:r>
    </w:p>
    <w:tbl>
      <w:tblPr>
        <w:tblStyle w:val="Table"/>
        <w:tblW w:type="pct" w:w="5000"/>
        <w:tblLayout w:type="fixed"/>
        <w:tblLook w:firstRow="0" w:lastRow="0" w:firstColumn="0" w:lastColumn="0" w:noHBand="0" w:noVBand="0" w:val="0000"/>
      </w:tblPr>
      <w:tblGrid>
        <w:gridCol w:w="7920"/>
      </w:tblGrid>
      <w:tr>
        <w:tc>
          <w:tcPr/>
          <w:bookmarkStart w:id="63"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Code Notebook 3.1</w:t>
        </w:r>
      </w:hyperlink>
    </w:p>
    <w:bookmarkEnd w:id="65"/>
    <w:bookmarkStart w:id="66" w:name="robustness"/>
    <w:p>
      <w:pPr>
        <w:pStyle w:val="Heading3"/>
      </w:pPr>
      <w:r>
        <w:t xml:space="preserve">8.6 Robustness</w:t>
      </w:r>
    </w:p>
    <w:bookmarkEnd w:id="66"/>
    <w:bookmarkEnd w:id="67"/>
    <w:bookmarkStart w:id="68" w:name="Xf938f7a034e9b39da784faab40d2050327a2fbb"/>
    <w:p>
      <w:pPr>
        <w:pStyle w:val="Heading2"/>
      </w:pPr>
      <w:r>
        <w:t xml:space="preserve">Eidesstattliche Erklärung – Statutory Declaration</w:t>
      </w:r>
    </w:p>
    <w:p>
      <w:pPr>
        <w:pStyle w:val="FirstParagraph"/>
      </w:pPr>
      <w:r>
        <w:t xml:space="preserve">Hiermit versichere ich, dass diese Arbeit von mir persönlich verfasst ist</w:t>
      </w:r>
      <w:r>
        <w:t xml:space="preserve"> </w:t>
      </w:r>
      <w:r>
        <w:t xml:space="preserve">und dass ich keinerlei fremde Hilfe in Anspruch genommen habe. Ebenso</w:t>
      </w:r>
      <w:r>
        <w:t xml:space="preserve"> </w:t>
      </w:r>
      <w:r>
        <w:t xml:space="preserve">versichere ich, dass diese Arbeit oder Teile daraus weder von mir selbst</w:t>
      </w:r>
      <w:r>
        <w:t xml:space="preserve"> </w:t>
      </w:r>
      <w:r>
        <w:t xml:space="preserve">noch von anderen als Leistungsnachweise andernorts eingereicht wurden.</w:t>
      </w:r>
      <w:r>
        <w:t xml:space="preserve"> </w:t>
      </w:r>
      <w:r>
        <w:t xml:space="preserve">Wörtliche oder sinngemäße Übernahmen aus anderen Schriften und</w:t>
      </w:r>
      <w:r>
        <w:t xml:space="preserve"> </w:t>
      </w:r>
      <w:r>
        <w:t xml:space="preserve">Veröffentlichungen in gedruckter oder elektronischer Form sind</w:t>
      </w:r>
      <w:r>
        <w:t xml:space="preserve"> </w:t>
      </w:r>
      <w:r>
        <w:t xml:space="preserve">gekennzeichnet. Sämtliche Sekundärliteratur und sonstige Quellen sind</w:t>
      </w:r>
      <w:r>
        <w:t xml:space="preserve"> </w:t>
      </w:r>
      <w:r>
        <w:t xml:space="preserve">nachgewiesen und in der Bibliographie aufgeführt. Das Gleiche gilt für</w:t>
      </w:r>
      <w:r>
        <w:t xml:space="preserve"> </w:t>
      </w:r>
      <w:r>
        <w:t xml:space="preserve">graphische Darstellungen und Bilder sowie für alle Internet-Quellen. Ich</w:t>
      </w:r>
      <w:r>
        <w:t xml:space="preserve"> </w:t>
      </w:r>
      <w:r>
        <w:t xml:space="preserve">bin ferner damit einverstanden, dass meine Arbeit zum Zwecke eines</w:t>
      </w:r>
      <w:r>
        <w:t xml:space="preserve"> </w:t>
      </w:r>
      <w:r>
        <w:t xml:space="preserve">Plagiatsabgleichs in elektronischer Form anonymisiert versendet und</w:t>
      </w:r>
      <w:r>
        <w:t xml:space="preserve"> </w:t>
      </w:r>
      <w:r>
        <w:t xml:space="preserve">gespeichert werden kann. Mir ist bekannt, dass von der Korrektur der</w:t>
      </w:r>
      <w:r>
        <w:t xml:space="preserve"> </w:t>
      </w:r>
      <w:r>
        <w:t xml:space="preserve">Arbeit abgesehen und die Prüfungsleistung mit „nicht ausreichend“</w:t>
      </w:r>
      <w:r>
        <w:t xml:space="preserve"> </w:t>
      </w:r>
      <w:r>
        <w:t xml:space="preserve">bewertet werden kann, wenn die Erklärung nicht erteilt wird.</w:t>
      </w:r>
    </w:p>
    <w:p>
      <w:pPr>
        <w:pStyle w:val="BodyText"/>
      </w:pPr>
      <w:r>
        <w:t xml:space="preserve">I hereby declare that the paper presented is my own work and that I have</w:t>
      </w:r>
      <w:r>
        <w:t xml:space="preserve"> </w:t>
      </w:r>
      <w:r>
        <w:t xml:space="preserve">not called upon the help of a third party. In addition, I affirm that neither I</w:t>
      </w:r>
      <w:r>
        <w:t xml:space="preserve"> </w:t>
      </w:r>
      <w:r>
        <w:t xml:space="preserve">nor anybody else has submitted this paper or parts of it to obtain credits</w:t>
      </w:r>
      <w:r>
        <w:t xml:space="preserve"> </w:t>
      </w:r>
      <w:r>
        <w:t xml:space="preserve">elsewhere before. I have clearly marked and acknowledged all quotations</w:t>
      </w:r>
      <w:r>
        <w:t xml:space="preserve"> </w:t>
      </w:r>
      <w:r>
        <w:t xml:space="preserve">or references that have been taken from the works of other. All secondary</w:t>
      </w:r>
      <w:r>
        <w:t xml:space="preserve"> </w:t>
      </w:r>
      <w:r>
        <w:t xml:space="preserve">literature and other sources are marked and listed in the bibliography. The</w:t>
      </w:r>
      <w:r>
        <w:t xml:space="preserve"> </w:t>
      </w:r>
      <w:r>
        <w:t xml:space="preserve">same applies to all charts, diagrams and illustrations as well as to all Internet</w:t>
      </w:r>
      <w:r>
        <w:t xml:space="preserve"> </w:t>
      </w:r>
      <w:r>
        <w:t xml:space="preserve">sources. Moreover, I consent to my paper being electronically stores and</w:t>
      </w:r>
      <w:r>
        <w:t xml:space="preserve"> </w:t>
      </w:r>
      <w:r>
        <w:t xml:space="preserve">sent anonymously in order to be checked for plagiarism. I am aware that</w:t>
      </w:r>
      <w:r>
        <w:t xml:space="preserve"> </w:t>
      </w:r>
      <w:r>
        <w:t xml:space="preserve">the paper cannot be evaluated and may be graded</w:t>
      </w:r>
      <w:r>
        <w:t xml:space="preserve"> </w:t>
      </w:r>
      <w:r>
        <w:t xml:space="preserve">“failed”</w:t>
      </w:r>
      <w:r>
        <w:t xml:space="preserve"> </w:t>
      </w:r>
      <w:r>
        <w:t xml:space="preserve">(</w:t>
      </w:r>
      <w:r>
        <w:t xml:space="preserve">“nicht</w:t>
      </w:r>
      <w:r>
        <w:t xml:space="preserve"> </w:t>
      </w:r>
      <w:r>
        <w:t xml:space="preserve">ausreichend”</w:t>
      </w:r>
      <w:r>
        <w:t xml:space="preserve">) if the declaration is not made.</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58"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4" Target="https://LS-Konig.github.io/CSAP/code\03_explanal\3.1_descr_anal-preview.html#cell-tbl-covariate-distr" TargetMode="External" /><Relationship Type="http://schemas.openxmlformats.org/officeDocument/2006/relationships/hyperlink" Id="rId43" Target="https://LS-Konig.github.io/CSAP/code\03_explanal\3.1_descr_anal-preview.html#cell-tbl-nresp-country" TargetMode="External" /><Relationship Type="http://schemas.openxmlformats.org/officeDocument/2006/relationships/hyperlink" Id="rId47" Target="https://LS-Konig.github.io/CSAP/code\03_explanal\3.1_descr_anal-preview.html#cell-tbl-nresp-country-agegroup" TargetMode="External" /><Relationship Type="http://schemas.openxmlformats.org/officeDocument/2006/relationships/hyperlink" Id="rId45" Target="https://LS-Konig.github.io/CSAP/code\03_explanal\3.1_descr_anal-preview.html#cell-tbl-nresp-country-gender" TargetMode="External" /><Relationship Type="http://schemas.openxmlformats.org/officeDocument/2006/relationships/hyperlink" Id="rId61" Target="https://LS-Konig.github.io/CSAP/code\03_explanal\3.1_descr_anal-preview.html#cell-tbl-t-r-distr" TargetMode="External" /><Relationship Type="http://schemas.openxmlformats.org/officeDocument/2006/relationships/hyperlink" Id="rId35" Target="https://LS-Konig.github.io/CSAP/code\03_explanal\3.2_ap_measures.qmd.html#cell-fig-eu25-ap" TargetMode="External" /><Relationship Type="http://schemas.openxmlformats.org/officeDocument/2006/relationships/hyperlink" Id="rId38" Target="https://doi.org/10.1017/S0003055423000266" TargetMode="External" /></Relationships>
</file>

<file path=word/_rels/footnotes.xml.rels><?xml version="1.0" encoding="UTF-8"?><Relationships xmlns="http://schemas.openxmlformats.org/package/2006/relationships"><Relationship Type="http://schemas.openxmlformats.org/officeDocument/2006/relationships/hyperlink" Id="rId58"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4" Target="https://LS-Konig.github.io/CSAP/code\03_explanal\3.1_descr_anal-preview.html#cell-tbl-covariate-distr" TargetMode="External" /><Relationship Type="http://schemas.openxmlformats.org/officeDocument/2006/relationships/hyperlink" Id="rId43" Target="https://LS-Konig.github.io/CSAP/code\03_explanal\3.1_descr_anal-preview.html#cell-tbl-nresp-country" TargetMode="External" /><Relationship Type="http://schemas.openxmlformats.org/officeDocument/2006/relationships/hyperlink" Id="rId47" Target="https://LS-Konig.github.io/CSAP/code\03_explanal\3.1_descr_anal-preview.html#cell-tbl-nresp-country-agegroup" TargetMode="External" /><Relationship Type="http://schemas.openxmlformats.org/officeDocument/2006/relationships/hyperlink" Id="rId45" Target="https://LS-Konig.github.io/CSAP/code\03_explanal\3.1_descr_anal-preview.html#cell-tbl-nresp-country-gender" TargetMode="External" /><Relationship Type="http://schemas.openxmlformats.org/officeDocument/2006/relationships/hyperlink" Id="rId61" Target="https://LS-Konig.github.io/CSAP/code\03_explanal\3.1_descr_anal-preview.html#cell-tbl-t-r-distr" TargetMode="External" /><Relationship Type="http://schemas.openxmlformats.org/officeDocument/2006/relationships/hyperlink" Id="rId35" Target="https://LS-Konig.github.io/CSAP/code\03_explanal\3.2_ap_measures.qmd.html#cell-fig-eu25-ap" TargetMode="External" /><Relationship Type="http://schemas.openxmlformats.org/officeDocument/2006/relationships/hyperlink" Id="rId38" Target="https://doi.org/10.1017/S00030554230002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2026-01-27T09:30:08Z</dcterms:created>
  <dcterms:modified xsi:type="dcterms:W3CDTF">2026-01-27T09:30:08Z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 for an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January 16,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A comparative study of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