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6.png" ContentType="image/png"/>
  <Override PartName="/word/media/rId31.png" ContentType="image/png"/>
  <Override PartName="/word/media/rId2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does partisan type influence affective polarization?</w:t>
      </w:r>
    </w:p>
    <w:p>
      <w:pPr>
        <w:pStyle w:val="Subtitle"/>
      </w:pPr>
      <w:r>
        <w:t xml:space="preserve">A comparative study of 25 European democracies</w:t>
      </w:r>
    </w:p>
    <w:p>
      <w:pPr>
        <w:pStyle w:val="Author"/>
      </w:pPr>
      <w:r>
        <w:t xml:space="preserve">Tristan Muno</w:t>
      </w:r>
    </w:p>
    <w:p>
      <w:pPr>
        <w:pStyle w:val="Author"/>
      </w:pPr>
      <w:r>
        <w:t xml:space="preserve">Thomas König</w:t>
      </w:r>
    </w:p>
    <w:p>
      <w:pPr>
        <w:pStyle w:val="Date"/>
      </w:pPr>
      <w:r>
        <w:t xml:space="preserve">January 9,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Space for an abstract.</w:t>
      </w:r>
    </w:p>
    <w:bookmarkStart w:id="20" w:name="roadmap"/>
    <w:p>
      <w:pPr>
        <w:pStyle w:val="Heading2"/>
      </w:pPr>
      <w:r>
        <w:t xml:space="preserve">1 Roadmap</w:t>
      </w:r>
    </w:p>
    <w:p>
      <w:pPr>
        <w:pStyle w:val="FirstParagraph"/>
      </w:pPr>
      <w:r>
        <w:t xml:space="preserve">Explore variation across three main dimensions:</w:t>
      </w:r>
    </w:p>
    <w:p>
      <w:pPr>
        <w:pStyle w:val="Compact"/>
        <w:numPr>
          <w:ilvl w:val="0"/>
          <w:numId w:val="1001"/>
        </w:numPr>
      </w:pPr>
      <w:r>
        <w:t xml:space="preserve">Operationalization: Ingroup via explicit attachement (identity) vs vote intention/choice</w:t>
      </w:r>
    </w:p>
    <w:p>
      <w:pPr>
        <w:pStyle w:val="Compact"/>
        <w:numPr>
          <w:ilvl w:val="0"/>
          <w:numId w:val="1001"/>
        </w:numPr>
      </w:pPr>
      <w:r>
        <w:t xml:space="preserve">Measurement: Behavior vs Attitude</w:t>
      </w:r>
    </w:p>
    <w:p>
      <w:pPr>
        <w:pStyle w:val="Compact"/>
        <w:numPr>
          <w:ilvl w:val="0"/>
          <w:numId w:val="1001"/>
        </w:numPr>
      </w:pPr>
      <w:r>
        <w:t xml:space="preserve">External validity: Cross-national variability</w:t>
      </w:r>
    </w:p>
    <w:bookmarkEnd w:id="20"/>
    <w:bookmarkStart w:id="36" w:name="exploratory-figures"/>
    <w:p>
      <w:pPr>
        <w:pStyle w:val="Heading2"/>
      </w:pPr>
      <w:r>
        <w:t xml:space="preserve">2 Exploratory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impl-expl-distribution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impl-expl-distribution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Distribution of partisan types, by country. Stacked horizontal bars show the within-country share (%) of three partisan types: explicit partisans (respondents who reported a subjective attachement to a party,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implicit partisans (respondents who reported no attachement but did report a vote preference or intention,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and respondents who reported neither (none,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). Percentages sum to 100% within each country, with country samples containing about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100</m:t>
              </m:r>
            </m:oMath>
            <w:r>
              <w:t xml:space="preserve"> </w:t>
            </w:r>
            <w:r>
              <w:t xml:space="preserve">respondents each (detailed numbers are reported in appendix section X).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CSAP Code Notebook 01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exploratory-country-anal-dict"/>
          <w:p>
            <w:pPr>
              <w:pStyle w:val="Compact"/>
              <w:jc w:val="center"/>
            </w:pPr>
            <w:r>
              <w:drawing>
                <wp:inline>
                  <wp:extent cx="5334000" cy="6604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exploratory-country-anal-dict-output-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0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Exploratory token allocation behavior by country and pid type in the dictator game: ingroup favoritism, outgroup derogation and affective polarization. The figure shows mean differences in token allocation with 95% confidence intervals. IF = mean(token2co) - mean(token2control), OD = mean(token2control) - mean(token2out), AP = mean(token2co) - mean(token2out)</w:t>
            </w:r>
          </w:p>
          <w:bookmarkEnd w:id="2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CSAP Code Notebook 01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ploratory-country-anal-trust"/>
          <w:p>
            <w:pPr>
              <w:pStyle w:val="Compact"/>
              <w:jc w:val="center"/>
            </w:pPr>
            <w:r>
              <w:drawing>
                <wp:inline>
                  <wp:extent cx="5334000" cy="66040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exploratory-country-anal-trust-output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0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Exploratory token allocation behavior by country and pid type in the trust game: ingroup favoritism, outgroup derogation and affective polarization. The figure shows mean differences in token allocation with 95% confidence intervals. IF = mean(token2co) - mean(token2control), OD = mean(token2control) - mean(token2out), AP = mean(token2co) - mean(token2out)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CSAP Code Notebook 01</w:t>
        </w:r>
      </w:hyperlink>
    </w:p>
    <w:bookmarkEnd w:id="36"/>
    <w:bookmarkStart w:id="37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data from</w:t>
      </w:r>
      <w:r>
        <w:t xml:space="preserve"> </w:t>
      </w:r>
      <w:r>
        <w:t xml:space="preserve">Hahm, Hilpert, and König (</w:t>
      </w:r>
      <w:hyperlink w:anchor="ref-hahm2024divided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.</w:t>
      </w:r>
    </w:p>
    <w:bookmarkEnd w:id="37"/>
    <w:bookmarkStart w:id="41" w:name="references"/>
    <w:p>
      <w:pPr>
        <w:pStyle w:val="Heading2"/>
      </w:pPr>
      <w:r>
        <w:t xml:space="preserve">4 References</w:t>
      </w:r>
    </w:p>
    <w:bookmarkStart w:id="40" w:name="refs"/>
    <w:bookmarkStart w:id="39" w:name="ref-hahm2024divided"/>
    <w:p>
      <w:pPr>
        <w:pStyle w:val="Bibliography"/>
      </w:pPr>
      <w:r>
        <w:t xml:space="preserve">Hahm, Hyeonho, David Hilpert, and Thomas König. 2024.</w:t>
      </w:r>
      <w:r>
        <w:t xml:space="preserve"> </w:t>
      </w:r>
      <w:r>
        <w:t xml:space="preserve">“Divided We Unite: The Nature of Partyism and the Role of Coalition Partnership in Europe.”</w:t>
      </w:r>
      <w:r>
        <w:t xml:space="preserve"> </w:t>
      </w:r>
      <w:r>
        <w:rPr>
          <w:i/>
          <w:iCs/>
        </w:rPr>
        <w:t xml:space="preserve">American Political Science Review</w:t>
      </w:r>
      <w:r>
        <w:t xml:space="preserve"> </w:t>
      </w:r>
      <w:r>
        <w:t xml:space="preserve">118 (1): 69–87.</w:t>
      </w:r>
      <w:r>
        <w:t xml:space="preserve"> </w:t>
      </w:r>
      <w:hyperlink r:id="rId38">
        <w:r>
          <w:rPr>
            <w:rStyle w:val="Hyperlink"/>
          </w:rPr>
          <w:t xml:space="preserve">https://doi.org/10.1017/S0003055423000266</w:t>
        </w:r>
      </w:hyperlink>
      <w:r>
        <w:t xml:space="preserve">.</w:t>
      </w:r>
    </w:p>
    <w:bookmarkEnd w:id="39"/>
    <w:bookmarkEnd w:id="40"/>
    <w:bookmarkEnd w:id="41"/>
    <w:bookmarkStart w:id="67" w:name="appendix"/>
    <w:p>
      <w:pPr>
        <w:pStyle w:val="Heading2"/>
      </w:pPr>
      <w:r>
        <w:t xml:space="preserve">5 Appendix</w:t>
      </w:r>
    </w:p>
    <w:bookmarkStart w:id="48" w:name="sample-descriptives"/>
    <w:p>
      <w:pPr>
        <w:pStyle w:val="Heading3"/>
      </w:pPr>
      <w:r>
        <w:t xml:space="preserve">5.1 Sample descriptives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nresp-count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Sample composition by country. Numbers denote respondents.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Percent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3">
        <w:r>
          <w:rPr>
            <w:rStyle w:val="Hyperlink"/>
            <w:vertAlign w:val="subscript"/>
          </w:rPr>
          <w:t xml:space="preserve">CSAP Code Notebook 02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nresp-country-gende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Sample composition by country and gender. Numbers denote respondents.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Other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CSAP Code Notebook 02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nresp-country-agegrou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Sample composition by country and age group. Numbers denote respondents.</w:t>
            </w:r>
          </w:p>
          <w:tbl>
            <w:tblPr>
              <w:tblStyle w:val="Table"/>
              <w:tblW w:type="pct" w:w="4868"/>
              <w:tblLayout w:type="fixed"/>
              <w:tblLook w:firstRow="1" w:lastRow="0" w:firstColumn="0" w:lastColumn="0" w:noHBand="0" w:noVBand="0" w:val="0020"/>
            </w:tblPr>
            <w:tblGrid>
              <w:gridCol w:w="1563"/>
              <w:gridCol w:w="937"/>
              <w:gridCol w:w="937"/>
              <w:gridCol w:w="937"/>
              <w:gridCol w:w="937"/>
              <w:gridCol w:w="937"/>
              <w:gridCol w:w="937"/>
              <w:gridCol w:w="5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 to 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 to 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 to 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 to 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 to 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 to 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</w:t>
                  </w:r>
                  <w:r>
                    <w:t xml:space="preserve"> </w:t>
                  </w:r>
                  <w:r>
                    <w:t xml:space="preserve">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7">
        <w:r>
          <w:rPr>
            <w:rStyle w:val="Hyperlink"/>
            <w:vertAlign w:val="subscript"/>
          </w:rPr>
          <w:t xml:space="preserve">CSAP Code Notebook 02</w:t>
        </w:r>
      </w:hyperlink>
    </w:p>
    <w:bookmarkEnd w:id="48"/>
    <w:bookmarkStart w:id="53" w:name="experimental-setup"/>
    <w:p>
      <w:pPr>
        <w:pStyle w:val="Heading3"/>
      </w:pPr>
      <w:r>
        <w:t xml:space="preserve">5.2 Experimental setup</w:t>
      </w:r>
    </w:p>
    <w:p>
      <w:pPr>
        <w:pStyle w:val="FirstParagraph"/>
      </w:pPr>
      <w:r>
        <w:t xml:space="preserve">Before the behavioral games,</w:t>
      </w:r>
      <w:r>
        <w:t xml:space="preserve"> </w:t>
      </w:r>
      <w:r>
        <w:t xml:space="preserve">Hahm, Hilpert, and König (</w:t>
      </w:r>
      <w:hyperlink w:anchor="ref-hahm2024divided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presented respondents a short background information overview and instructions. For the dictator game, these were:</w:t>
      </w:r>
      <w:r>
        <w:t xml:space="preserve"> </w:t>
      </w:r>
      <w:r>
        <w:rPr>
          <w:i/>
          <w:iCs/>
        </w:rPr>
        <w:t xml:space="preserve">This game is played by pairs of individuals.</w:t>
      </w:r>
      <w:r>
        <w:t xml:space="preserve"> </w:t>
      </w:r>
      <w:r>
        <w:rPr>
          <w:i/>
          <w:iCs/>
        </w:rPr>
        <w:t xml:space="preserve">Each pair is made up of a Player 1 and a Player 2.</w:t>
      </w:r>
      <w:r>
        <w:t xml:space="preserve"> </w:t>
      </w:r>
      <w:r>
        <w:rPr>
          <w:i/>
          <w:iCs/>
        </w:rPr>
        <w:t xml:space="preserve">Each player will have some information about the other player, but you will not be told who the other players are during or after the experiment.</w:t>
      </w:r>
      <w:r>
        <w:t xml:space="preserve"> </w:t>
      </w:r>
      <w:r>
        <w:rPr>
          <w:i/>
          <w:iCs/>
        </w:rPr>
        <w:t xml:space="preserve">The game is conducted as follows: A sum of 10 tokens will be provisionally allocated to Player 1 at the start of each round.</w:t>
      </w:r>
      <w:r>
        <w:t xml:space="preserve"> </w:t>
      </w:r>
      <w:r>
        <w:rPr>
          <w:i/>
          <w:iCs/>
        </w:rPr>
        <w:t xml:space="preserve">Player 1 will then decide how much of the 10 tokens to offer to Player 2.</w:t>
      </w:r>
      <w:r>
        <w:t xml:space="preserve"> </w:t>
      </w:r>
      <w:r>
        <w:rPr>
          <w:i/>
          <w:iCs/>
        </w:rPr>
        <w:t xml:space="preserve">Player 1 could give some, all, or none of the 10 tokens.</w:t>
      </w:r>
      <w:r>
        <w:t xml:space="preserve"> </w:t>
      </w:r>
      <w:r>
        <w:rPr>
          <w:i/>
          <w:iCs/>
        </w:rPr>
        <w:t xml:space="preserve">Player 1 keeps all tokens not given to Player 2.</w:t>
      </w:r>
      <w:r>
        <w:t xml:space="preserve"> </w:t>
      </w:r>
      <w:r>
        <w:rPr>
          <w:i/>
          <w:iCs/>
        </w:rPr>
        <w:t xml:space="preserve">Player 2 gets to keep all the tokens Player 1 offers.</w:t>
      </w:r>
      <w:r>
        <w:t xml:space="preserve"> </w:t>
      </w:r>
      <w:r>
        <w:rPr>
          <w:i/>
          <w:iCs/>
        </w:rPr>
        <w:t xml:space="preserve">You will play this game three times with three different people.</w:t>
      </w:r>
      <w:r>
        <w:t xml:space="preserve"> </w:t>
      </w:r>
      <w:r>
        <w:t xml:space="preserve">In the trust game, the provided information and instruction were:</w:t>
      </w:r>
      <w:r>
        <w:t xml:space="preserve"> </w:t>
      </w:r>
      <w:r>
        <w:rPr>
          <w:i/>
          <w:iCs/>
        </w:rPr>
        <w:t xml:space="preserve">This game is played by pairs of individuals.</w:t>
      </w:r>
      <w:r>
        <w:t xml:space="preserve"> </w:t>
      </w:r>
      <w:r>
        <w:rPr>
          <w:i/>
          <w:iCs/>
        </w:rPr>
        <w:t xml:space="preserve">Each pair is made up of a Player 1 and a Player 2.</w:t>
      </w:r>
      <w:r>
        <w:t xml:space="preserve"> </w:t>
      </w:r>
      <w:r>
        <w:rPr>
          <w:i/>
          <w:iCs/>
        </w:rPr>
        <w:t xml:space="preserve">Each player will have some information about the other player, but you will not be told who the other players are during or after the experiment.</w:t>
      </w:r>
      <w:r>
        <w:t xml:space="preserve"> </w:t>
      </w:r>
      <w:r>
        <w:rPr>
          <w:i/>
          <w:iCs/>
        </w:rPr>
        <w:t xml:space="preserve">Each player will receive 10 tokens.</w:t>
      </w:r>
      <w:r>
        <w:t xml:space="preserve"> </w:t>
      </w:r>
      <w:r>
        <w:rPr>
          <w:i/>
          <w:iCs/>
        </w:rPr>
        <w:t xml:space="preserve">Player 1 then has the opportunity to give a portion of his or her 10 tokens to Player 2.</w:t>
      </w:r>
      <w:r>
        <w:t xml:space="preserve"> </w:t>
      </w:r>
      <w:r>
        <w:rPr>
          <w:i/>
          <w:iCs/>
        </w:rPr>
        <w:t xml:space="preserve">Player 1 could give some, all, or none of the 10 tokens.</w:t>
      </w:r>
      <w:r>
        <w:t xml:space="preserve"> </w:t>
      </w:r>
      <w:r>
        <w:rPr>
          <w:i/>
          <w:iCs/>
        </w:rPr>
        <w:t xml:space="preserve">Whatever amount Player 1 decides to give to Player 2 will be tripled before it is passed on to Player 2.</w:t>
      </w:r>
      <w:r>
        <w:t xml:space="preserve"> </w:t>
      </w:r>
      <w:r>
        <w:rPr>
          <w:i/>
          <w:iCs/>
        </w:rPr>
        <w:t xml:space="preserve">Player 2 then has the option of returning any portion of this tripled amount to Player 1.</w:t>
      </w:r>
      <w:r>
        <w:t xml:space="preserve"> </w:t>
      </w:r>
      <w:r>
        <w:rPr>
          <w:i/>
          <w:iCs/>
        </w:rPr>
        <w:t xml:space="preserve">Then, the game is over.</w:t>
      </w:r>
      <w:r>
        <w:t xml:space="preserve"> </w:t>
      </w:r>
      <w:r>
        <w:rPr>
          <w:i/>
          <w:iCs/>
        </w:rPr>
        <w:t xml:space="preserve">Player 1 receives whatever he or she keeps from the original 10 tokens, plus anything returned to him or her by Player 2. Player 2 receives their original 10 tokens, plus whatever he or she keeps after returning any portion of the tripled amount to Player 1.</w:t>
      </w:r>
      <w:r>
        <w:t xml:space="preserve"> </w:t>
      </w:r>
      <w:r>
        <w:rPr>
          <w:i/>
          <w:iCs/>
        </w:rPr>
        <w:t xml:space="preserve">You will play this game three times, with three different people.</w:t>
      </w:r>
      <w:r>
        <w:t xml:space="preserve"> </w:t>
      </w:r>
      <w:r>
        <w:rPr>
          <w:i/>
          <w:iCs/>
        </w:rPr>
        <w:t xml:space="preserve">The more tokens you obtain, the more successful you will be.</w:t>
      </w:r>
    </w:p>
    <w:p>
      <w:pPr>
        <w:pStyle w:val="BodyText"/>
      </w:pPr>
      <w:r>
        <w:t xml:space="preserve">In both games respondents were shown a tabular overview of Player 2 after the instructions.</w:t>
      </w:r>
      <w:r>
        <w:t xml:space="preserve"> </w:t>
      </w:r>
      <w:hyperlink w:anchor="fig-example-profi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an example of such a profile along with the interface respondents were provided to assign the 10 tokens. Each round, a new profile was displayed to respondents.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example-profile"/>
          <w:p>
            <w:pPr>
              <w:pStyle w:val="Compact"/>
              <w:jc w:val="center"/>
            </w:pPr>
            <w:r>
              <w:drawing>
                <wp:inline>
                  <wp:extent cx="4458846" cy="391143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s/cj-example-profil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8846" cy="3911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Example of potential co-player profile.</w:t>
            </w:r>
          </w:p>
          <w:bookmarkEnd w:id="52"/>
        </w:tc>
      </w:tr>
    </w:tbl>
    <w:bookmarkEnd w:id="53"/>
    <w:bookmarkStart w:id="59" w:name="distribution-of-y"/>
    <w:p>
      <w:pPr>
        <w:pStyle w:val="Heading3"/>
      </w:pPr>
      <w:r>
        <w:t xml:space="preserve">5.3 Distribution of 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str-y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2_descr_anal-fig-distr-y-output-2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Distribution of token allocation (Y) by game. Dictator game: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3.41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d</m:t>
              </m:r>
              <m:r>
                <m:t>i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2.35</m:t>
              </m:r>
            </m:oMath>
            <w:r>
              <w:t xml:space="preserve">. Trust game: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3.48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d</m:t>
              </m:r>
              <m:r>
                <m:t>i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2.49</m:t>
              </m:r>
            </m:oMath>
          </w:p>
          <w:bookmarkEnd w:id="5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8">
        <w:r>
          <w:rPr>
            <w:rStyle w:val="Hyperlink"/>
            <w:vertAlign w:val="subscript"/>
          </w:rPr>
          <w:t xml:space="preserve">CSAP Code Notebook 02</w:t>
        </w:r>
      </w:hyperlink>
    </w:p>
    <w:bookmarkEnd w:id="59"/>
    <w:bookmarkStart w:id="62" w:name="distribution-of-t-and-r"/>
    <w:p>
      <w:pPr>
        <w:pStyle w:val="Heading3"/>
      </w:pPr>
      <w:r>
        <w:t xml:space="preserve">5.4 Distribution of T and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t-r-dist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der_partisan_type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14898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29366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CSAP Code Notebook 02</w:t>
        </w:r>
      </w:hyperlink>
    </w:p>
    <w:bookmarkEnd w:id="62"/>
    <w:bookmarkStart w:id="65" w:name="distribution-of-covariates-by-t"/>
    <w:p>
      <w:pPr>
        <w:pStyle w:val="Heading3"/>
      </w:pPr>
      <w:r>
        <w:t xml:space="preserve">5.5 Distribution of Covariates by 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ovariate-dist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</w:t>
            </w:r>
          </w:p>
          <w:tbl>
            <w:tblPr>
              <w:tblStyle w:val="Table"/>
              <w:tblW w:type="pct" w:w="4960"/>
              <w:tblLayout w:type="fixed"/>
              <w:tblLook w:firstRow="1" w:lastRow="0" w:firstColumn="0" w:lastColumn="0" w:noHBand="0" w:noVBand="0" w:val="0020"/>
            </w:tblPr>
            <w:tblGrid>
              <w:gridCol w:w="2618"/>
              <w:gridCol w:w="2618"/>
              <w:gridCol w:w="26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</w:t>
                  </w:r>
                  <w:r>
                    <w:br/>
                  </w:r>
                  <w:r>
                    <w:t xml:space="preserve">N = 25,536</w:t>
                  </w:r>
                  <w:r>
                    <w:rPr>
                      <w:vertAlign w:val="superscript"/>
                    </w:rP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1</w:t>
                  </w:r>
                  <w:r>
                    <w:br/>
                  </w:r>
                  <w:r>
                    <w:t xml:space="preserve">N = 75,084</w:t>
                  </w:r>
                  <w:r>
                    <w:rPr>
                      <w:vertAlign w:val="superscript"/>
                    </w:rP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q_lrpos2_z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(-0.45, 0.29)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(-0.82, 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q_eupos2_z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 (-0.68, 0.46)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 (-0.68, 0.84)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q_econ_nativism_z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 (-1.03, 0.74)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 (-1.03, 0.74)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q_cult_nativism_z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(-1.03, 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(-1.03, 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q_satis_demo_country_z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(-0.81, 1.40)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(-0.81, 0.30)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q_understand_nat_pol_z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 (-0.65, 0.12)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 (-0.65, 0.90)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q_understand_eu_pol_z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(-0.50, 0.22)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(-0.50, 0.94)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q_parties_harm_z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(-0.38, 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(-0.38, 0.88)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q_officials_talk_action_z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(-0.33, 1.15)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(-0.33, 1.15)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q_politics_good_evil_z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(-0.76, 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(-0.76, 0.48)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q_people_unaware_z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(-0.81, 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 (-0.81, 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q_leaders_educated_z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(-0.32, 1.10)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(-1.03, 1.10)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q_expert_decisions_z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(-0.49, 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(-0.49, 0.80)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q_listen_other_groups_z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 (-0.74, 1.10)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 (-0.74, 1.10)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q_democracy_compromise_z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(-0.29, 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(-0.29, 0.57)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q_interest_pol_country_z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(-0.60, 0.72)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(-0.60, 0.72)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q_interest_pol_eu_z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 (-0.96, 0.39)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(-0.28, 1.06)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q_eval_finance_household_z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(-0.99, 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(-0.99, 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q_eval_job_z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(-0.80, 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(-0.80, 0.11)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q_eval_econ_country_z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(-1.03, 0.76)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(-1.03, 0.76)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q_eval_econ_eur_z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(-0.94, 1.09)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(-0.94, 1.09)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q_risk_taking_z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(-0.56, 0.78)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(-0.56, 0.78)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q_future_discount_z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(-0.84, 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(-0.84, 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q_edu_z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(-0.73, 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(-0.73, 0.57)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q_age_z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 (-0.92, 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 (-0.79, 0.91)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q_religion_en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catholic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8,606 (34%)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27,379 (36%)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no religion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9,462 (37%)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25,678 (34%)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protstnt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1,881 (7.4%)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7,570 (10%)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other religion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5,470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13,791 (18%)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muslim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114 (0.4%)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664 (0.9%)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q_perc_class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Working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5,307 (22%)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15,198 (21%)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Lower 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4,866 (20%)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13,924 (19%)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12,060 (49%)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35,019 (48%)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Upper 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2,055 (8.4%)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7,622 (10%)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Upper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191 (0.8%)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1,310 (1.8%)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q_rural_urban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Rural area or village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5,819 (23%)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17,093 (23%)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Small or middle sized town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9,069 (36%)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28,418 (38%)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Large town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10,573 (42%)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29,298 (39%)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q_gender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10,939 (43%)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39,456 (53%)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14,565 (57%)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35,514 (47%)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114 (0.2%)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vertAlign w:val="superscript"/>
                    </w:rPr>
                    <w:t xml:space="preserve">1</w:t>
                  </w:r>
                  <w:r>
                    <w:t xml:space="preserve"> </w:t>
                  </w:r>
                  <w:r>
                    <w:t xml:space="preserve">Median (Q1, Q3);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CSAP Code Notebook 02</w:t>
        </w:r>
      </w:hyperlink>
    </w:p>
    <w:bookmarkEnd w:id="65"/>
    <w:bookmarkStart w:id="66" w:name="robustness"/>
    <w:p>
      <w:pPr>
        <w:pStyle w:val="Heading3"/>
      </w:pPr>
      <w:r>
        <w:t xml:space="preserve">5.6 Robustness</w:t>
      </w:r>
    </w:p>
    <w:bookmarkEnd w:id="66"/>
    <w:bookmarkEnd w:id="67"/>
    <w:bookmarkStart w:id="68" w:name="Xf938f7a034e9b39da784faab40d2050327a2fbb"/>
    <w:p>
      <w:pPr>
        <w:pStyle w:val="Heading2"/>
      </w:pPr>
      <w:r>
        <w:t xml:space="preserve">Eidesstattliche Erklärung – Statutory Declaration</w:t>
      </w:r>
    </w:p>
    <w:p>
      <w:pPr>
        <w:pStyle w:val="FirstParagraph"/>
      </w:pPr>
      <w:r>
        <w:t xml:space="preserve">Hiermit versichere ich, dass diese Arbeit von mir persönlich verfasst ist</w:t>
      </w:r>
      <w:r>
        <w:t xml:space="preserve"> </w:t>
      </w:r>
      <w:r>
        <w:t xml:space="preserve">und dass ich keinerlei fremde Hilfe in Anspruch genommen habe. Ebenso</w:t>
      </w:r>
      <w:r>
        <w:t xml:space="preserve"> </w:t>
      </w:r>
      <w:r>
        <w:t xml:space="preserve">versichere ich, dass diese Arbeit oder Teile daraus weder von mir selbst</w:t>
      </w:r>
      <w:r>
        <w:t xml:space="preserve"> </w:t>
      </w:r>
      <w:r>
        <w:t xml:space="preserve">noch von anderen als Leistungsnachweise andernorts eingereicht wurden.</w:t>
      </w:r>
      <w:r>
        <w:t xml:space="preserve"> </w:t>
      </w:r>
      <w:r>
        <w:t xml:space="preserve">Wörtliche oder sinngemäße Übernahmen aus anderen Schriften und</w:t>
      </w:r>
      <w:r>
        <w:t xml:space="preserve"> </w:t>
      </w:r>
      <w:r>
        <w:t xml:space="preserve">Veröffentlichungen in gedruckter oder elektronischer Form sind</w:t>
      </w:r>
      <w:r>
        <w:t xml:space="preserve"> </w:t>
      </w:r>
      <w:r>
        <w:t xml:space="preserve">gekennzeichnet. Sämtliche Sekundärliteratur und sonstige Quellen sind</w:t>
      </w:r>
      <w:r>
        <w:t xml:space="preserve"> </w:t>
      </w:r>
      <w:r>
        <w:t xml:space="preserve">nachgewiesen und in der Bibliographie aufgeführt. Das Gleiche gilt für</w:t>
      </w:r>
      <w:r>
        <w:t xml:space="preserve"> </w:t>
      </w:r>
      <w:r>
        <w:t xml:space="preserve">graphische Darstellungen und Bilder sowie für alle Internet-Quellen. Ich</w:t>
      </w:r>
      <w:r>
        <w:t xml:space="preserve"> </w:t>
      </w:r>
      <w:r>
        <w:t xml:space="preserve">bin ferner damit einverstanden, dass meine Arbeit zum Zwecke eines</w:t>
      </w:r>
      <w:r>
        <w:t xml:space="preserve"> </w:t>
      </w:r>
      <w:r>
        <w:t xml:space="preserve">Plagiatsabgleichs in elektronischer Form anonymisiert versendet und</w:t>
      </w:r>
      <w:r>
        <w:t xml:space="preserve"> </w:t>
      </w:r>
      <w:r>
        <w:t xml:space="preserve">gespeichert werden kann. Mir ist bekannt, dass von der Korrektur der</w:t>
      </w:r>
      <w:r>
        <w:t xml:space="preserve"> </w:t>
      </w:r>
      <w:r>
        <w:t xml:space="preserve">Arbeit abgesehen und die Prüfungsleistung mit „nicht ausreichend“</w:t>
      </w:r>
      <w:r>
        <w:t xml:space="preserve"> </w:t>
      </w:r>
      <w:r>
        <w:t xml:space="preserve">bewertet werden kann, wenn die Erklärung nicht erteilt wird.</w:t>
      </w:r>
    </w:p>
    <w:p>
      <w:pPr>
        <w:pStyle w:val="BodyText"/>
      </w:pPr>
      <w:r>
        <w:t xml:space="preserve">I hereby declare that the paper presented is my own work and that I have</w:t>
      </w:r>
      <w:r>
        <w:t xml:space="preserve"> </w:t>
      </w:r>
      <w:r>
        <w:t xml:space="preserve">not called upon the help of a third party. In addition, I affirm that neither I</w:t>
      </w:r>
      <w:r>
        <w:t xml:space="preserve"> </w:t>
      </w:r>
      <w:r>
        <w:t xml:space="preserve">nor anybody else has submitted this paper or parts of it to obtain credits</w:t>
      </w:r>
      <w:r>
        <w:t xml:space="preserve"> </w:t>
      </w:r>
      <w:r>
        <w:t xml:space="preserve">elsewhere before. I have clearly marked and acknowledged all quotations</w:t>
      </w:r>
      <w:r>
        <w:t xml:space="preserve"> </w:t>
      </w:r>
      <w:r>
        <w:t xml:space="preserve">or references that have been taken from the works of other. All secondary</w:t>
      </w:r>
      <w:r>
        <w:t xml:space="preserve"> </w:t>
      </w:r>
      <w:r>
        <w:t xml:space="preserve">literature and other sources are marked and listed in the bibliography. The</w:t>
      </w:r>
      <w:r>
        <w:t xml:space="preserve"> </w:t>
      </w:r>
      <w:r>
        <w:t xml:space="preserve">same applies to all charts, diagrams and illustrations as well as to all Internet</w:t>
      </w:r>
      <w:r>
        <w:t xml:space="preserve"> </w:t>
      </w:r>
      <w:r>
        <w:t xml:space="preserve">sources. Moreover, I consent to my paper being electronically stores and</w:t>
      </w:r>
      <w:r>
        <w:t xml:space="preserve"> </w:t>
      </w:r>
      <w:r>
        <w:t xml:space="preserve">sent anonymously in order to be checked for plagiarism. I am aware that</w:t>
      </w:r>
      <w:r>
        <w:t xml:space="preserve"> </w:t>
      </w:r>
      <w:r>
        <w:t xml:space="preserve">the paper cannot be evaluated and may be graded</w:t>
      </w:r>
      <w:r>
        <w:t xml:space="preserve"> </w:t>
      </w:r>
      <w:r>
        <w:t xml:space="preserve">“failed”</w:t>
      </w:r>
      <w:r>
        <w:t xml:space="preserve"> </w:t>
      </w:r>
      <w:r>
        <w:t xml:space="preserve">(</w:t>
      </w:r>
      <w:r>
        <w:t xml:space="preserve">“nicht</w:t>
      </w:r>
      <w:r>
        <w:t xml:space="preserve"> </w:t>
      </w:r>
      <w:r>
        <w:t xml:space="preserve">ausreichend”</w:t>
      </w:r>
      <w:r>
        <w:t xml:space="preserve">) if the declaration is not made.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hyperlink" Id="rId30" Target="https://LS-Konig.github.io/CSAP/code\01_prep\01_wrangling-preview.html#cell-fig-exploratory-country-anal-dict" TargetMode="External" /><Relationship Type="http://schemas.openxmlformats.org/officeDocument/2006/relationships/hyperlink" Id="rId35" Target="https://LS-Konig.github.io/CSAP/code\01_prep\01_wrangling-preview.html#cell-fig-exploratory-country-anal-trust" TargetMode="External" /><Relationship Type="http://schemas.openxmlformats.org/officeDocument/2006/relationships/hyperlink" Id="rId25" Target="https://LS-Konig.github.io/CSAP/code\01_prep\01_wrangling-preview.html#cell-fig-impl-expl-distribution" TargetMode="External" /><Relationship Type="http://schemas.openxmlformats.org/officeDocument/2006/relationships/hyperlink" Id="rId58" Target="https://LS-Konig.github.io/CSAP/code\01_prep\02_descr_anal-preview.html#cell-fig-distr-y" TargetMode="External" /><Relationship Type="http://schemas.openxmlformats.org/officeDocument/2006/relationships/hyperlink" Id="rId64" Target="https://LS-Konig.github.io/CSAP/code\01_prep\02_descr_anal-preview.html#cell-tbl-covariate-distr" TargetMode="External" /><Relationship Type="http://schemas.openxmlformats.org/officeDocument/2006/relationships/hyperlink" Id="rId43" Target="https://LS-Konig.github.io/CSAP/code\01_prep\02_descr_anal-preview.html#cell-tbl-nresp-country" TargetMode="External" /><Relationship Type="http://schemas.openxmlformats.org/officeDocument/2006/relationships/hyperlink" Id="rId47" Target="https://LS-Konig.github.io/CSAP/code\01_prep\02_descr_anal-preview.html#cell-tbl-nresp-country-agegroup" TargetMode="External" /><Relationship Type="http://schemas.openxmlformats.org/officeDocument/2006/relationships/hyperlink" Id="rId45" Target="https://LS-Konig.github.io/CSAP/code\01_prep\02_descr_anal-preview.html#cell-tbl-nresp-country-gender" TargetMode="External" /><Relationship Type="http://schemas.openxmlformats.org/officeDocument/2006/relationships/hyperlink" Id="rId61" Target="https://LS-Konig.github.io/CSAP/code\01_prep\02_descr_anal-preview.html#cell-tbl-t-r-distr" TargetMode="External" /><Relationship Type="http://schemas.openxmlformats.org/officeDocument/2006/relationships/hyperlink" Id="rId38" Target="https://doi.org/10.1017/S00030554230002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LS-Konig.github.io/CSAP/code\01_prep\01_wrangling-preview.html#cell-fig-exploratory-country-anal-dict" TargetMode="External" /><Relationship Type="http://schemas.openxmlformats.org/officeDocument/2006/relationships/hyperlink" Id="rId35" Target="https://LS-Konig.github.io/CSAP/code\01_prep\01_wrangling-preview.html#cell-fig-exploratory-country-anal-trust" TargetMode="External" /><Relationship Type="http://schemas.openxmlformats.org/officeDocument/2006/relationships/hyperlink" Id="rId25" Target="https://LS-Konig.github.io/CSAP/code\01_prep\01_wrangling-preview.html#cell-fig-impl-expl-distribution" TargetMode="External" /><Relationship Type="http://schemas.openxmlformats.org/officeDocument/2006/relationships/hyperlink" Id="rId58" Target="https://LS-Konig.github.io/CSAP/code\01_prep\02_descr_anal-preview.html#cell-fig-distr-y" TargetMode="External" /><Relationship Type="http://schemas.openxmlformats.org/officeDocument/2006/relationships/hyperlink" Id="rId64" Target="https://LS-Konig.github.io/CSAP/code\01_prep\02_descr_anal-preview.html#cell-tbl-covariate-distr" TargetMode="External" /><Relationship Type="http://schemas.openxmlformats.org/officeDocument/2006/relationships/hyperlink" Id="rId43" Target="https://LS-Konig.github.io/CSAP/code\01_prep\02_descr_anal-preview.html#cell-tbl-nresp-country" TargetMode="External" /><Relationship Type="http://schemas.openxmlformats.org/officeDocument/2006/relationships/hyperlink" Id="rId47" Target="https://LS-Konig.github.io/CSAP/code\01_prep\02_descr_anal-preview.html#cell-tbl-nresp-country-agegroup" TargetMode="External" /><Relationship Type="http://schemas.openxmlformats.org/officeDocument/2006/relationships/hyperlink" Id="rId45" Target="https://LS-Konig.github.io/CSAP/code\01_prep\02_descr_anal-preview.html#cell-tbl-nresp-country-gender" TargetMode="External" /><Relationship Type="http://schemas.openxmlformats.org/officeDocument/2006/relationships/hyperlink" Id="rId61" Target="https://LS-Konig.github.io/CSAP/code\01_prep\02_descr_anal-preview.html#cell-tbl-t-r-distr" TargetMode="External" /><Relationship Type="http://schemas.openxmlformats.org/officeDocument/2006/relationships/hyperlink" Id="rId38" Target="https://doi.org/10.1017/S00030554230002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does partisan type influence affective polarization?</dc:title>
  <dc:creator>Tristan Muno; Thomas König</dc:creator>
  <cp:keywords/>
  <dcterms:created xsi:type="dcterms:W3CDTF">2026-01-09T18:01:35Z</dcterms:created>
  <dcterms:modified xsi:type="dcterms:W3CDTF">2026-01-09T18:01:35Z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Space for an abstract.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-style">
    <vt:lpwstr>apsr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date">
    <vt:lpwstr>January 9, 2026</vt:lpwstr>
  </property>
  <property fmtid="{D5CDD505-2E9C-101B-9397-08002B2CF9AE}" pid="12" name="date-format">
    <vt:lpwstr>MMMM D, YYYY</vt:lpwstr>
  </property>
  <property fmtid="{D5CDD505-2E9C-101B-9397-08002B2CF9AE}" pid="13" name="draft">
    <vt:lpwstr>True</vt:lpwstr>
  </property>
  <property fmtid="{D5CDD505-2E9C-101B-9397-08002B2CF9AE}" pid="14" name="draft-mode">
    <vt:lpwstr>visible</vt:lpwstr>
  </property>
  <property fmtid="{D5CDD505-2E9C-101B-9397-08002B2CF9AE}" pid="15" name="execute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link-citations">
    <vt:lpwstr>True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subtitle">
    <vt:lpwstr>A comparative study of 25 European democracies</vt:lpwstr>
  </property>
  <property fmtid="{D5CDD505-2E9C-101B-9397-08002B2CF9AE}" pid="28" name="template-partials">
    <vt:lpwstr/>
  </property>
  <property fmtid="{D5CDD505-2E9C-101B-9397-08002B2CF9AE}" pid="29" name="theme">
    <vt:lpwstr>cosmo</vt:lpwstr>
  </property>
  <property fmtid="{D5CDD505-2E9C-101B-9397-08002B2CF9AE}" pid="30" name="title-block-style">
    <vt:lpwstr>manuscript</vt:lpwstr>
  </property>
  <property fmtid="{D5CDD505-2E9C-101B-9397-08002B2CF9AE}" pid="31" name="toc-title">
    <vt:lpwstr>Table of contents</vt:lpwstr>
  </property>
  <property fmtid="{D5CDD505-2E9C-101B-9397-08002B2CF9AE}" pid="32" name="unroll-markdown-cells">
    <vt:lpwstr>True</vt:lpwstr>
  </property>
</Properties>
</file>