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j2d0fz1y55h" w:id="0"/>
      <w:bookmarkEnd w:id="0"/>
      <w:r w:rsidDel="00000000" w:rsidR="00000000" w:rsidRPr="00000000">
        <w:rPr>
          <w:rtl w:val="0"/>
        </w:rPr>
        <w:t xml:space="preserve">La poule qui Chante : Une entreprise à vocation mondiale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u w:val="single"/>
        </w:rPr>
      </w:pPr>
      <w:bookmarkStart w:colFirst="0" w:colLast="0" w:name="_i5xbspjfhr0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u w:val="single"/>
        </w:rPr>
      </w:pPr>
      <w:bookmarkStart w:colFirst="0" w:colLast="0" w:name="_whvqtjfxq8z2" w:id="2"/>
      <w:bookmarkEnd w:id="2"/>
      <w:r w:rsidDel="00000000" w:rsidR="00000000" w:rsidRPr="00000000">
        <w:rPr>
          <w:u w:val="single"/>
          <w:rtl w:val="0"/>
        </w:rPr>
        <w:t xml:space="preserve">Sources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stabilité politique : World press freedom 2017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 code and coordinates : https://gist.github.com/tadast/8827699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 alimentaire : issu du projet (openclassroom)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Données éco : https://www.fao.org/faostat/fr/#data/MK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FAO code def : https://www.fao.org/faostat/fr/#definitions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used language : ChatGPT (la langue choisie est la première parmis celle proposée)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population : issu du projet (openclassroom)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u w:val="single"/>
        </w:rPr>
      </w:pPr>
      <w:bookmarkStart w:colFirst="0" w:colLast="0" w:name="_58iw84b9fif7" w:id="3"/>
      <w:bookmarkEnd w:id="3"/>
      <w:r w:rsidDel="00000000" w:rsidR="00000000" w:rsidRPr="00000000">
        <w:rPr>
          <w:u w:val="single"/>
          <w:rtl w:val="0"/>
        </w:rPr>
        <w:t xml:space="preserve">Les Variables Choisies: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Stabilité politique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PIB par habitant (composite de la table PIB et population)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Taux d'importation (importation / Disponibilité intérieur)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Langue la plus parlé dans le pays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 de la France au pays cible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Heatmap de corrélation des variables 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On ne constate pas de corrélation significative entre les variables. On peut donc les conserver.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u w:val="single"/>
        </w:rPr>
      </w:pPr>
      <w:bookmarkStart w:colFirst="0" w:colLast="0" w:name="_3kgkdt6ij5mt" w:id="4"/>
      <w:bookmarkEnd w:id="4"/>
      <w:r w:rsidDel="00000000" w:rsidR="00000000" w:rsidRPr="00000000">
        <w:rPr>
          <w:u w:val="single"/>
          <w:rtl w:val="0"/>
        </w:rPr>
        <w:t xml:space="preserve">Méthode PCA 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>
          <w:u w:val="single"/>
        </w:rPr>
      </w:pPr>
      <w:bookmarkStart w:colFirst="0" w:colLast="0" w:name="_cbrlv3qp066n" w:id="5"/>
      <w:bookmarkEnd w:id="5"/>
      <w:r w:rsidDel="00000000" w:rsidR="00000000" w:rsidRPr="00000000">
        <w:rPr>
          <w:u w:val="single"/>
          <w:rtl w:val="0"/>
        </w:rPr>
        <w:t xml:space="preserve">Éblouis des valeurs propres 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30861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 bleu nous avons la variance expliquée de chaque composante et en rouge la somme cumulée de ces composantes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Les composantes PC1 et PC2 et PC3 nous permettent de garder 65 % de l'information totale.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Le critère de Kaiser :On ne retient que les axes supérieurs au à l'inertie moyenne soit 100/6. Seul les trois premiers rangs ont une inertie supérieur à 16,67 %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>
          <w:u w:val="single"/>
        </w:rPr>
      </w:pPr>
      <w:bookmarkStart w:colFirst="0" w:colLast="0" w:name="_az576pw1n6f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>
          <w:u w:val="single"/>
        </w:rPr>
      </w:pPr>
      <w:bookmarkStart w:colFirst="0" w:colLast="0" w:name="_sp44tujdmzp2" w:id="7"/>
      <w:bookmarkEnd w:id="7"/>
      <w:r w:rsidDel="00000000" w:rsidR="00000000" w:rsidRPr="00000000">
        <w:rPr>
          <w:u w:val="single"/>
          <w:rtl w:val="0"/>
        </w:rPr>
        <w:t xml:space="preserve">Cercle de corrélation des variables avec les composantes principales 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-447674</wp:posOffset>
            </wp:positionH>
            <wp:positionV relativeFrom="paragraph">
              <wp:posOffset>371475</wp:posOffset>
            </wp:positionV>
            <wp:extent cx="5600700" cy="5143500"/>
            <wp:effectExtent b="0" l="0" r="0" t="0"/>
            <wp:wrapTopAndBottom distB="114300" distT="11430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Dans notre analyse nous choisirons les deux premières composantes.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La direction des flèche nous indique une relative indépendance entre les variables dans le cadre de l’utilisation des deux premières composantes principales.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On peut constater une corrélation relative entre la variables de production/langue courante et PIB par habitant/Stabilité politique qui impacte les ‘influence” les composantes dans le même sens.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>
          <w:u w:val="single"/>
        </w:rPr>
      </w:pPr>
      <w:bookmarkStart w:colFirst="0" w:colLast="0" w:name="_2qhsxgqrrh4y" w:id="8"/>
      <w:bookmarkEnd w:id="8"/>
      <w:r w:rsidDel="00000000" w:rsidR="00000000" w:rsidRPr="00000000">
        <w:rPr>
          <w:u w:val="single"/>
          <w:rtl w:val="0"/>
        </w:rPr>
        <w:t xml:space="preserve">Coefficient de silhouette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430287</wp:posOffset>
            </wp:positionV>
            <wp:extent cx="5731200" cy="762000"/>
            <wp:effectExtent b="0" l="0" r="0" t="0"/>
            <wp:wrapTopAndBottom distB="114300" distT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Le nombre optimum de cluster est 10.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Diagramme en nuage de points des clusters et centroids :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4050" cy="1807225"/>
            <wp:effectExtent b="0" l="0" r="0" t="0"/>
            <wp:wrapTopAndBottom distB="114300" distT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664421</wp:posOffset>
                </wp:positionV>
                <wp:extent cx="2019300" cy="802429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84800" y="2385400"/>
                          <a:ext cx="5507700" cy="217200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664421</wp:posOffset>
                </wp:positionV>
                <wp:extent cx="2019300" cy="802429"/>
                <wp:effectExtent b="0" l="0" r="0" t="0"/>
                <wp:wrapTopAndBottom distB="114300" distT="114300"/>
                <wp:docPr id="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8024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Le cercle indique le cluster choisi. Le choix est principalement fait en fonction de la composante principale 1. Dans le cadre d’une politique d’ouverture à l’international, il est important par des pays proche, au niveau de vie élevé, et stable politiquement.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u w:val="single"/>
        </w:rPr>
      </w:pPr>
      <w:bookmarkStart w:colFirst="0" w:colLast="0" w:name="_5rwngib34k6m" w:id="9"/>
      <w:bookmarkEnd w:id="9"/>
      <w:r w:rsidDel="00000000" w:rsidR="00000000" w:rsidRPr="00000000">
        <w:rPr>
          <w:u w:val="single"/>
          <w:rtl w:val="0"/>
        </w:rPr>
        <w:t xml:space="preserve">Caractérisation des clusters 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 table du cluster choisi :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1460500"/>
            <wp:effectExtent b="0" l="0" r="0" t="0"/>
            <wp:wrapTopAndBottom distB="114300" distT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Graphique du cluster choisi (groupe 3) :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Ce cluster est germanophone à 25%.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889000"/>
            <wp:effectExtent b="0" l="0" r="0" t="0"/>
            <wp:wrapTopAndBottom distB="114300" distT="11430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Ce qui caractérise ce groupe est son fort PIB/habitant, sa forte stabilité, la faible distance avec la France de ses membres.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Pour la stabilité la dispersion est faible autour de la médiane qui est de 86,75%. Macao se détache avec une stabilité de 66,68.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Pour le PIB/habitant, il se situe entre 40k $ et 110k$, 50% des membres du groupe ont un PIB/habitant compris entre 46k $ et 78 k $.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La production de ses pays est faible et 50 % des membres du groupe ont un taux d’importation entre 27% et 78%.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Hors Macao tout les membres du groupe sont à moins de 2500 km de la France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C’est le groupe idéal pour démarrer notre internationalisation.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Groupe 1 :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Ce groupe est à 33% anglophone.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Caractéristiques principales :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Faible production (Q1  = 2 millier de tonnes et Q3 = 52 millier de tonnes) et faible dispersion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Fort taux d’importation (Q1  = 72% et Q3 = 101%) et faible dispersion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1244600"/>
            <wp:effectExtent b="0" l="0" r="0" t="0"/>
            <wp:wrapTopAndBottom distB="114300" distT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Groupe 2 :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47 % de pays Hispanophones.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Ces pays sont loin de la France, entre  2200 km et 12500 km avec une lower fence de 4500km et une upper fence 12 500 km. A noter l’Ukraine et la Turquie en outliers qui se situent à environ 2500 km de la France.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Le fait marquant de ce groupe un faible taux d'importation avec une faible dispersion entre ses membres. En effet, 50% de ses membres ont un taux d'importation entre 0,1% et 11%.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u w:val="single"/>
          <w:rtl w:val="0"/>
        </w:rPr>
        <w:t xml:space="preserve">Groupe 4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Il s’agit d’un groupe très disparate.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On constate une tendance, des pays fortement producteurs de viande de volaille sont présents 50 % de ces membres produisent entre 493 millier de tonnes (médiane) et 2351 millier de tonnes (Q3).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1244600"/>
            <wp:effectExtent b="0" l="0" r="0" t="0"/>
            <wp:wrapTopAndBottom distB="114300" distT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Groupe 5 :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32 % de pays arabophones.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Ce groupe est caractérisé par un PIB/habitant très faible 50 % de ces membres ont cette variables comprise entre 1300 $ et 4200$.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On constate aussi une faible stabilité politique comprise entre 30 et 70 avec 50% du groupe entre 45% (Q1) et 59% (Q3).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Groupe 6: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Le premier pays producteur mondial représente à lui seul un cluster : les USA.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les États-Unis produise à eux seul 21 000 tonne de viande de volaille par an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C’est un pays qui n’importe pas de viande de volaille.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Groupe 7 :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27 % de pays francophones et 29% de pays anglophones.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Ce groupe a deux caractéristiques principales: sa pauvreté et sa faible production de viande de volaille ainsi qu’une faible stabilité.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L’élément le plus marquant, un PIB par habitant compris entre 814 $ et 5120 $ pour 50% de ses membres.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Deux outliers retiennent notre attention dans ce groupe, la Nouvelle Calédonie et la Polynésie française qui ont un PIB/habitant qui se détache nettement des autres pays, respectivement 33k $ et 21k $.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 termes de production 50% de ses membres oscillent entre 7(Q1) et 77(Q3) millier de tonnes produites de viande de volaille.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Groupe 8 :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Il s’agit des deux producteurs suivant les États-Unis respectivement.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La Chine et le Brésil se distinguent par une forte production et une quasi existence d’importation. Ces pays produisent respectivement 18 k tonnes et 14k tonnes.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Groupe 9 :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Le fait marquant avec Hong Kong et la Belgique est leur taux exorbitant d’importation. En effet, il importe 3 fois pour Hong Kong et 2 fois pour la Belgique leur disponibilité intérieure par an. Ceci s’explique par leur rôle de point d’entrée de marchandise pour leur zone géographique. Dans une moindre mesure les Pays-Bas présent dans le groupe 3 s'illustrent de la même manière avec 1,6 fois leur disponibilité importé.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Groupe 10 :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Ce groupe est composé de 4 nations : la Corée du Nord, Cuba, le Turkménistan et le Vietnam. Il s’impose comme le groupe le plus instable politiquement, Cuba est la nation la plus stable du groupe avec 28% de stabilité. Le mauvais élève du groupe est la Corée du Nord avec 15 % de stabilité.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Cet indicateur particulièrement mauvais pour ce groupe est un des symptômes qui indique qu’il ne vaut mieux pas s’engager de ce groupe de pays.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6.png"/><Relationship Id="rId22" Type="http://schemas.openxmlformats.org/officeDocument/2006/relationships/image" Target="media/image16.png"/><Relationship Id="rId10" Type="http://schemas.openxmlformats.org/officeDocument/2006/relationships/image" Target="media/image3.png"/><Relationship Id="rId21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18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15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4.png"/><Relationship Id="rId18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