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17212B"/>
          <w:sz w:val="36"/>
        </w:rPr>
        <w:t>2026 국토교통 서비스 발굴 경연 참가신청서 작성 초안</w:t>
      </w:r>
    </w:p>
    <w:p>
      <w:pPr>
        <w:jc w:val="center"/>
      </w:pPr>
      <w:r>
        <w:rPr>
          <w:rFonts w:ascii="Malgun Gothic" w:hAnsi="Malgun Gothic" w:eastAsia="Malgun Gothic"/>
          <w:b/>
          <w:color w:val="2E74B5"/>
          <w:sz w:val="22"/>
        </w:rPr>
        <w:t>MoveValue: 주거-이동 통합 생활권 매칭 서비스</w:t>
      </w:r>
    </w:p>
    <w:p>
      <w:r>
        <w:rPr>
          <w:rFonts w:ascii="Malgun Gothic" w:hAnsi="Malgun Gothic" w:eastAsia="Malgun Gothic"/>
          <w:b/>
          <w:sz w:val="21"/>
        </w:rPr>
        <w:t>주의: 연락처, 서명, 개인정보 수집·이용 동의는 제출 전 신청자가 직접 확인하고 기재해야 합니다.</w:t>
      </w:r>
    </w:p>
    <w:p>
      <w:pPr>
        <w:pStyle w:val="Heading1"/>
      </w:pPr>
      <w:r>
        <w:rPr>
          <w:rFonts w:ascii="Malgun Gothic" w:hAnsi="Malgun Gothic" w:eastAsia="Malgun Gothic"/>
          <w:b/>
          <w:color w:val="2E74B5"/>
          <w:sz w:val="32"/>
        </w:rPr>
        <w:t>1. 참가 신청서</w:t>
      </w:r>
    </w:p>
    <w:tbl>
      <w:tblPr>
        <w:tblW w:type="auto" w:w="0"/>
        <w:tblLayout w:type="fixed"/>
        <w:tblLook w:firstColumn="1" w:firstRow="1" w:lastColumn="0" w:lastRow="0" w:noHBand="0" w:noVBand="1" w:val="04A0"/>
        <w:jc w:val="left"/>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4680"/>
        <w:gridCol w:w="4680"/>
      </w:tblGrid>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신청 기관명</w:t>
            </w:r>
          </w:p>
        </w:tc>
        <w:tc>
          <w:tcPr>
            <w:tcW w:type="dxa" w:w="4680"/>
            <w:vAlign w:val="center"/>
            <w:tcMar>
              <w:top w:w="80" w:type="dxa"/>
              <w:start w:w="120" w:type="dxa"/>
              <w:bottom w:w="80" w:type="dxa"/>
              <w:end w:w="120" w:type="dxa"/>
            </w:tcMar>
          </w:tcPr>
          <w:p>
            <w:r/>
            <w:r>
              <w:rPr>
                <w:rFonts w:ascii="Malgun Gothic" w:hAnsi="Malgun Gothic" w:eastAsia="Malgun Gothic"/>
                <w:b w:val="0"/>
                <w:sz w:val="20"/>
              </w:rPr>
              <w:t>이승보 / MoveValue 프로젝트팀(개인 참가, 예비창업)</w:t>
            </w:r>
          </w:p>
        </w:tc>
      </w:tr>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사업 분야</w:t>
            </w:r>
          </w:p>
        </w:tc>
        <w:tc>
          <w:tcPr>
            <w:tcW w:type="dxa" w:w="4680"/>
            <w:vAlign w:val="center"/>
            <w:tcMar>
              <w:top w:w="80" w:type="dxa"/>
              <w:start w:w="120" w:type="dxa"/>
              <w:bottom w:w="80" w:type="dxa"/>
              <w:end w:w="120" w:type="dxa"/>
            </w:tcMar>
          </w:tcPr>
          <w:p>
            <w:r/>
            <w:r>
              <w:rPr>
                <w:rFonts w:ascii="Malgun Gothic" w:hAnsi="Malgun Gothic" w:eastAsia="Malgun Gothic"/>
                <w:b w:val="0"/>
                <w:sz w:val="20"/>
              </w:rPr>
              <w:t>국토교통 데이터 기반 생활권 추천·부동산·교통 연계 서비스</w:t>
            </w:r>
          </w:p>
        </w:tc>
      </w:tr>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신청 담당자명</w:t>
            </w:r>
          </w:p>
        </w:tc>
        <w:tc>
          <w:tcPr>
            <w:tcW w:type="dxa" w:w="4680"/>
            <w:vAlign w:val="center"/>
            <w:tcMar>
              <w:top w:w="80" w:type="dxa"/>
              <w:start w:w="120" w:type="dxa"/>
              <w:bottom w:w="80" w:type="dxa"/>
              <w:end w:w="120" w:type="dxa"/>
            </w:tcMar>
          </w:tcPr>
          <w:p>
            <w:r/>
            <w:r>
              <w:rPr>
                <w:rFonts w:ascii="Malgun Gothic" w:hAnsi="Malgun Gothic" w:eastAsia="Malgun Gothic"/>
                <w:b w:val="0"/>
                <w:sz w:val="20"/>
              </w:rPr>
              <w:t>이승보</w:t>
            </w:r>
          </w:p>
        </w:tc>
      </w:tr>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담당자 연락처</w:t>
            </w:r>
          </w:p>
        </w:tc>
        <w:tc>
          <w:tcPr>
            <w:tcW w:type="dxa" w:w="4680"/>
            <w:vAlign w:val="center"/>
            <w:tcMar>
              <w:top w:w="80" w:type="dxa"/>
              <w:start w:w="120" w:type="dxa"/>
              <w:bottom w:w="80" w:type="dxa"/>
              <w:end w:w="120" w:type="dxa"/>
            </w:tcMar>
          </w:tcPr>
          <w:p>
            <w:r/>
            <w:r>
              <w:rPr>
                <w:rFonts w:ascii="Malgun Gothic" w:hAnsi="Malgun Gothic" w:eastAsia="Malgun Gothic"/>
                <w:b w:val="0"/>
                <w:sz w:val="20"/>
              </w:rPr>
              <w:t>제출 전 기재</w:t>
            </w:r>
          </w:p>
        </w:tc>
      </w:tr>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담당자 이메일</w:t>
            </w:r>
          </w:p>
        </w:tc>
        <w:tc>
          <w:tcPr>
            <w:tcW w:type="dxa" w:w="4680"/>
            <w:vAlign w:val="center"/>
            <w:tcMar>
              <w:top w:w="80" w:type="dxa"/>
              <w:start w:w="120" w:type="dxa"/>
              <w:bottom w:w="80" w:type="dxa"/>
              <w:end w:w="120" w:type="dxa"/>
            </w:tcMar>
          </w:tcPr>
          <w:p>
            <w:r/>
            <w:r>
              <w:rPr>
                <w:rFonts w:ascii="Malgun Gothic" w:hAnsi="Malgun Gothic" w:eastAsia="Malgun Gothic"/>
                <w:b w:val="0"/>
                <w:sz w:val="20"/>
              </w:rPr>
              <w:t>knightpen@icloud.com</w:t>
            </w:r>
          </w:p>
        </w:tc>
      </w:tr>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서비스 모델명</w:t>
            </w:r>
          </w:p>
        </w:tc>
        <w:tc>
          <w:tcPr>
            <w:tcW w:type="dxa" w:w="4680"/>
            <w:vAlign w:val="center"/>
            <w:tcMar>
              <w:top w:w="80" w:type="dxa"/>
              <w:start w:w="120" w:type="dxa"/>
              <w:bottom w:w="80" w:type="dxa"/>
              <w:end w:w="120" w:type="dxa"/>
            </w:tcMar>
          </w:tcPr>
          <w:p>
            <w:r/>
            <w:r>
              <w:rPr>
                <w:rFonts w:ascii="Malgun Gothic" w:hAnsi="Malgun Gothic" w:eastAsia="Malgun Gothic"/>
                <w:b w:val="0"/>
                <w:sz w:val="20"/>
              </w:rPr>
              <w:t>MoveValue: 주거-이동 통합 생활권 매칭 서비스</w:t>
            </w:r>
          </w:p>
        </w:tc>
      </w:tr>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서비스 사업 분야</w:t>
            </w:r>
          </w:p>
        </w:tc>
        <w:tc>
          <w:tcPr>
            <w:tcW w:type="dxa" w:w="4680"/>
            <w:vAlign w:val="center"/>
            <w:tcMar>
              <w:top w:w="80" w:type="dxa"/>
              <w:start w:w="120" w:type="dxa"/>
              <w:bottom w:w="80" w:type="dxa"/>
              <w:end w:w="120" w:type="dxa"/>
            </w:tcMar>
          </w:tcPr>
          <w:p>
            <w:r/>
            <w:r>
              <w:rPr>
                <w:rFonts w:ascii="Malgun Gothic" w:hAnsi="Malgun Gothic" w:eastAsia="Malgun Gothic"/>
                <w:b w:val="0"/>
                <w:sz w:val="20"/>
              </w:rPr>
              <w:t>부동산·교통·MaaS·생활 SOC 데이터 융합 서비스</w:t>
            </w:r>
          </w:p>
        </w:tc>
      </w:tr>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산출물</w:t>
            </w:r>
          </w:p>
        </w:tc>
        <w:tc>
          <w:tcPr>
            <w:tcW w:type="dxa" w:w="4680"/>
            <w:vAlign w:val="center"/>
            <w:tcMar>
              <w:top w:w="80" w:type="dxa"/>
              <w:start w:w="120" w:type="dxa"/>
              <w:bottom w:w="80" w:type="dxa"/>
              <w:end w:w="120" w:type="dxa"/>
            </w:tcMar>
          </w:tcPr>
          <w:p>
            <w:r/>
            <w:r>
              <w:rPr>
                <w:rFonts w:ascii="Malgun Gothic" w:hAnsi="Malgun Gothic" w:eastAsia="Malgun Gothic"/>
                <w:b w:val="0"/>
                <w:sz w:val="20"/>
              </w:rPr>
              <w:t>웹 기반 생활권 추천 프로토타입, 점수 산정 엔진, 데이터 연계 설계서, 서비스 기획서</w:t>
            </w:r>
          </w:p>
        </w:tc>
      </w:tr>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소요 예산</w:t>
            </w:r>
          </w:p>
        </w:tc>
        <w:tc>
          <w:tcPr>
            <w:tcW w:type="dxa" w:w="4680"/>
            <w:vAlign w:val="center"/>
            <w:tcMar>
              <w:top w:w="80" w:type="dxa"/>
              <w:start w:w="120" w:type="dxa"/>
              <w:bottom w:w="80" w:type="dxa"/>
              <w:end w:w="120" w:type="dxa"/>
            </w:tcMar>
          </w:tcPr>
          <w:p>
            <w:r/>
            <w:r>
              <w:rPr>
                <w:rFonts w:ascii="Malgun Gothic" w:hAnsi="Malgun Gothic" w:eastAsia="Malgun Gothic"/>
                <w:b w:val="0"/>
                <w:sz w:val="20"/>
              </w:rPr>
              <w:t>20,000천원</w:t>
            </w:r>
          </w:p>
        </w:tc>
      </w:tr>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소요 기간</w:t>
            </w:r>
          </w:p>
        </w:tc>
        <w:tc>
          <w:tcPr>
            <w:tcW w:type="dxa" w:w="4680"/>
            <w:vAlign w:val="center"/>
            <w:tcMar>
              <w:top w:w="80" w:type="dxa"/>
              <w:start w:w="120" w:type="dxa"/>
              <w:bottom w:w="80" w:type="dxa"/>
              <w:end w:w="120" w:type="dxa"/>
            </w:tcMar>
          </w:tcPr>
          <w:p>
            <w:r/>
            <w:r>
              <w:rPr>
                <w:rFonts w:ascii="Malgun Gothic" w:hAnsi="Malgun Gothic" w:eastAsia="Malgun Gothic"/>
                <w:b w:val="0"/>
                <w:sz w:val="20"/>
              </w:rPr>
              <w:t>2026.06.20 ~ 2026.08.31(약 2.5개월)</w:t>
            </w:r>
          </w:p>
        </w:tc>
      </w:tr>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주관 기업</w:t>
            </w:r>
          </w:p>
        </w:tc>
        <w:tc>
          <w:tcPr>
            <w:tcW w:type="dxa" w:w="4680"/>
            <w:vAlign w:val="center"/>
            <w:tcMar>
              <w:top w:w="80" w:type="dxa"/>
              <w:start w:w="120" w:type="dxa"/>
              <w:bottom w:w="80" w:type="dxa"/>
              <w:end w:w="120" w:type="dxa"/>
            </w:tcMar>
          </w:tcPr>
          <w:p>
            <w:r/>
            <w:r>
              <w:rPr>
                <w:rFonts w:ascii="Malgun Gothic" w:hAnsi="Malgun Gothic" w:eastAsia="Malgun Gothic"/>
                <w:b w:val="0"/>
                <w:sz w:val="20"/>
              </w:rPr>
              <w:t>MoveValue 프로젝트팀: 서비스 기획, 프로토타입 개발, 데이터 결합·스코어링</w:t>
            </w:r>
          </w:p>
        </w:tc>
      </w:tr>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협력 기업</w:t>
            </w:r>
          </w:p>
        </w:tc>
        <w:tc>
          <w:tcPr>
            <w:tcW w:type="dxa" w:w="4680"/>
            <w:vAlign w:val="center"/>
            <w:tcMar>
              <w:top w:w="80" w:type="dxa"/>
              <w:start w:w="120" w:type="dxa"/>
              <w:bottom w:w="80" w:type="dxa"/>
              <w:end w:w="120" w:type="dxa"/>
            </w:tcMar>
          </w:tcPr>
          <w:p>
            <w:r/>
            <w:r>
              <w:rPr>
                <w:rFonts w:ascii="Malgun Gothic" w:hAnsi="Malgun Gothic" w:eastAsia="Malgun Gothic"/>
                <w:b w:val="0"/>
                <w:sz w:val="20"/>
              </w:rPr>
              <w:t>협력 후보: 국토교통 데이터 보유기관, 부동산 플랫폼, MaaS/교통 데이터 사업자</w:t>
            </w:r>
          </w:p>
        </w:tc>
      </w:tr>
    </w:tbl>
    <w:p/>
    <w:p>
      <w:pPr>
        <w:pStyle w:val="Heading1"/>
      </w:pPr>
      <w:r>
        <w:rPr>
          <w:rFonts w:ascii="Malgun Gothic" w:hAnsi="Malgun Gothic" w:eastAsia="Malgun Gothic"/>
          <w:b/>
          <w:color w:val="2E74B5"/>
          <w:sz w:val="32"/>
        </w:rPr>
        <w:t>2. 실증서비스 모델 구현 기획서</w:t>
      </w:r>
    </w:p>
    <w:p>
      <w:pPr>
        <w:pStyle w:val="Heading2"/>
      </w:pPr>
      <w:r>
        <w:rPr>
          <w:rFonts w:ascii="Malgun Gothic" w:hAnsi="Malgun Gothic" w:eastAsia="Malgun Gothic"/>
          <w:b/>
          <w:color w:val="2E74B5"/>
          <w:sz w:val="26"/>
        </w:rPr>
        <w:t>서비스 모델명 및 분야</w:t>
      </w:r>
    </w:p>
    <w:p>
      <w:r>
        <w:rPr>
          <w:rFonts w:ascii="Malgun Gothic" w:hAnsi="Malgun Gothic" w:eastAsia="Malgun Gothic"/>
          <w:b w:val="0"/>
          <w:sz w:val="21"/>
        </w:rPr>
        <w:t>MoveValue: 주거-이동 통합 생활권 매칭 서비스. 분야는 국토교통 데이터 융합, 생활권 추천, 부동산·교통 연계 서비스입니다.</w:t>
      </w:r>
    </w:p>
    <w:p>
      <w:pPr>
        <w:pStyle w:val="Heading2"/>
      </w:pPr>
      <w:r>
        <w:rPr>
          <w:rFonts w:ascii="Malgun Gothic" w:hAnsi="Malgun Gothic" w:eastAsia="Malgun Gothic"/>
          <w:b/>
          <w:color w:val="2E74B5"/>
          <w:sz w:val="26"/>
        </w:rPr>
        <w:t>서비스 제공 대상</w:t>
      </w:r>
    </w:p>
    <w:p>
      <w:r>
        <w:rPr>
          <w:rFonts w:ascii="Malgun Gothic" w:hAnsi="Malgun Gothic" w:eastAsia="Malgun Gothic"/>
          <w:b w:val="0"/>
          <w:sz w:val="21"/>
        </w:rPr>
        <w:t>공공 및 민간 모두 해당합니다. 공공은 지자체·정책 부서·공공 데이터 활용 사업을 대상으로 하고, 민간은 부동산 플랫폼·MaaS 플랫폼·기업 이주 지원 서비스·일반 시민을 대상으로 합니다.</w:t>
      </w:r>
    </w:p>
    <w:p>
      <w:pPr>
        <w:pStyle w:val="Heading2"/>
      </w:pPr>
      <w:r>
        <w:rPr>
          <w:rFonts w:ascii="Malgun Gothic" w:hAnsi="Malgun Gothic" w:eastAsia="Malgun Gothic"/>
          <w:b/>
          <w:color w:val="2E74B5"/>
          <w:sz w:val="26"/>
        </w:rPr>
        <w:t>실증서비스 아이디어 모델 개요</w:t>
      </w:r>
    </w:p>
    <w:p>
      <w:r>
        <w:rPr>
          <w:rFonts w:ascii="Malgun Gothic" w:hAnsi="Malgun Gothic" w:eastAsia="Malgun Gothic"/>
          <w:b w:val="0"/>
          <w:sz w:val="21"/>
        </w:rPr>
        <w:t>MoveValue는 사용자의 월 주거 예산, 출퇴근 목적지, 가구 유형, 생활 인프라 우선순위를 입력받아 후보 생활권을 추천하는 서비스입니다. 단순 월세나 매매가가 아니라 주거비, 이동시간, 환승 편의, 생활 SOC 접근성, 안전·환경 지표를 함께 계산합니다. 핵심 기능은 생활권 랭킹, 항목별 점수 설명, 후보지 비교, 정책·플랫폼용 API 제공입니다.</w:t>
      </w:r>
    </w:p>
    <w:p>
      <w:pPr>
        <w:pStyle w:val="Heading2"/>
      </w:pPr>
      <w:r>
        <w:rPr>
          <w:rFonts w:ascii="Malgun Gothic" w:hAnsi="Malgun Gothic" w:eastAsia="Malgun Gothic"/>
          <w:b/>
          <w:color w:val="2E74B5"/>
          <w:sz w:val="26"/>
        </w:rPr>
        <w:t>배경 및 필요성</w:t>
      </w:r>
    </w:p>
    <w:p>
      <w:r>
        <w:rPr>
          <w:rFonts w:ascii="Malgun Gothic" w:hAnsi="Malgun Gothic" w:eastAsia="Malgun Gothic"/>
          <w:b w:val="0"/>
          <w:sz w:val="21"/>
        </w:rPr>
        <w:t>주거 선택 과정에서 시민은 가격, 직장 접근성, 대중교통, 생활시설을 각각 따로 검색해야 합니다. 이 때문에 월세는 낮지만 통근시간과 교통비가 높아지는 선택, 환승 부담이 큰 선택, 생활 인프라 접근성이 떨어지는 선택이 발생합니다. 국토교통 분야에는 실거래가, 지오코딩, 도시철도 역사, 교통 데이터 오픈마켓 등 활용 가능한 데이터가 이미 존재하지만 시민의 실제 의사결정 화면까지 연결되는 서비스는 제한적입니다.</w:t>
      </w:r>
    </w:p>
    <w:p>
      <w:pPr>
        <w:pStyle w:val="Heading2"/>
      </w:pPr>
      <w:r>
        <w:rPr>
          <w:rFonts w:ascii="Malgun Gothic" w:hAnsi="Malgun Gothic" w:eastAsia="Malgun Gothic"/>
          <w:b/>
          <w:color w:val="2E74B5"/>
          <w:sz w:val="26"/>
        </w:rPr>
        <w:t>차별성</w:t>
      </w:r>
    </w:p>
    <w:p>
      <w:r>
        <w:rPr>
          <w:rFonts w:ascii="Malgun Gothic" w:hAnsi="Malgun Gothic" w:eastAsia="Malgun Gothic"/>
          <w:b w:val="0"/>
          <w:sz w:val="21"/>
        </w:rPr>
        <w:t>기존 부동산 서비스는 매물 가격과 위치 검색 중심입니다. MoveValue는 거주 후 매월 발생하는 이동 부담과 생활 접근성을 비용화·점수화합니다. 추천 결과를 블랙박스로 제시하지 않고 주거비·통근·교통 접근성·생활 SOC·환경 항목별 근거를 함께 보여줍니다. 공공데이터만으로 최소 기능을 구현할 수 있고, 민간 이동 데이터나 플랫폼 데이터가 붙으면 정밀도를 높일 수 있는 단계형 구조입니다.</w:t>
      </w:r>
    </w:p>
    <w:p>
      <w:pPr>
        <w:pStyle w:val="Heading2"/>
      </w:pPr>
      <w:r>
        <w:rPr>
          <w:rFonts w:ascii="Malgun Gothic" w:hAnsi="Malgun Gothic" w:eastAsia="Malgun Gothic"/>
          <w:b/>
          <w:color w:val="2E74B5"/>
          <w:sz w:val="26"/>
        </w:rPr>
        <w:t>현황 및 구체화 방안</w:t>
      </w:r>
    </w:p>
    <w:p>
      <w:r>
        <w:rPr>
          <w:rFonts w:ascii="Malgun Gothic" w:hAnsi="Malgun Gothic" w:eastAsia="Malgun Gothic"/>
          <w:b w:val="0"/>
          <w:sz w:val="21"/>
        </w:rPr>
        <w:t>현재 작업공간에는 서울시 2025 전월세 실데이터를 집계한 API 기반 웹 프로토타입이 구현되어 있습니다. 선정 후에는 국토교통부 실거래가 API, VWorld 지오코더, 대중교통 경로 API, 전국도시철도 역사정보, 국가교통 데이터 오픈마켓 데이터를 추가 어댑터로 연결합니다. 최종 산출물은 웹 프로토타입 1식, 데이터 연계 모듈 1식, 생활권 점수 산정 API 1식, 지자체·플랫폼용 리포트 예시 1식으로 구성합니다.</w:t>
      </w:r>
    </w:p>
    <w:p>
      <w:pPr>
        <w:pStyle w:val="Heading2"/>
      </w:pPr>
      <w:r>
        <w:rPr>
          <w:rFonts w:ascii="Malgun Gothic" w:hAnsi="Malgun Gothic" w:eastAsia="Malgun Gothic"/>
          <w:b/>
          <w:color w:val="2E74B5"/>
          <w:sz w:val="26"/>
        </w:rPr>
        <w:t>서비스 구현을 위한 협력 방안</w:t>
      </w:r>
    </w:p>
    <w:p>
      <w:r>
        <w:rPr>
          <w:rFonts w:ascii="Malgun Gothic" w:hAnsi="Malgun Gothic" w:eastAsia="Malgun Gothic"/>
          <w:b w:val="0"/>
          <w:sz w:val="21"/>
        </w:rPr>
        <w:t>협력 후보는 공공데이터 제공기관과 국토교통 데이터 오픈마켓, 부동산 플랫폼 또는 지역 중개 네트워크, 지자체·교통 데이터 사업자입니다. MoveValue가 데이터 결합, 점수 산정, 화면/API 개발을 맡고, 데이터 공급자는 원천 데이터 및 품질 정보를 제공하며, 수요처는 서비스 실증과 사용자 피드백을 제공하는 구조입니다.</w:t>
      </w:r>
    </w:p>
    <w:p>
      <w:pPr>
        <w:pStyle w:val="Heading2"/>
      </w:pPr>
      <w:r>
        <w:rPr>
          <w:rFonts w:ascii="Malgun Gothic" w:hAnsi="Malgun Gothic" w:eastAsia="Malgun Gothic"/>
          <w:b/>
          <w:color w:val="2E74B5"/>
          <w:sz w:val="26"/>
        </w:rPr>
        <w:t>기대효과</w:t>
      </w:r>
    </w:p>
    <w:p>
      <w:r>
        <w:rPr>
          <w:rFonts w:ascii="Malgun Gothic" w:hAnsi="Malgun Gothic" w:eastAsia="Malgun Gothic"/>
          <w:b w:val="0"/>
          <w:sz w:val="21"/>
        </w:rPr>
        <w:t>시민은 주거비만 보고 결정할 때 놓치기 쉬운 통근시간, 교통비, 생활 인프라 접근성을 한 화면에서 비교할 수 있습니다. 지자체는 생활권별 교통·주거 부담을 시민 관점으로 파악해 정책 우선순위를 정할 수 있고, 민간 플랫폼은 국토교통 데이터 기반 부가 서비스를 붙여 차별화할 수 있습니다.</w:t>
      </w:r>
    </w:p>
    <w:p>
      <w:pPr>
        <w:pStyle w:val="Heading2"/>
      </w:pPr>
      <w:r>
        <w:rPr>
          <w:rFonts w:ascii="Malgun Gothic" w:hAnsi="Malgun Gothic" w:eastAsia="Malgun Gothic"/>
          <w:b/>
          <w:color w:val="2E74B5"/>
          <w:sz w:val="26"/>
        </w:rPr>
        <w:t>소요 기간</w:t>
      </w:r>
    </w:p>
    <w:p>
      <w:r>
        <w:rPr>
          <w:rFonts w:ascii="Malgun Gothic" w:hAnsi="Malgun Gothic" w:eastAsia="Malgun Gothic"/>
          <w:b w:val="0"/>
          <w:sz w:val="21"/>
        </w:rPr>
        <w:t>2026.06.20 ~ 2026.08.31(약 2.5개월)</w:t>
      </w:r>
    </w:p>
    <w:p>
      <w:pPr>
        <w:pStyle w:val="Heading2"/>
      </w:pPr>
      <w:r>
        <w:rPr>
          <w:rFonts w:ascii="Malgun Gothic" w:hAnsi="Malgun Gothic" w:eastAsia="Malgun Gothic"/>
          <w:b/>
          <w:color w:val="2E74B5"/>
          <w:sz w:val="26"/>
        </w:rPr>
        <w:t>소요 예산</w:t>
      </w:r>
    </w:p>
    <w:p>
      <w:r>
        <w:rPr>
          <w:rFonts w:ascii="Malgun Gothic" w:hAnsi="Malgun Gothic" w:eastAsia="Malgun Gothic"/>
          <w:b w:val="0"/>
          <w:sz w:val="21"/>
        </w:rPr>
        <w:t>총 20,000천원</w:t>
      </w:r>
    </w:p>
    <w:p>
      <w:pPr>
        <w:spacing w:after="80"/>
        <w:ind w:left="259" w:hanging="259"/>
      </w:pPr>
      <w:r>
        <w:rPr>
          <w:rFonts w:ascii="Malgun Gothic" w:hAnsi="Malgun Gothic" w:eastAsia="Malgun Gothic"/>
          <w:b/>
          <w:sz w:val="20"/>
        </w:rPr>
        <w:t xml:space="preserve">데이터 수집·정제: </w:t>
      </w:r>
      <w:r>
        <w:rPr>
          <w:rFonts w:ascii="Malgun Gothic" w:hAnsi="Malgun Gothic" w:eastAsia="Malgun Gothic"/>
          <w:b w:val="0"/>
          <w:sz w:val="20"/>
        </w:rPr>
        <w:t>5,000천원 - API 연계, 데이터 정규화, 품질 점검</w:t>
      </w:r>
    </w:p>
    <w:p>
      <w:pPr>
        <w:spacing w:after="80"/>
        <w:ind w:left="259" w:hanging="259"/>
      </w:pPr>
      <w:r>
        <w:rPr>
          <w:rFonts w:ascii="Malgun Gothic" w:hAnsi="Malgun Gothic" w:eastAsia="Malgun Gothic"/>
          <w:b/>
          <w:sz w:val="20"/>
        </w:rPr>
        <w:t xml:space="preserve">프로토타입 개발: </w:t>
      </w:r>
      <w:r>
        <w:rPr>
          <w:rFonts w:ascii="Malgun Gothic" w:hAnsi="Malgun Gothic" w:eastAsia="Malgun Gothic"/>
          <w:b w:val="0"/>
          <w:sz w:val="20"/>
        </w:rPr>
        <w:t>8,000천원 - 웹 UI, 점수 엔진, API 어댑터</w:t>
      </w:r>
    </w:p>
    <w:p>
      <w:pPr>
        <w:spacing w:after="80"/>
        <w:ind w:left="259" w:hanging="259"/>
      </w:pPr>
      <w:r>
        <w:rPr>
          <w:rFonts w:ascii="Malgun Gothic" w:hAnsi="Malgun Gothic" w:eastAsia="Malgun Gothic"/>
          <w:b/>
          <w:sz w:val="20"/>
        </w:rPr>
        <w:t xml:space="preserve">지도·분석 고도화: </w:t>
      </w:r>
      <w:r>
        <w:rPr>
          <w:rFonts w:ascii="Malgun Gothic" w:hAnsi="Malgun Gothic" w:eastAsia="Malgun Gothic"/>
          <w:b w:val="0"/>
          <w:sz w:val="20"/>
        </w:rPr>
        <w:t>3,000천원 - 지도 시각화, 생활권 분석</w:t>
      </w:r>
    </w:p>
    <w:p>
      <w:pPr>
        <w:spacing w:after="80"/>
        <w:ind w:left="259" w:hanging="259"/>
      </w:pPr>
      <w:r>
        <w:rPr>
          <w:rFonts w:ascii="Malgun Gothic" w:hAnsi="Malgun Gothic" w:eastAsia="Malgun Gothic"/>
          <w:b/>
          <w:sz w:val="20"/>
        </w:rPr>
        <w:t xml:space="preserve">실증·사용자 테스트: </w:t>
      </w:r>
      <w:r>
        <w:rPr>
          <w:rFonts w:ascii="Malgun Gothic" w:hAnsi="Malgun Gothic" w:eastAsia="Malgun Gothic"/>
          <w:b w:val="0"/>
          <w:sz w:val="20"/>
        </w:rPr>
        <w:t>2,000천원 - 시민 테스트, 인터뷰, 피드백 반영</w:t>
      </w:r>
    </w:p>
    <w:p>
      <w:pPr>
        <w:spacing w:after="80"/>
        <w:ind w:left="259" w:hanging="259"/>
      </w:pPr>
      <w:r>
        <w:rPr>
          <w:rFonts w:ascii="Malgun Gothic" w:hAnsi="Malgun Gothic" w:eastAsia="Malgun Gothic"/>
          <w:b/>
          <w:sz w:val="20"/>
        </w:rPr>
        <w:t xml:space="preserve">문서화·발표: </w:t>
      </w:r>
      <w:r>
        <w:rPr>
          <w:rFonts w:ascii="Malgun Gothic" w:hAnsi="Malgun Gothic" w:eastAsia="Malgun Gothic"/>
          <w:b w:val="0"/>
          <w:sz w:val="20"/>
        </w:rPr>
        <w:t>2,000천원 - 기획서, 리포트, 발표자료</w:t>
      </w:r>
    </w:p>
    <w:p/>
    <w:p>
      <w:pPr>
        <w:pStyle w:val="Heading1"/>
      </w:pPr>
      <w:r>
        <w:rPr>
          <w:rFonts w:ascii="Malgun Gothic" w:hAnsi="Malgun Gothic" w:eastAsia="Malgun Gothic"/>
          <w:b/>
          <w:color w:val="2E74B5"/>
          <w:sz w:val="32"/>
        </w:rPr>
        <w:t>3. 서약서 및 개인정보 동의서 확인 항목</w:t>
      </w:r>
    </w:p>
    <w:tbl>
      <w:tblPr>
        <w:tblW w:type="auto" w:w="0"/>
        <w:tblLayout w:type="fixed"/>
        <w:tblLook w:firstColumn="1" w:firstRow="1" w:lastColumn="0" w:lastRow="0" w:noHBand="0" w:noVBand="1" w:val="04A0"/>
        <w:jc w:val="left"/>
        <w:tblBorders>
          <w:top w:val="single" w:sz="4" w:space="0" w:color="D8DDE2"/>
          <w:left w:val="single" w:sz="4" w:space="0" w:color="D8DDE2"/>
          <w:bottom w:val="single" w:sz="4" w:space="0" w:color="D8DDE2"/>
          <w:right w:val="single" w:sz="4" w:space="0" w:color="D8DDE2"/>
          <w:insideH w:val="single" w:sz="4" w:space="0" w:color="D8DDE2"/>
          <w:insideV w:val="single" w:sz="4" w:space="0" w:color="D8DDE2"/>
        </w:tblBorders>
      </w:tblPr>
      <w:tblGrid>
        <w:gridCol w:w="4680"/>
        <w:gridCol w:w="4680"/>
      </w:tblGrid>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서약서 기관명</w:t>
            </w:r>
          </w:p>
        </w:tc>
        <w:tc>
          <w:tcPr>
            <w:tcW w:type="dxa" w:w="4680"/>
            <w:vAlign w:val="center"/>
            <w:tcMar>
              <w:top w:w="80" w:type="dxa"/>
              <w:start w:w="120" w:type="dxa"/>
              <w:bottom w:w="80" w:type="dxa"/>
              <w:end w:w="120" w:type="dxa"/>
            </w:tcMar>
          </w:tcPr>
          <w:p>
            <w:r/>
            <w:r>
              <w:rPr>
                <w:rFonts w:ascii="Malgun Gothic" w:hAnsi="Malgun Gothic" w:eastAsia="Malgun Gothic"/>
                <w:b w:val="0"/>
                <w:sz w:val="20"/>
              </w:rPr>
              <w:t>이승보 / MoveValue 프로젝트팀</w:t>
            </w:r>
          </w:p>
        </w:tc>
      </w:tr>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신청자(대표) 성명</w:t>
            </w:r>
          </w:p>
        </w:tc>
        <w:tc>
          <w:tcPr>
            <w:tcW w:type="dxa" w:w="4680"/>
            <w:vAlign w:val="center"/>
            <w:tcMar>
              <w:top w:w="80" w:type="dxa"/>
              <w:start w:w="120" w:type="dxa"/>
              <w:bottom w:w="80" w:type="dxa"/>
              <w:end w:w="120" w:type="dxa"/>
            </w:tcMar>
          </w:tcPr>
          <w:p>
            <w:r/>
            <w:r>
              <w:rPr>
                <w:rFonts w:ascii="Malgun Gothic" w:hAnsi="Malgun Gothic" w:eastAsia="Malgun Gothic"/>
                <w:b w:val="0"/>
                <w:sz w:val="20"/>
              </w:rPr>
              <w:t>이승보</w:t>
            </w:r>
          </w:p>
        </w:tc>
      </w:tr>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서명</w:t>
            </w:r>
          </w:p>
        </w:tc>
        <w:tc>
          <w:tcPr>
            <w:tcW w:type="dxa" w:w="4680"/>
            <w:vAlign w:val="center"/>
            <w:tcMar>
              <w:top w:w="80" w:type="dxa"/>
              <w:start w:w="120" w:type="dxa"/>
              <w:bottom w:w="80" w:type="dxa"/>
              <w:end w:w="120" w:type="dxa"/>
            </w:tcMar>
          </w:tcPr>
          <w:p>
            <w:r/>
            <w:r>
              <w:rPr>
                <w:rFonts w:ascii="Malgun Gothic" w:hAnsi="Malgun Gothic" w:eastAsia="Malgun Gothic"/>
                <w:b w:val="0"/>
                <w:sz w:val="20"/>
              </w:rPr>
              <w:t>제출 전 직접 서명</w:t>
            </w:r>
          </w:p>
        </w:tc>
      </w:tr>
      <w:tr>
        <w:tc>
          <w:tcPr>
            <w:tcW w:type="dxa" w:w="4680"/>
            <w:shd w:fill="F2F4F7"/>
            <w:vAlign w:val="center"/>
            <w:tcMar>
              <w:top w:w="80" w:type="dxa"/>
              <w:start w:w="120" w:type="dxa"/>
              <w:bottom w:w="80" w:type="dxa"/>
              <w:end w:w="120" w:type="dxa"/>
            </w:tcMar>
          </w:tcPr>
          <w:p>
            <w:r/>
            <w:r>
              <w:rPr>
                <w:rFonts w:ascii="Malgun Gothic" w:hAnsi="Malgun Gothic" w:eastAsia="Malgun Gothic"/>
                <w:b/>
                <w:color w:val="17212B"/>
                <w:sz w:val="19"/>
              </w:rPr>
              <w:t>개인정보 수집·이용 동의</w:t>
            </w:r>
          </w:p>
        </w:tc>
        <w:tc>
          <w:tcPr>
            <w:tcW w:type="dxa" w:w="4680"/>
            <w:vAlign w:val="center"/>
            <w:tcMar>
              <w:top w:w="80" w:type="dxa"/>
              <w:start w:w="120" w:type="dxa"/>
              <w:bottom w:w="80" w:type="dxa"/>
              <w:end w:w="120" w:type="dxa"/>
            </w:tcMar>
          </w:tcPr>
          <w:p>
            <w:r/>
            <w:r>
              <w:rPr>
                <w:rFonts w:ascii="Malgun Gothic" w:hAnsi="Malgun Gothic" w:eastAsia="Malgun Gothic"/>
                <w:b w:val="0"/>
                <w:sz w:val="20"/>
              </w:rPr>
              <w:t>제출 전 본인이 직접 확인 후 체크</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