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40" w:line="240" w:lineRule="auto"/>
        <w:jc w:val="center"/>
      </w:pPr>
      <w:r>
        <w:rPr>
          <w:rFonts w:ascii="맑은 고딕" w:hAnsi="맑은 고딕" w:eastAsia="맑은 고딕"/>
          <w:b/>
          <w:color w:val="000000"/>
          <w:sz w:val="34"/>
        </w:rPr>
        <w:t>제주 비수기 상권 마케팅 캘린더 유스케이스 설명서</w:t>
      </w:r>
    </w:p>
    <w:p>
      <w:pPr>
        <w:widowControl/>
        <w:spacing w:after="60" w:line="240" w:lineRule="auto"/>
        <w:jc w:val="center"/>
      </w:pPr>
      <w:r>
        <w:rPr>
          <w:rFonts w:ascii="맑은 고딕" w:hAnsi="맑은 고딕" w:eastAsia="맑은 고딕"/>
          <w:b w:val="0"/>
          <w:color w:val="000000"/>
          <w:sz w:val="19"/>
        </w:rPr>
        <w:t>사업체 운영자와 서비스 운영자의 역할 및 기능 간 포함 관계</w:t>
      </w:r>
    </w:p>
    <w:p>
      <w:pPr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31447" cy="6138000"/>
            <wp:docPr id="1" name="Picture 1" descr="제주 비수기 상권 마케팅 캘린더 유스케이스 다이어그램. 액터 2명, 유스케이스 14개, include 관계 4개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a-paste-1789993480614-7200357e-a5d4-448f-b7f1-b19703fcafd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1447" cy="61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0" w:line="240" w:lineRule="auto"/>
        <w:jc w:val="center"/>
      </w:pPr>
      <w:r>
        <w:rPr>
          <w:rFonts w:ascii="맑은 고딕" w:hAnsi="맑은 고딕" w:eastAsia="맑은 고딕"/>
          <w:b w:val="0"/>
          <w:color w:val="000000"/>
          <w:sz w:val="17"/>
        </w:rPr>
        <w:t>그림 1  제주 비수기 상권 마케팅 캘린더 유스케이스 다이어그램</w:t>
      </w:r>
    </w:p>
    <w:p>
      <w:pPr>
        <w:sectPr>
          <w:footerReference w:type="default" r:id="rId9"/>
          <w:pgSz w:w="16838" w:h="11906" w:orient="landscape"/>
          <w:pgMar w:top="454" w:right="794" w:bottom="539" w:left="794" w:header="720" w:footer="369" w:gutter="0"/>
          <w:cols w:space="720"/>
          <w:docGrid w:linePitch="360"/>
        </w:sectPr>
      </w:pPr>
    </w:p>
    <w:p>
      <w:pPr>
        <w:pStyle w:val="Heading1"/>
      </w:pPr>
      <w:r>
        <w:t>1 시스템 개요와 액터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</w:rPr>
        <w:t>이 시스템은 제주 지역의 방문·소비 자료를 바탕으로 사업체 운영자가 비수기 홍보 방향을 정하고, 앞으로 3개월의 홍보 계획을 작성·관리하도록 돕는다. 계획을 세운 과정과 실제 실행 기록을 함께 남겨 계획 이행 여부를 확인한다.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</w:rPr>
        <w:t>다이어그램은 사업체 운영자와 서비스 운영자라는 두 역할, 14개 유스케이스로 구성된다. 사업체 운영자는 홍보 계획을 활용하고, 서비스 운영자는 자료와 추천 기준을 관리하며 허용된 범위에서 서비스 이용을 지원한다.</w:t>
      </w:r>
    </w:p>
    <w:p>
      <w:pPr>
        <w:pStyle w:val="Heading2"/>
      </w:pPr>
      <w:r>
        <w:t>액터별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1701"/>
        <w:gridCol w:w="4252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액터</w:t>
            </w:r>
          </w:p>
        </w:tc>
        <w:tc>
          <w:tcPr>
            <w:tcW w:type="dxa" w:w="4252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025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연결된 기능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사업체 운영자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분석·추천을 확인하고 자신의 사업체에 맞는 홍보 계획과 기록을 관리한다.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지역별 방문 분석 조회부터 보고서 초안 작성까지의 9개 기능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서비스 운영자</w:t>
            </w:r>
          </w:p>
        </w:tc>
        <w:tc>
          <w:tcPr>
            <w:tcW w:type="dxa" w:w="4252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CSV 자료와 추천 기준을 관리하고, 허용된 자료 범위에서 운영·검증·이용 지원을 수행한다.</w:t>
            </w:r>
          </w:p>
        </w:tc>
        <w:tc>
          <w:tcPr>
            <w:tcW w:type="dxa" w:w="4025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공통 9개 기능과 CSV 자료 등록, 추천 기준·근거 관리</w:t>
            </w:r>
          </w:p>
        </w:tc>
      </w:tr>
    </w:tbl>
    <w:p>
      <w:pPr>
        <w:widowControl/>
        <w:spacing w:after="100"/>
      </w:pPr>
      <w:r>
        <w:rPr>
          <w:rFonts w:ascii="맑은 고딕" w:hAnsi="맑은 고딕" w:eastAsia="맑은 고딕"/>
          <w:b w:val="0"/>
          <w:color w:val="000000"/>
          <w:sz w:val="19"/>
        </w:rPr>
        <w:t>서비스 운영자에게 연결된 선은 모든 사업체의 비공개 자료를 자유롭게 열람한다는 뜻이 아니다. 사업체 계획과 기록은 권한과 동의 범위에 따라 이용한다.</w:t>
      </w:r>
    </w:p>
    <w:p>
      <w:pPr>
        <w:pStyle w:val="Heading2"/>
      </w:pPr>
      <w:r>
        <w:t>다이어그램 읽는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2268"/>
        <w:gridCol w:w="7710"/>
      </w:tblGrid>
      <w:tr>
        <w:trPr>
          <w:cantSplit/>
          <w:tblHeader/>
        </w:trPr>
        <w:tc>
          <w:tcPr>
            <w:tcW w:type="dxa" w:w="2268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7710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시스템 경계와 타원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사각형 안은 시스템이 제공하는 기능의 범위이며, 각 타원은 하나의 유스케이스다.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액터와 타원을 잇는 실선</w:t>
            </w:r>
          </w:p>
        </w:tc>
        <w:tc>
          <w:tcPr>
            <w:tcW w:type="dxa" w:w="7710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역할이 그 기능과 상호작용한다는 뜻이다. 기능 실행 순서나 자료 이동 방향을 나타내지 않는다.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«include» 점선 화살표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기본 기능이 포함된 기능을 필수적으로 수행한다는 뜻이다. 화살표는 기본 기능에서 포함되는 기능을 향한다.</w:t>
            </w:r>
          </w:p>
        </w:tc>
      </w:tr>
    </w:tbl>
    <w:p>
      <w:pPr>
        <w:pStyle w:val="Heading2"/>
      </w:pPr>
      <w:r>
        <w:t>대표 이용 흐름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</w:rPr>
        <w:t>서비스 운영자가 자료를 등록·검증하고 추천 기준을 관리한다. 사업체 운영자는 지역별 방문 분석과 방문·소비 비교를 확인한 뒤 홍보 제안을 검토한다. 선택한 제안을 3개월 일정표에 반영하고 사용 기록과 실행 기록을 입력한다. 이후 계획 이행 여부를 확인하며, 선택 기능을 구현한 경우 보고서 초안도 작성할 수 있다.</w:t>
      </w:r>
    </w:p>
    <w:p>
      <w:pPr>
        <w:pStyle w:val="Heading2"/>
      </w:pPr>
      <w:r>
        <w:t>자료 해석과 적용 조건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</w:rPr>
        <w:t>지역 방문객 집계는 개별 가게의 실제 손님 수가 아니며, 지역·업종별 카드 소비 자료도 해당 가게의 매출과 구분한다. 방문·소비 비교는 지역·기간·단위·집계 기준이 맞는 자료로 수행하고, 두 집계를 나눈 값을 실제 1인당 소비액으로 해석하지 않는다.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</w:rPr>
        <w:t>모으지 못한 실행 결과는 0건으로 바꾸지 않는다. 확인된 기록만 제시하고 서비스가 매출을 늘렸다고 단정하지 않는다. 보고서 초안 작성은 선택 기능이며, AI 사용 여부는 검토 중이다.</w:t>
      </w:r>
    </w:p>
    <w:p>
      <w:r>
        <w:br w:type="page"/>
      </w:r>
    </w:p>
    <w:p>
      <w:pPr>
        <w:pStyle w:val="Heading1"/>
      </w:pPr>
      <w:r>
        <w:t>2 사업체 운영과 관련된 유스케이스</w:t>
      </w:r>
    </w:p>
    <w:p>
      <w:pPr>
        <w:widowControl/>
        <w:spacing w:after="180"/>
      </w:pPr>
      <w:r>
        <w:rPr>
          <w:rFonts w:ascii="맑은 고딕" w:hAnsi="맑은 고딕" w:eastAsia="맑은 고딕"/>
          <w:b w:val="0"/>
          <w:color w:val="000000"/>
          <w:sz w:val="20"/>
        </w:rPr>
        <w:t>아래 9개 기능은 두 액터 모두와 실선으로 연결되어 있다. 사업체 운영자는 자신의 홍보 업무에 사용하고, 서비스 운영자는 권한이 부여된 범위에서 운영과 이용 지원에 활용한다. 번호는 이 설명서 안에서 기능을 구분하기 위한 표기다.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624"/>
        <w:gridCol w:w="2381"/>
        <w:gridCol w:w="4819"/>
        <w:gridCol w:w="2154"/>
      </w:tblGrid>
      <w:tr>
        <w:trPr>
          <w:cantSplit/>
          <w:tblHeader/>
        </w:trPr>
        <w:tc>
          <w:tcPr>
            <w:tcW w:type="dxa" w:w="624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2381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유스케이스</w:t>
            </w:r>
          </w:p>
        </w:tc>
        <w:tc>
          <w:tcPr>
            <w:tcW w:type="dxa" w:w="4819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동작</w:t>
            </w:r>
          </w:p>
        </w:tc>
        <w:tc>
          <w:tcPr>
            <w:tcW w:type="dxa" w:w="2154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결과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지역별 방문 분석 조회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지역과 분석 기간을 선택해 월별 방문객 수의 변화와 방문이 많은 시기·적은 시기를 지도·그래프로 살펴본다. 분석에 적용된 기준을 함께 표시한다.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지역별 방문 변화와 시기별 분석 결과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 조회</w:t>
            </w:r>
          </w:p>
        </w:tc>
        <w:tc>
          <w:tcPr>
            <w:tcW w:type="dxa" w:w="4819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방문·소비 자료를 바탕으로 홍보 시기·대상·상품 후보 등을 확인한다. 제안에 적용된 기준과 자료 출처를 함께 보고 실제 적용 가능성을 판단한다.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제안과 판단 근거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방문 비교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선택한 지역 또는 기간의 방문객 집계를 비교한다. 같은 단위와 집계 기준으로 방문 변화와 비수기 특성을 확인한다.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지역별 또는 기간별 방문 비교 결과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소비 비교</w:t>
            </w:r>
          </w:p>
        </w:tc>
        <w:tc>
          <w:tcPr>
            <w:tcW w:type="dxa" w:w="4819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업종별 카드 소비 자료를 비교한다. 확보한 범위에서 내국인·외국인 소비 비중과 월별로 정리된 시간대별 소비 모습을 살펴본다.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업종·기간별 소비 비교 결과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3개월 홍보 일정표 관리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제안을 선택·수정해 앞으로 3개월의 월별 계획을 작성한다. 계획을 저장하고 다시 조회하거나 수정한다.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저장된 3개월 홍보 일정표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사용 기록 입력</w:t>
            </w:r>
          </w:p>
        </w:tc>
        <w:tc>
          <w:tcPr>
            <w:tcW w:type="dxa" w:w="4819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계획을 세우는 데 걸린 시간과 추천 선택·수정 여부 등 시스템을 사용한 과정을 기록한다. 서비스 이용 과정을 평가할 근거로 활용한다.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계획 작성 과정과 추천 활용 기록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07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실행 기록 입력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실제로 실행한 홍보 활동과 날짜를 기록한다. 구할 수 있는 클릭·예약·쿠폰 사용 결과를 입력하며, 미수집 값은 구분해 남긴다.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실제 홍보 활동과 확보한 결과 기록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08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계획 이행 확인</w:t>
            </w:r>
          </w:p>
        </w:tc>
        <w:tc>
          <w:tcPr>
            <w:tcW w:type="dxa" w:w="4819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저장한 일정표와 실행 기록을 비교해 계획한 활동의 실행 여부와 변경 내용을 확인한다. 확보된 활동 결과도 함께 살펴본다.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계획 대비 이행 여부와 실행 내용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09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보고서 초안 작성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확인된 분석 수치와 사용·실행 기록을 바탕으로 보고서의 첫 작성본을 만든다. 검토와 보완을 거쳐 활용하는 선택 기능이다.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근거가 확인되는 보고서 초안</w:t>
            </w:r>
          </w:p>
        </w:tc>
      </w:tr>
    </w:tbl>
    <w:p>
      <w:pPr>
        <w:pStyle w:val="Heading2"/>
      </w:pPr>
      <w:r>
        <w:t>사용 기록과 실행 기록의 차이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  <w:sz w:val="20"/>
        </w:rPr>
        <w:t>사용 기록은 계획을 세우면서 시스템을 어떻게 이용했는지를 남긴다. 실행 기록은 계획한 홍보를 실제로 언제, 어떻게 수행했는지를 남긴다. 두 기록을 구분해야 이용 편의성과 실제 계획 이행을 각각 확인할 수 있다.</w:t>
      </w:r>
    </w:p>
    <w:p>
      <w:r>
        <w:br w:type="page"/>
      </w:r>
    </w:p>
    <w:p>
      <w:pPr>
        <w:pStyle w:val="Heading1"/>
      </w:pPr>
      <w:r>
        <w:t>3 자료 관리와 공통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624"/>
        <w:gridCol w:w="2381"/>
        <w:gridCol w:w="1928"/>
        <w:gridCol w:w="5046"/>
      </w:tblGrid>
      <w:tr>
        <w:trPr>
          <w:cantSplit/>
          <w:tblHeader/>
        </w:trPr>
        <w:tc>
          <w:tcPr>
            <w:tcW w:type="dxa" w:w="624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2381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유스케이스</w:t>
            </w:r>
          </w:p>
        </w:tc>
        <w:tc>
          <w:tcPr>
            <w:tcW w:type="dxa" w:w="1928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실행 주체 또는 연결</w:t>
            </w:r>
          </w:p>
        </w:tc>
        <w:tc>
          <w:tcPr>
            <w:tcW w:type="dxa" w:w="5046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동작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CSV 자료 등록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서비스 운영자</w:t>
            </w:r>
          </w:p>
        </w:tc>
        <w:tc>
          <w:tcPr>
            <w:tcW w:type="dxa" w:w="5046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분석에 사용할 CSV 파일을 등록한다. 등록 과정에서 자료 기준과 누락값 검증을 포함한다.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자료 기준·누락값 검증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CSV 자료 등록에 포함</w:t>
            </w:r>
          </w:p>
        </w:tc>
        <w:tc>
          <w:tcPr>
            <w:tcW w:type="dxa" w:w="5046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자료의 기간·지역·단위·집계 기준과 빠진 값을 확인한다. 기준이 다르거나 자료가 부족한 경우 비교 가능한 범위와 문제를 구분한다.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추천 기준·근거 관리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서비스 운영자</w:t>
            </w:r>
          </w:p>
        </w:tc>
        <w:tc>
          <w:tcPr>
            <w:tcW w:type="dxa" w:w="5046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제안을 도출하는 기준과 그 근거를 관리한다. 어떤 자료와 판단 기준을 사용했는지 확인할 수 있게 한다.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기준 표시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분석·제안 조회에 포함</w:t>
            </w:r>
          </w:p>
        </w:tc>
        <w:tc>
          <w:tcPr>
            <w:tcW w:type="dxa" w:w="5046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분석 결과의 기준기간·단위·집계 방식 또는 추천에 적용된 판단 기준을 해당 결과와 함께 보여준다.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자료 출처 표시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 조회에 포함</w:t>
            </w:r>
          </w:p>
        </w:tc>
        <w:tc>
          <w:tcPr>
            <w:tcW w:type="dxa" w:w="5046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제안의 근거로 사용한 자료의 제공처와 대상 기간 등 출처 정보를 보여주어 근거를 확인할 수 있게 한다.</w:t>
            </w:r>
          </w:p>
        </w:tc>
      </w:tr>
    </w:tbl>
    <w:p>
      <w:pPr>
        <w:pStyle w:val="Heading1"/>
      </w:pPr>
      <w:r>
        <w:t>4 포함 관계 설명</w:t>
      </w:r>
    </w:p>
    <w:p>
      <w:pPr>
        <w:widowControl/>
        <w:spacing w:after="140"/>
      </w:pPr>
      <w:r>
        <w:rPr>
          <w:rFonts w:ascii="맑은 고딕" w:hAnsi="맑은 고딕" w:eastAsia="맑은 고딕"/>
          <w:b w:val="0"/>
          <w:color w:val="000000"/>
          <w:sz w:val="20"/>
        </w:rPr>
        <w:t>그림에 표시된 «include» 관계는 다음 4개다. 포함 기능은 기본 기능의 일부로 수행되므로, 포함 기능마다 액터와의 실선을 별도로 그릴 필요는 없다.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2438"/>
        <w:gridCol w:w="2268"/>
        <w:gridCol w:w="5272"/>
      </w:tblGrid>
      <w:tr>
        <w:trPr>
          <w:cantSplit/>
          <w:tblHeader/>
        </w:trPr>
        <w:tc>
          <w:tcPr>
            <w:tcW w:type="dxa" w:w="2438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기본 기능</w:t>
            </w:r>
          </w:p>
        </w:tc>
        <w:tc>
          <w:tcPr>
            <w:tcW w:type="dxa" w:w="2268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포함되는 기능</w:t>
            </w:r>
          </w:p>
        </w:tc>
        <w:tc>
          <w:tcPr>
            <w:tcW w:type="dxa" w:w="5272"/>
            <w:vAlign w:val="center"/>
            <w:shd w:fill="233F57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관계의 의미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지역별 방문 분석 조회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기준 표시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분석 결과를 조회할 때 해당 자료의 기준기간·단위·집계 기준을 함께 확인한다.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 조회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기준 표시</w:t>
            </w:r>
          </w:p>
        </w:tc>
        <w:tc>
          <w:tcPr>
            <w:tcW w:type="dxa" w:w="5272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제안을 조회할 때 제안에 적용된 판단 기준을 함께 확인한다.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 조회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자료 출처 표시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홍보 제안을 조회할 때 제안의 근거가 된 자료의 출처를 함께 확인한다.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CSV 자료 등록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자료 기준·누락값 검증</w:t>
            </w:r>
          </w:p>
        </w:tc>
        <w:tc>
          <w:tcPr>
            <w:tcW w:type="dxa" w:w="5272"/>
            <w:vAlign w:val="center"/>
            <w:shd w:fill="F1F5F8"/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분석 자료를 등록하는 과정에서 자료의 기준과 누락값을 반드시 확인한다.</w:t>
            </w:r>
          </w:p>
        </w:tc>
      </w:tr>
    </w:tbl>
    <w:p>
      <w:pPr>
        <w:pStyle w:val="Heading2"/>
      </w:pPr>
      <w:r>
        <w:t>연결 관계와 구현 시 확인할 사항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  <w:sz w:val="20"/>
        </w:rPr>
        <w:t>액터와 기능 사이의 실선은 총 20개다. 사업체 운영자는 9개, 서비스 운영자는 공통 9개와 관리 기능 2개를 합쳐 11개 기능에 연결된다. 기준 표시·자료 출처 표시·자료 검증은 포함 관계로 연결된 기능이다.</w:t>
      </w:r>
    </w:p>
    <w:p>
      <w:pPr>
        <w:widowControl/>
      </w:pPr>
      <w:r>
        <w:rPr>
          <w:rFonts w:ascii="맑은 고딕" w:hAnsi="맑은 고딕" w:eastAsia="맑은 고딕"/>
          <w:b w:val="0"/>
          <w:color w:val="000000"/>
          <w:sz w:val="20"/>
        </w:rPr>
        <w:t>프로젝트 요구사항은 분석 결과와 홍보 제안 모두에서 자료 출처를 확인할 수 있어야 한다. 현재 그림은 홍보 제안 조회에만 자료 출처 표시를 연결했으므로, 지역별 방문 분석 화면에서도 출처를 제공하도록 상세 설계에 반영해야 한다.</w:t>
      </w:r>
    </w:p>
    <w:p>
      <w:pPr>
        <w:widowControl/>
        <w:spacing w:after="0"/>
      </w:pPr>
      <w:r>
        <w:rPr>
          <w:rFonts w:ascii="맑은 고딕" w:hAnsi="맑은 고딕" w:eastAsia="맑은 고딕"/>
          <w:b w:val="0"/>
          <w:color w:val="000000"/>
          <w:sz w:val="17"/>
        </w:rPr>
        <w:t>정리 기준  제공된 유스케이스 다이어그램 및 프로젝트 기획서 Red_PROJECT.md의 주요 기능·개발 범위·성공 기준</w:t>
      </w:r>
    </w:p>
    <w:sectPr w:rsidR="00FC693F" w:rsidRPr="0006063C" w:rsidSect="00034616">
      <w:pgSz w:w="11906" w:h="16838"/>
      <w:pgMar w:top="879" w:right="964" w:bottom="850" w:left="964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맑은 고딕" w:hAnsi="맑은 고딕" w:eastAsia="맑은 고딕"/>
        <w:color w:val="555555"/>
        <w:sz w:val="17"/>
      </w:rPr>
      <w:t xml:space="preserve">유스케이스 설명서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맑은 고딕" w:hAnsi="맑은 고딕" w:eastAsia="맑은 고딕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제주 비수기 상권 마케팅 캘린더 유스케이스 설명서</dc:title>
  <dc:subject>액터 역할과 유스케이스 및 포함 관계 설명</dc:subject>
  <dc:creator/>
  <cp:keywords>제주, 비수기, 마케팅 캘린더, 유스케이스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