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Calibri"/>
          <w:b/>
          <w:i w:val="0"/>
          <w:color w:val="17365D"/>
          <w:sz w:val="34"/>
        </w:rPr>
        <w:t>Supplementary Material</w:t>
      </w:r>
    </w:p>
    <w:p>
      <w:pPr>
        <w:pStyle w:val="Subtitle"/>
        <w:jc w:val="center"/>
      </w:pPr>
      <w:r>
        <w:rPr>
          <w:rFonts w:ascii="Calibri" w:hAnsi="Calibri" w:eastAsia="Calibri"/>
          <w:b/>
          <w:i w:val="0"/>
          <w:color w:val="404040"/>
          <w:sz w:val="21"/>
        </w:rPr>
        <w:t>An Independent-Sample Screening–Confirmation Analysis of Casualty Occurrence in Expressway Crashes: Integrating XGBoost-SHAP with Robust Logistic Regression</w:t>
      </w:r>
    </w:p>
    <w:p>
      <w:pPr>
        <w:pStyle w:val="Heading1"/>
      </w:pPr>
      <w:r>
        <w:t>Supplementary Table S1. Reproducibility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948"/>
            <w:vAlign w:val="center"/>
            <w:shd w:fill="17365D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Item</w:t>
            </w:r>
          </w:p>
        </w:tc>
        <w:tc>
          <w:tcPr>
            <w:tcW w:type="dxa" w:w="5669"/>
            <w:vAlign w:val="center"/>
            <w:shd w:fill="17365D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Specification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4"/>
              </w:rPr>
              <w:t>Random seed</w:t>
            </w:r>
          </w:p>
        </w:tc>
        <w:tc>
          <w:tcPr>
            <w:tcW w:type="dxa" w:w="566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4"/>
              </w:rPr>
              <w:t>20260716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4"/>
              </w:rPr>
              <w:t>Split</w:t>
            </w:r>
          </w:p>
        </w:tc>
        <w:tc>
          <w:tcPr>
            <w:tcW w:type="dxa" w:w="566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4"/>
              </w:rPr>
              <w:t>Training 50%; validation 15%; screening 15%; confirmation 20%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4"/>
              </w:rPr>
              <w:t>Selection metric</w:t>
            </w:r>
          </w:p>
        </w:tc>
        <w:tc>
          <w:tcPr>
            <w:tcW w:type="dxa" w:w="566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4"/>
              </w:rPr>
              <w:t>validation PR-AUC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4"/>
              </w:rPr>
              <w:t>Threshold rule</w:t>
            </w:r>
          </w:p>
        </w:tc>
        <w:tc>
          <w:tcPr>
            <w:tcW w:type="dxa" w:w="566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4"/>
              </w:rPr>
              <w:t>validation-set maximum F1, then frozen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4"/>
              </w:rPr>
              <w:t>Selected model</w:t>
            </w:r>
          </w:p>
        </w:tc>
        <w:tc>
          <w:tcPr>
            <w:tcW w:type="dxa" w:w="566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4"/>
              </w:rPr>
              <w:t>XGB_natural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4"/>
              </w:rPr>
              <w:t>Rows / predictors / positive outcomes</w:t>
            </w:r>
          </w:p>
        </w:tc>
        <w:tc>
          <w:tcPr>
            <w:tcW w:type="dxa" w:w="566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4"/>
              </w:rPr>
              <w:t>83,297 / 17 / 8,993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4"/>
              </w:rPr>
              <w:t>Python</w:t>
            </w:r>
          </w:p>
        </w:tc>
        <w:tc>
          <w:tcPr>
            <w:tcW w:type="dxa" w:w="566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4"/>
              </w:rPr>
              <w:t>3.12.13 (main, Mar  3 2026, 15:01:35) [MSC v.1944 64 bit (AMD64)]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4"/>
              </w:rPr>
              <w:t>pandas / numpy / scipy</w:t>
            </w:r>
          </w:p>
        </w:tc>
        <w:tc>
          <w:tcPr>
            <w:tcW w:type="dxa" w:w="566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4"/>
              </w:rPr>
              <w:t>3.0.1 / 2.3.5 / 1.18.0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4"/>
              </w:rPr>
              <w:t>scikit-learn / XGBoost / SHAP</w:t>
            </w:r>
          </w:p>
        </w:tc>
        <w:tc>
          <w:tcPr>
            <w:tcW w:type="dxa" w:w="566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4"/>
              </w:rPr>
              <w:t>1.9.0 / 3.3.0 / 0.52.0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4"/>
              </w:rPr>
              <w:t>statsmodels / imbalanced-learn</w:t>
            </w:r>
          </w:p>
        </w:tc>
        <w:tc>
          <w:tcPr>
            <w:tcW w:type="dxa" w:w="566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4"/>
              </w:rPr>
              <w:t>0.14.6 / 0.14.2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4"/>
              </w:rPr>
              <w:t>Processed data SHA-256</w:t>
            </w:r>
          </w:p>
        </w:tc>
        <w:tc>
          <w:tcPr>
            <w:tcW w:type="dxa" w:w="566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4"/>
              </w:rPr>
              <w:t>c931e4c92be17c4fff3b0959794525d082569aed34a68c8da81c0d7428f2798e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4"/>
              </w:rPr>
              <w:t>Partial raw SHA-256</w:t>
            </w:r>
          </w:p>
        </w:tc>
        <w:tc>
          <w:tcPr>
            <w:tcW w:type="dxa" w:w="566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4"/>
              </w:rPr>
              <w:t>db671c0d5e5f5d4d9a12358ba08d9866601ba29f558e85c6911d49510c7ba37f</w:t>
            </w:r>
          </w:p>
        </w:tc>
      </w:tr>
    </w:tbl>
    <w:p>
      <w:pPr>
        <w:spacing w:after="20"/>
      </w:pPr>
    </w:p>
    <w:p>
      <w:pPr>
        <w:keepLines/>
        <w:spacing w:before="0" w:after="60"/>
      </w:pPr>
      <w:r>
        <w:rPr>
          <w:rFonts w:ascii="Calibri" w:hAnsi="Calibri" w:eastAsia="Calibri"/>
          <w:b/>
          <w:i w:val="0"/>
          <w:color w:val="404040"/>
          <w:sz w:val="15"/>
        </w:rPr>
        <w:t xml:space="preserve">Note. </w:t>
      </w:r>
      <w:r>
        <w:rPr>
          <w:rFonts w:ascii="Calibri" w:hAnsi="Calibri" w:eastAsia="Calibri"/>
          <w:b w:val="0"/>
          <w:i w:val="0"/>
          <w:color w:val="404040"/>
          <w:sz w:val="15"/>
        </w:rPr>
        <w:t>analysis_id is deterministic for reproduction and is not the original source-system crash identifier.</w:t>
      </w:r>
    </w:p>
    <w:p>
      <w:pPr>
        <w:pStyle w:val="Heading1"/>
      </w:pPr>
      <w:r>
        <w:t>Supplementary Table S2. Complete confirmation main-effect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3402"/>
            <w:vAlign w:val="center"/>
            <w:shd w:fill="17365D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2"/>
              </w:rPr>
              <w:t>Contrast</w:t>
            </w:r>
          </w:p>
        </w:tc>
        <w:tc>
          <w:tcPr>
            <w:tcW w:type="dxa" w:w="680"/>
            <w:vAlign w:val="center"/>
            <w:shd w:fill="17365D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2"/>
              </w:rPr>
              <w:t>n</w:t>
            </w:r>
          </w:p>
        </w:tc>
        <w:tc>
          <w:tcPr>
            <w:tcW w:type="dxa" w:w="737"/>
            <w:vAlign w:val="center"/>
            <w:shd w:fill="17365D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2"/>
              </w:rPr>
              <w:t>Cases</w:t>
            </w:r>
          </w:p>
        </w:tc>
        <w:tc>
          <w:tcPr>
            <w:tcW w:type="dxa" w:w="850"/>
            <w:vAlign w:val="center"/>
            <w:shd w:fill="17365D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2"/>
              </w:rPr>
              <w:t>Rate</w:t>
            </w:r>
          </w:p>
        </w:tc>
        <w:tc>
          <w:tcPr>
            <w:tcW w:type="dxa" w:w="737"/>
            <w:vAlign w:val="center"/>
            <w:shd w:fill="17365D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2"/>
              </w:rPr>
              <w:t>OR</w:t>
            </w:r>
          </w:p>
        </w:tc>
        <w:tc>
          <w:tcPr>
            <w:tcW w:type="dxa" w:w="1361"/>
            <w:vAlign w:val="center"/>
            <w:shd w:fill="17365D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2"/>
              </w:rPr>
              <w:t>95% CI</w:t>
            </w:r>
          </w:p>
        </w:tc>
        <w:tc>
          <w:tcPr>
            <w:tcW w:type="dxa" w:w="794"/>
            <w:vAlign w:val="center"/>
            <w:shd w:fill="17365D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2"/>
              </w:rPr>
              <w:t>BH q</w:t>
            </w:r>
          </w:p>
        </w:tc>
        <w:tc>
          <w:tcPr>
            <w:tcW w:type="dxa" w:w="737"/>
            <w:vAlign w:val="center"/>
            <w:shd w:fill="17365D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2"/>
              </w:rPr>
              <w:t>q&lt;0.05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Crash location: Tollgate (TG) vs Mainline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1827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51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2.79%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0.117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0.086–0.159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&lt;0.001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Crash location: Ramp vs Mainline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2413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103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4.27%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0.304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0.245–0.377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&lt;0.001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cause: Road debris vs Speeding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1646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12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0.73%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0.071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0.039–0.128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&lt;0.001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Traffic obstruction: Stopped vehicle vs No obstruction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314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112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35.67%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2.893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2.234–3.745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&lt;0.001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Causal vehicle: Truck vs Passenger car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4101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617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15.05%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1.800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1.554–2.086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&lt;0.001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Traffic obstruction: Congestion vs No obstruction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189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72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38.10%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3.170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2.300–4.370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&lt;0.001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cause: Drowsiness vs Speeding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2180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454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20.83%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1.839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1.497–2.258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&lt;0.001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Driver condition: Other vs Normal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142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44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30.99%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3.122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2.117–4.603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&lt;0.001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Causal vehicle: Van vs Passenger car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880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131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14.89%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1.882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1.513–2.340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&lt;0.001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cause: Single-vehicle fire vs Speeding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355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5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1.41%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0.079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0.032–0.195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&lt;0.001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cause: Inattention vs Speeding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3661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587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16.03%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1.668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1.390–2.002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&lt;0.001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Pre-crash maneuver: Lane change vs Lane keeping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320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83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25.94%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2.029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1.527–2.695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&lt;0.001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Causal vehicle: Other vs Passenger car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70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14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20.00%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4.086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1.973–8.464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&lt;0.001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Traffic obstruction: Other vs No obstruction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76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25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32.89%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2.620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1.573–4.365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0.001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cause: Insufficient headway vs Speeding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364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75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20.60%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1.682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1.219–2.322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0.007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Causal vehicle: Trailer vs Passenger car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936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104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11.11%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2.444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1.401–4.263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0.007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Road environment: Fallen object vs Normal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470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3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0.64%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0.157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0.050–0.499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0.007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Road environment: Pothole vs Normal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242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0.41%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0.043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0.006–0.307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0.007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cause: Improper loading vs Speeding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197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4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2.03%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0.199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0.071–0.562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0.009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Lighting: Operating vs Not applicable (daytime)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4894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565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11.54%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1.221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1.072–1.390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0.010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cause: Tire failure vs Speeding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615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51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8.29%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0.603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0.432–0.840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0.010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cause: Animal intrusion vs Speeding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193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8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4.15%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0.333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0.161–0.692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0.011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Vehicle class: Large vs Medium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2135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271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12.69%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1.280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1.083–1.513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0.012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Causal vehicle: Special vehicle vs Passenger car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116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14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12.07%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2.977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1.357–6.532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0.021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cause: Road condition vs Speeding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211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4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1.90%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0.248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0.086–0.716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0.030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Crash location: Service area vs Mainline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236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24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10.17%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0.562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0.361–0.874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0.031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Weather: Snow vs Clear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571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42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7.36%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0.584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0.382–0.892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0.036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Lighting: None vs Not applicable (daytime)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2452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356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14.52%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1.191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1.029–1.378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0.051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Vehicle class: Box truck vs Medium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225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56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24.89%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1.559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1.075–2.261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0.051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cause: Other vehicle defect vs Speeding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101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5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4.95%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0.345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0.137–0.868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0.060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Pre-crash maneuver: Other vs Lane keeping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667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91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13.64%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1.340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1.036–1.734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0.064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cause: Other vehicle factor vs Speeding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108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5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4.63%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0.350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0.137–0.894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0.067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Weather: Rain vs Clear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3416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251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7.35%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0.720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0.535–0.970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0.070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Crash location: Tunnel vs Mainline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688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103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14.97%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0.762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0.589–0.985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0.085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cause: Unsafe passing vs Speeding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294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51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17.35%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1.449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1.015–2.068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0.089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Road environment: Visibility obstruction vs Normal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170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10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5.88%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0.519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0.257–1.048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0.142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Horizontal alignment: Unknown vs Straight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914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67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7.33%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0.733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0.517–1.039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0.162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Sex: Female vs Male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2086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225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10.79%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1.163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0.982–1.377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0.162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Pre-crash maneuver: Excessive steering vs Lane keeping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2014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208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10.33%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0.869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0.735–1.028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0.197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Driver age: Under 20 vs 40s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953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76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7.97%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0.814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0.616–1.075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0.279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Weather: Other vs Clear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68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11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16.18%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1.720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0.794–3.726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0.313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Vehicle class: SUV vs Medium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1943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168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8.65%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1.143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0.942–1.385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0.317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Surface condition: Damp vs Dry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4292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327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7.62%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0.827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0.625–1.095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0.327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cause: Unknown vs Speeding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98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3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3.06%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0.465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0.144–1.502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0.347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Horizontal alignment: Right curve vs Straight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2180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222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10.18%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0.897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0.758–1.062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0.349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Vehicle class: Mini vs Medium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669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67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10.01%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1.203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0.901–1.607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0.349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Driver age: 20s vs 40s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1690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172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10.18%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0.879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0.715–1.081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0.359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Road environment: Other vs Normal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244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13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5.33%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0.677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0.360–1.274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0.359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Embankment/cut class: Embankment &lt;2 m vs Level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825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99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12.00%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1.151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0.908–1.457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0.379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Vehicle class: Unknown vs Medium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1490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148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9.93%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0.745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0.442–1.255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0.408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Driver condition: Fatigue vs Normal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885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197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22.26%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1.119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0.906–1.383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0.434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Crash location: Other vs Mainline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36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4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11.11%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0.583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0.211–1.615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0.434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Driver age: 50s vs 40s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3087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360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11.66%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0.918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0.781–1.080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0.434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Horizontal alignment: Left curve vs Straight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2119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215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10.15%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0.920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0.779–1.085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0.450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Day type: Weekend vs Weekday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5320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549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10.32%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0.944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0.842–1.059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0.451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Road environment: Slippery surface vs Normal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2283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187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8.19%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1.106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0.882–1.387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0.518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Embankment/cut class: Cut &lt;10 m vs Level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1138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146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12.83%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1.091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0.894–1.332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0.518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Lighting: Not operating vs Not applicable (daytime)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575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51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8.87%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0.873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0.639–1.193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0.518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Surface condition: Snow-covered vs Dry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83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5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6.02%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0.677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0.258–1.774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0.548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Driver age: Unknown vs 40s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3705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324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8.74%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0.933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0.784–1.111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0.548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Surface condition: Other vs Dry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26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3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11.54%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1.629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0.464–5.717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0.548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Embankment/cut class: Embankment 2–&lt;5 m vs Level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1942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201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10.35%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0.933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0.780–1.116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0.548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Pavement type: Asphalt vs Concrete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6648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719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10.82%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0.961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0.860–1.074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0.572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Pavement type: Unknown vs Concrete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559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43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7.69%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0.867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0.583–1.291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0.572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Sex: Unknown vs Male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549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40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7.29%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0.843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0.519–1.368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0.572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Vehicle class: Small vs Medium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3819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421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11.02%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1.051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0.909–1.214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0.575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cause: Other vs Speeding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2238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232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10.37%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1.073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0.869–1.325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0.575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Driver condition: Alcohol vs Normal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420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51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12.14%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1.113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0.808–1.533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0.575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Embankment/cut class: Unknown vs Level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1662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150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9.03%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1.088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0.831–1.424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0.593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Driver age: 60 or older vs 40s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1313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176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13.40%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1.062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0.867–1.300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0.609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Vehicle class: General freight vs Medium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682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79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11.58%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0.923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0.692–1.229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0.623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Embankment/cut class: Cut ≥10 m vs Level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847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107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12.63%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1.067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0.842–1.351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0.626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Embankment/cut class: Embankment ≥15 m vs Level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1871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226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12.08%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0.957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0.805–1.137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0.639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Vehicle class: Other vs Medium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44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7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15.91%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0.903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0.346–2.355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0.857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Driver age: 30s vs 40s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2633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293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11.13%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0.988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0.832–1.173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0.900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Weather: Cloudy vs Clear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2224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249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11.20%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1.004</w:t>
            </w:r>
          </w:p>
        </w:tc>
        <w:tc>
          <w:tcPr>
            <w:tcW w:type="dxa" w:w="136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0.858–1.176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0.960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No</w:t>
            </w:r>
          </w:p>
        </w:tc>
      </w:tr>
    </w:tbl>
    <w:p>
      <w:pPr>
        <w:spacing w:after="20"/>
      </w:pPr>
    </w:p>
    <w:p>
      <w:pPr>
        <w:keepLines/>
        <w:spacing w:before="0" w:after="60"/>
      </w:pPr>
      <w:r>
        <w:rPr>
          <w:rFonts w:ascii="Calibri" w:hAnsi="Calibri" w:eastAsia="Calibri"/>
          <w:b/>
          <w:i w:val="0"/>
          <w:color w:val="404040"/>
          <w:sz w:val="15"/>
        </w:rPr>
        <w:t xml:space="preserve">Note. </w:t>
      </w:r>
      <w:r>
        <w:rPr>
          <w:rFonts w:ascii="Calibri" w:hAnsi="Calibri" w:eastAsia="Calibri"/>
          <w:b w:val="0"/>
          <w:i w:val="0"/>
          <w:color w:val="404040"/>
          <w:sz w:val="15"/>
        </w:rPr>
        <w:t>HC3-robust standard errors. The table includes all estimable dummy contrasts; small cells and generic categories should be interpreted cautiously.</w:t>
      </w:r>
    </w:p>
    <w:p>
      <w:pPr>
        <w:pStyle w:val="Heading1"/>
      </w:pPr>
      <w:r>
        <w:t>Supplementary Table S3. Complete SHAP screening importance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3118"/>
            <w:vAlign w:val="center"/>
            <w:shd w:fill="17365D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2"/>
              </w:rPr>
              <w:t>Encoded feature</w:t>
            </w:r>
          </w:p>
        </w:tc>
        <w:tc>
          <w:tcPr>
            <w:tcW w:type="dxa" w:w="1701"/>
            <w:vAlign w:val="center"/>
            <w:shd w:fill="17365D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2"/>
              </w:rPr>
              <w:t>Parent variable</w:t>
            </w:r>
          </w:p>
        </w:tc>
        <w:tc>
          <w:tcPr>
            <w:tcW w:type="dxa" w:w="1247"/>
            <w:vAlign w:val="center"/>
            <w:shd w:fill="17365D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2"/>
              </w:rPr>
              <w:t>Mean |SHAP|</w:t>
            </w:r>
          </w:p>
        </w:tc>
        <w:tc>
          <w:tcPr>
            <w:tcW w:type="dxa" w:w="1701"/>
            <w:vAlign w:val="center"/>
            <w:shd w:fill="17365D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2"/>
              </w:rPr>
              <w:t>Mean SHAP when present</w:t>
            </w:r>
          </w:p>
        </w:tc>
        <w:tc>
          <w:tcPr>
            <w:tcW w:type="dxa" w:w="964"/>
            <w:vAlign w:val="center"/>
            <w:shd w:fill="17365D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2"/>
              </w:rPr>
              <w:t>Screen n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Crash location=Mainline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Crash location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0.26623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0.16920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8630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cause=Road debris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0.25068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-1.76251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1243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Causal vehicle=Passenger car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Causal vehicle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0.17106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-0.15351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7974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Traffic obstruction=No obstruction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Traffic obstruction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0.11592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-0.07743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12076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cause=Inattention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0.11136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0.22001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2795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Crash location=Tollgate (TG)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Crash location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0.10517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-0.69250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1337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cause=Drowsiness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0.10475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0.37284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1628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Road environment=Normal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Road environment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0.08085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0.04272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10032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cause=Single-vehicle fire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0.07434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-2.23419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279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Crash location=Ramp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Crash location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0.07077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-0.31099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1818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Lighting=Not applicable (daytime)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Lighting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0.06989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-0.07146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6479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Driver age=Unknown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Driver age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0.06431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-0.15746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2843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Surface condition=Dry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Surface condition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0.05980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0.04140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9183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Driver condition=Normal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Driver condition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0.04675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-0.02882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11347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Crash location=Tunnel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Crash location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0.04496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0.35568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525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Pre-crash maneuver=Excessive steering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Pre-crash maneuver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0.04116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-0.17158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1550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cause=Insufficient headway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0.03832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0.65188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264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Road environment=Pothole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Road environment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0.02598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-1.18588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192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cause=Road condition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0.02588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-1.30312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174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cause=Speeding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0.02044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0.02730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3079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cause=Unsafe passing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0.02030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0.44577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216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Causal vehicle=Van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Causal vehicle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0.01970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0.16438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660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cause=Animal intrusion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0.01955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-1.05742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131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Weather=Snow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Weather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0.01945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-0.30382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413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Lighting=None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Lighting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0.01908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0.05185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1894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cause=Tire failure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0.01868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-0.24997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487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Pavement type=Concrete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Pavement type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0.01854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-0.01659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6945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Pavement type=Asphalt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Pavement type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0.01831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0.02207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5101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Pre-crash maneuver=Lane change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Pre-crash maneuver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0.01719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0.35121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243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cause=Improper loading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0.01627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-0.93624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134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Pre-crash maneuver=Lane keeping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Pre-crash maneuver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0.01590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-0.00841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10218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Driver condition=Other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Driver condition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0.01578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0.57126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118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Causal vehicle=Truck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Causal vehicle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0.01547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0.02935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3034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Road environment=Fallen object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Road environment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0.01490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-0.41742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350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Weather=Rain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Weather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0.01461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-0.03962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2598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Road environment=Slippery surface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Road environment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0.01448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0.02483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1640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Crash location=Service area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Crash location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0.01353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0.33027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170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Driver age=50s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Driver age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0.01279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0.03403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2218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Sex=Unknown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Sex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0.01250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-0.21103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465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Driver age=Under 20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Driver age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0.01247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-0.12029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704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cause=Other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0.01198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0.03019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1671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Driver age=30s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Driver age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0.01152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-0.02984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2062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Vehicle class=General freight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Vehicle class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0.01151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-0.12273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500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Vehicle class=Medium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Vehicle class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0.01149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0.01620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4228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Weather=Cloudy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Weather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0.01071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0.04003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1686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Surface condition=Damp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Surface condition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0.01066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-0.02326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3213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Vehicle class=Large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Vehicle class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0.01015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0.02131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1617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Driver age=60 or older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Driver age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0.00952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0.05054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975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Embankment/cut class=Level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Embankment/cut class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0.00946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0.00369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6297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Horizontal alignment=Right curve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Horizontal alignment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0.00930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0.03538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1608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Sex=Female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Sex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0.00877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0.03629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1595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cause=Pothole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0.00876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-0.58784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148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Vehicle class=Small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Vehicle class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0.00842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0.00088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2867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Day type=Weekend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Day type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0.00812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0.01014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3984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Weather=Clear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Weather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0.00765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0.00475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7744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cause=Other vehicle factor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0.00712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-0.58459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87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Driver age=40s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Driver age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0.00684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0.01133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2468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Horizontal alignment=Left curve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Horizontal alignment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0.00682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0.01915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1650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Driver age=20s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Driver age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0.00667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0.03027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1225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Causal vehicle=Trailer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Causal vehicle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0.00665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0.04127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681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Vehicle class=Unknown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Vehicle class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0.00631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-0.00104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1137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Embankment/cut class=Cut ≥10 m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Embankment/cut class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0.00611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0.05403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647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Lighting=Operating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Lighting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0.00600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0.00774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3682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Embankment/cut class=Embankment ≥15 m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Embankment/cut class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0.00593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0.02274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1388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Horizontal alignment=Straight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Horizontal alignment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0.00573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-0.00078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8604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Vehicle class=SUV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Vehicle class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0.00529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0.02234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1443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Embankment/cut class=Unknown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Embankment/cut class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0.00509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-0.02689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1198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Traffic obstruction=Stopped vehicle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Traffic obstruction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0.00454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0.08444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233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Embankment/cut class=Embankment 2–&lt;5 m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Embankment/cut class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0.00334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-0.01223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1456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Pre-crash maneuver=Other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Pre-crash maneuver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0.00313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0.03330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484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cause=Unknown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0.00312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-0.32972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78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Embankment/cut class=Cut &lt;10 m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Embankment/cut class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0.00252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0.01730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849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cause=Other vehicle defect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Primary cause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0.00241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-0.19199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81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Road environment=Visibility obstruction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Road environment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0.00212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0.02789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114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Sex=Male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Sex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0.00193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0.00071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10435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Driver condition=Fatigue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Driver condition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0.00160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0.01185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689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Vehicle class=Box truck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Vehicle class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0.00157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0.04737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152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Lighting=Not operating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Lighting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0.00152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-0.02039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440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Traffic obstruction=Congestion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Traffic obstruction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0.00143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0.03870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127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Weather=Other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Weather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0.00142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0.13427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54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Pavement type=Unknown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Pavement type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0.00130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0.01787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449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Embankment/cut class=Embankment &lt;2 m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Embankment/cut class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0.00128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-0.00996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660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Day type=Weekday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Day type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0.00124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-0.00015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8511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Vehicle class=Mini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Vehicle class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0.00114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0.00861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529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Driver condition=Alcohol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Driver condition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0.00103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-0.00432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341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Causal vehicle=Other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Causal vehicle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0.00100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0.09836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60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Causal vehicle=Special vehicle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Causal vehicle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0.00090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-0.06557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86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Road environment=Other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Road environment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0.00053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-0.01481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167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Traffic obstruction=Other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Traffic obstruction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0.00040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-0.01916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59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Horizontal alignment=Unknown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Horizontal alignment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0.00036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-0.00298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633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Surface condition=Snow-covered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Surface condition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0.00016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0.00970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78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Crash location=Other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Crash location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0.00000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nan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15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Surface condition=Other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Surface condition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0.00000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nan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21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Vehicle class=Other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Vehicle class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0.00000</w:t>
            </w:r>
          </w:p>
        </w:tc>
        <w:tc>
          <w:tcPr>
            <w:tcW w:type="dxa" w:w="170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nan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2"/>
              </w:rPr>
              <w:t>22</w:t>
            </w:r>
          </w:p>
        </w:tc>
      </w:tr>
    </w:tbl>
    <w:p>
      <w:pPr>
        <w:spacing w:after="20"/>
      </w:pPr>
    </w:p>
    <w:p>
      <w:pPr>
        <w:keepLines/>
        <w:spacing w:before="0" w:after="60"/>
      </w:pPr>
      <w:r>
        <w:rPr>
          <w:rFonts w:ascii="Calibri" w:hAnsi="Calibri" w:eastAsia="Calibri"/>
          <w:b/>
          <w:i w:val="0"/>
          <w:color w:val="404040"/>
          <w:sz w:val="15"/>
        </w:rPr>
        <w:t xml:space="preserve">Note. </w:t>
      </w:r>
      <w:r>
        <w:rPr>
          <w:rFonts w:ascii="Calibri" w:hAnsi="Calibri" w:eastAsia="Calibri"/>
          <w:b w:val="0"/>
          <w:i w:val="0"/>
          <w:color w:val="404040"/>
          <w:sz w:val="15"/>
        </w:rPr>
        <w:t>SHAP values were computed only in the independent screening set and are model contributions, not causal effects.</w:t>
      </w:r>
    </w:p>
    <w:p>
      <w:pPr>
        <w:pStyle w:val="Heading1"/>
      </w:pPr>
      <w:r>
        <w:t>Supplementary Table S4. All screened interaction candidates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rPr>
          <w:tblHeader w:val="true"/>
        </w:trPr>
        <w:tc>
          <w:tcPr>
            <w:tcW w:type="dxa" w:w="2835"/>
            <w:vAlign w:val="center"/>
            <w:shd w:fill="17365D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1"/>
              </w:rPr>
              <w:t>Candidate</w:t>
            </w:r>
          </w:p>
        </w:tc>
        <w:tc>
          <w:tcPr>
            <w:tcW w:type="dxa" w:w="737"/>
            <w:vAlign w:val="center"/>
            <w:shd w:fill="17365D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1"/>
              </w:rPr>
              <w:t>Screen n</w:t>
            </w:r>
          </w:p>
        </w:tc>
        <w:tc>
          <w:tcPr>
            <w:tcW w:type="dxa" w:w="794"/>
            <w:vAlign w:val="center"/>
            <w:shd w:fill="17365D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1"/>
              </w:rPr>
              <w:t>Confirm n</w:t>
            </w:r>
          </w:p>
        </w:tc>
        <w:tc>
          <w:tcPr>
            <w:tcW w:type="dxa" w:w="680"/>
            <w:vAlign w:val="center"/>
            <w:shd w:fill="17365D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1"/>
              </w:rPr>
              <w:t>Cases</w:t>
            </w:r>
          </w:p>
        </w:tc>
        <w:tc>
          <w:tcPr>
            <w:tcW w:type="dxa" w:w="850"/>
            <w:vAlign w:val="center"/>
            <w:shd w:fill="17365D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1"/>
              </w:rPr>
              <w:t>Joint rate</w:t>
            </w:r>
          </w:p>
        </w:tc>
        <w:tc>
          <w:tcPr>
            <w:tcW w:type="dxa" w:w="850"/>
            <w:vAlign w:val="center"/>
            <w:shd w:fill="17365D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1"/>
              </w:rPr>
              <w:t>OR ratio</w:t>
            </w:r>
          </w:p>
        </w:tc>
        <w:tc>
          <w:tcPr>
            <w:tcW w:type="dxa" w:w="1191"/>
            <w:vAlign w:val="center"/>
            <w:shd w:fill="17365D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1"/>
              </w:rPr>
              <w:t>95% CI</w:t>
            </w:r>
          </w:p>
        </w:tc>
        <w:tc>
          <w:tcPr>
            <w:tcW w:type="dxa" w:w="680"/>
            <w:vAlign w:val="center"/>
            <w:shd w:fill="17365D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1"/>
              </w:rPr>
              <w:t>BH q</w:t>
            </w:r>
          </w:p>
        </w:tc>
        <w:tc>
          <w:tcPr>
            <w:tcW w:type="dxa" w:w="1247"/>
            <w:vAlign w:val="center"/>
            <w:shd w:fill="17365D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1"/>
              </w:rPr>
              <w:t>Decision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Causal vehicle=Van × Vehicle class=Large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30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187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54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28.88%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3.007</w:t>
            </w:r>
          </w:p>
        </w:tc>
        <w:tc>
          <w:tcPr>
            <w:tcW w:type="dxa" w:w="119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1.877–4.815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&lt;0.001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Confirmed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Primary cause=Inattention × Crash location=Tollgate (TG)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139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866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21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2.42%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0.411</w:t>
            </w:r>
          </w:p>
        </w:tc>
        <w:tc>
          <w:tcPr>
            <w:tcW w:type="dxa" w:w="119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0.228–0.741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0.008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Confirmed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Crash location=Tollgate (TG) × Vehicle class=Small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33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268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14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5.22%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2.638</w:t>
            </w:r>
          </w:p>
        </w:tc>
        <w:tc>
          <w:tcPr>
            <w:tcW w:type="dxa" w:w="119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1.362–5.112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0.008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Confirmed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Primary cause=Inattention × Crash location=Ramp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49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366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20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5.46%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0.787</w:t>
            </w:r>
          </w:p>
        </w:tc>
        <w:tc>
          <w:tcPr>
            <w:tcW w:type="dxa" w:w="119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0.471–1.314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0.539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Not confirmed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Primary cause=Inattention × Pre-crash maneuver=Excessive steering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76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477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69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14.47%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1.096</w:t>
            </w:r>
          </w:p>
        </w:tc>
        <w:tc>
          <w:tcPr>
            <w:tcW w:type="dxa" w:w="119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0.771–1.559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0.731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Not confirmed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Primary cause=Drowsiness × Lighting=None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51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423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113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26.71%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0.969</w:t>
            </w:r>
          </w:p>
        </w:tc>
        <w:tc>
          <w:tcPr>
            <w:tcW w:type="dxa" w:w="119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0.721–1.301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0.833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Not confirmed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Primary cause=Road debris × Sex=Female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30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173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2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1.16%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—</w:t>
            </w:r>
          </w:p>
        </w:tc>
        <w:tc>
          <w:tcPr>
            <w:tcW w:type="dxa" w:w="119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—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—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Excluded by cell rule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Primary cause=Road debris × Horizontal alignment=Left curve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28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189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2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1.06%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—</w:t>
            </w:r>
          </w:p>
        </w:tc>
        <w:tc>
          <w:tcPr>
            <w:tcW w:type="dxa" w:w="119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—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—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Excluded by cell rule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Primary cause=Road debris × Embankment/cut class=Embankment ≥15 m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26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189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1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0.53%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—</w:t>
            </w:r>
          </w:p>
        </w:tc>
        <w:tc>
          <w:tcPr>
            <w:tcW w:type="dxa" w:w="119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—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—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Excluded by cell rule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Crash location=Ramp × Vehicle class=Large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28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186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7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3.76%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—</w:t>
            </w:r>
          </w:p>
        </w:tc>
        <w:tc>
          <w:tcPr>
            <w:tcW w:type="dxa" w:w="119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—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—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Excluded by cell rule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Primary cause=Road debris × Pavement type=Asphalt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85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547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5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0.91%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—</w:t>
            </w:r>
          </w:p>
        </w:tc>
        <w:tc>
          <w:tcPr>
            <w:tcW w:type="dxa" w:w="119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—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—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Excluded by cell rule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Primary cause=Road debris × Lighting=Operating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52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395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1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0.25%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—</w:t>
            </w:r>
          </w:p>
        </w:tc>
        <w:tc>
          <w:tcPr>
            <w:tcW w:type="dxa" w:w="119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—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—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7F9FC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Excluded by cell rule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Crash location=Tollgate (TG) × Causal vehicle=Trailer</w:t>
            </w:r>
          </w:p>
        </w:tc>
        <w:tc>
          <w:tcPr>
            <w:tcW w:type="dxa" w:w="73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46</w:t>
            </w:r>
          </w:p>
        </w:tc>
        <w:tc>
          <w:tcPr>
            <w:tcW w:type="dxa" w:w="79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346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4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1.16%</w:t>
            </w:r>
          </w:p>
        </w:tc>
        <w:tc>
          <w:tcPr>
            <w:tcW w:type="dxa" w:w="85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—</w:t>
            </w:r>
          </w:p>
        </w:tc>
        <w:tc>
          <w:tcPr>
            <w:tcW w:type="dxa" w:w="119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—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—</w:t>
            </w:r>
          </w:p>
        </w:tc>
        <w:tc>
          <w:tcPr>
            <w:tcW w:type="dxa" w:w="124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1"/>
              </w:rPr>
              <w:t>Excluded by cell rule</w:t>
            </w:r>
          </w:p>
        </w:tc>
      </w:tr>
    </w:tbl>
    <w:p>
      <w:pPr>
        <w:spacing w:after="20"/>
      </w:pPr>
    </w:p>
    <w:p>
      <w:pPr>
        <w:keepLines/>
        <w:spacing w:before="0" w:after="60"/>
      </w:pPr>
      <w:r>
        <w:rPr>
          <w:rFonts w:ascii="Calibri" w:hAnsi="Calibri" w:eastAsia="Calibri"/>
          <w:b/>
          <w:i w:val="0"/>
          <w:color w:val="404040"/>
          <w:sz w:val="15"/>
        </w:rPr>
        <w:t xml:space="preserve">Note. </w:t>
      </w:r>
      <w:r>
        <w:rPr>
          <w:rFonts w:ascii="Calibri" w:hAnsi="Calibri" w:eastAsia="Calibri"/>
          <w:b w:val="0"/>
          <w:i w:val="0"/>
          <w:color w:val="404040"/>
          <w:sz w:val="15"/>
        </w:rPr>
        <w:t>Confirmation testing required joint n≥100, events≥10, and non-events≥10. BH-FDR was applied to all six candidates that satisfied these rules.</w:t>
      </w:r>
    </w:p>
    <w:p>
      <w:pPr>
        <w:pStyle w:val="Heading1"/>
      </w:pPr>
      <w:r>
        <w:t>Supplementary Table S5. Complete separation audit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835"/>
            <w:vAlign w:val="center"/>
            <w:shd w:fill="17365D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Dummy</w:t>
            </w:r>
          </w:p>
        </w:tc>
        <w:tc>
          <w:tcPr>
            <w:tcW w:type="dxa" w:w="907"/>
            <w:vAlign w:val="center"/>
            <w:shd w:fill="17365D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n</w:t>
            </w:r>
          </w:p>
        </w:tc>
        <w:tc>
          <w:tcPr>
            <w:tcW w:type="dxa" w:w="907"/>
            <w:vAlign w:val="center"/>
            <w:shd w:fill="17365D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Cases</w:t>
            </w:r>
          </w:p>
        </w:tc>
        <w:tc>
          <w:tcPr>
            <w:tcW w:type="dxa" w:w="3969"/>
            <w:vAlign w:val="center"/>
            <w:shd w:fill="17365D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Reason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4"/>
              </w:rPr>
              <w:t>Primary cause=Pothole</w:t>
            </w:r>
          </w:p>
        </w:tc>
        <w:tc>
          <w:tcPr>
            <w:tcW w:type="dxa" w:w="90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4"/>
              </w:rPr>
              <w:t>194</w:t>
            </w:r>
          </w:p>
        </w:tc>
        <w:tc>
          <w:tcPr>
            <w:tcW w:type="dxa" w:w="90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4"/>
              </w:rPr>
              <w:t>0</w:t>
            </w:r>
          </w:p>
        </w:tc>
        <w:tc>
          <w:tcPr>
            <w:tcW w:type="dxa" w:w="396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4"/>
              </w:rPr>
              <w:t>complete separation or absent category in confirmation set</w:t>
            </w:r>
          </w:p>
        </w:tc>
      </w:tr>
    </w:tbl>
    <w:p>
      <w:pPr>
        <w:spacing w:after="20"/>
      </w:pPr>
    </w:p>
    <w:p>
      <w:pPr>
        <w:keepLines/>
        <w:spacing w:before="0" w:after="60"/>
      </w:pPr>
      <w:r>
        <w:rPr>
          <w:rFonts w:ascii="Calibri" w:hAnsi="Calibri" w:eastAsia="Calibri"/>
          <w:b/>
          <w:i w:val="0"/>
          <w:color w:val="404040"/>
          <w:sz w:val="15"/>
        </w:rPr>
        <w:t xml:space="preserve">Note. </w:t>
      </w:r>
      <w:r>
        <w:rPr>
          <w:rFonts w:ascii="Calibri" w:hAnsi="Calibri" w:eastAsia="Calibri"/>
          <w:b w:val="0"/>
          <w:i w:val="0"/>
          <w:color w:val="404040"/>
          <w:sz w:val="15"/>
        </w:rPr>
        <w:t>Separated or absent contrasts were removed before estimation and were not treated as confirmed effects.</w:t>
      </w:r>
    </w:p>
    <w:p>
      <w:pPr>
        <w:pStyle w:val="Heading1"/>
      </w:pPr>
      <w:r>
        <w:t>Supplementary Figures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7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model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7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APTE"/>
        <w:jc w:val="center"/>
      </w:pPr>
      <w:r>
        <w:rPr>
          <w:rFonts w:ascii="Calibri" w:hAnsi="Calibri" w:eastAsia="Calibri"/>
          <w:b/>
          <w:i w:val="0"/>
          <w:color w:val="404040"/>
          <w:sz w:val="16"/>
        </w:rPr>
        <w:t>Figure S1. Confirmation-set model metrics with 95% bootstrap confidence intervals.</w:t>
      </w:r>
    </w:p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777777"/>
        <w:sz w:val="15"/>
      </w:rPr>
      <w:t>Supplementary material | APTE independent confirmation study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60"/>
      <w:jc w:val="both"/>
    </w:pPr>
    <w:rPr>
      <w:rFonts w:ascii="Malgun Gothic" w:hAnsi="Malgun Gothic" w:eastAsia="Malgun Gothic"/>
      <w:color w:val="40404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04040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65D"/>
      <w:spacing w:val="5"/>
      <w:kern w:val="28"/>
      <w:sz w:val="3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40404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0" w:line="240" w:lineRule="auto"/>
    </w:pPr>
    <w:rPr>
      <w:rFonts w:ascii="Calibri" w:hAnsi="Calibri" w:eastAsia="Malgun Gothic"/>
      <w:sz w:val="14"/>
    </w:rPr>
  </w:style>
  <w:style w:type="paragraph" w:customStyle="1" w:styleId="CaptionAPTE">
    <w:name w:val="Caption APTE"/>
    <w:pPr>
      <w:keepNext/>
      <w:spacing w:before="60" w:after="40"/>
    </w:pPr>
    <w:rPr>
      <w:rFonts w:ascii="Calibri" w:hAnsi="Calibri" w:eastAsia="Malgun Gothic"/>
      <w:b/>
      <w:color w:val="40404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 Independent-Sample Screening–Confirmation Analysis of Casualty Occurrence in Expressway Crashes: Integrating XGBoost-SHAP with Robust Logistic Regression</dc:title>
  <dc:subject>Anonymous manuscript for academic peer review</dc:subject>
  <dc:creator>python-docx</dc:creator>
  <cp:keywords>Expressway crash; Casualty occurrence; XGBoost; SHAP; Interaction; Independent confirmation</cp:keywords>
  <dc:description>academic_manuscript_jkst named override of narrative_proposal preset: A4, 16 mm vertical and 18 mm horizontal margins, Malgun Gothic 9.2 pt, 1.15 line spacing, English tables/figures/references.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