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2.png" ContentType="image/png"/>
  <Override PartName="/word/media/rId51.png" ContentType="image/png"/>
  <Override PartName="/word/media/rId27.png" ContentType="image/png"/>
  <Override PartName="/word/media/rId10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jb-localguard-os-mvp-제안서"/>
    <w:p>
      <w:pPr>
        <w:pStyle w:val="Heading1"/>
      </w:pPr>
      <w:r>
        <w:t xml:space="preserve">JB LocalGuard OS — MVP 제안서</w:t>
      </w:r>
    </w:p>
    <w:p>
      <w:pPr>
        <w:pStyle w:val="BlockText"/>
      </w:pPr>
      <w:r>
        <w:t xml:space="preserve">JB금융그룹 Fin:AI Challenge ·</w:t>
      </w:r>
      <w:r>
        <w:t xml:space="preserve"> </w:t>
      </w:r>
      <w:r>
        <w:rPr>
          <w:b/>
          <w:bCs/>
        </w:rPr>
        <w:t xml:space="preserve">자유주제 (JB 미래사업 AI)</w:t>
      </w:r>
      <w:r>
        <w:t xml:space="preserve"> </w:t>
      </w:r>
      <w:r>
        <w:t xml:space="preserve">제출물 ①(필수) MVP 제안서 · 공식 7섹션 구조 · 사실/수치는</w:t>
      </w:r>
      <w:r>
        <w:t xml:space="preserve"> </w:t>
      </w:r>
      <w:hyperlink r:id="rId9">
        <w:r>
          <w:rPr>
            <w:rStyle w:val="VerbatimChar"/>
          </w:rPr>
          <w:t xml:space="preserve">_canon.md</w:t>
        </w:r>
      </w:hyperlink>
      <w:r>
        <w:t xml:space="preserve"> </w:t>
      </w:r>
      <w:r>
        <w:t xml:space="preserve">단일 출처 기준</w:t>
      </w:r>
      <w:r>
        <w:t xml:space="preserve"> </w:t>
      </w:r>
      <w:r>
        <w:t xml:space="preserve">본 문서는 PDF 제안서·발표 데크(</w:t>
      </w:r>
      <w:r>
        <w:rPr>
          <w:rStyle w:val="VerbatimChar"/>
        </w:rPr>
        <w:t xml:space="preserve">00_제출/발표자료/build_proposal.py</w:t>
      </w:r>
      <w:r>
        <w:t xml:space="preserve">)의 원문 마스터다. 각 섹션 끝에 대응 심사 세부항목(1.1–5.5)을 표기한다.</w:t>
      </w:r>
    </w:p>
    <w:p>
      <w:r>
        <w:pict>
          <v:rect style="width:0;height:1.5pt" o:hralign="center" o:hrstd="t" o:hr="t"/>
        </w:pict>
      </w:r>
    </w:p>
    <w:bookmarkStart w:id="13" w:name="summary-서비스-요약"/>
    <w:p>
      <w:pPr>
        <w:pStyle w:val="Heading2"/>
      </w:pPr>
      <w:r>
        <w:t xml:space="preserve">1. Summary (서비스 요약)</w:t>
      </w:r>
    </w:p>
    <w:p>
      <w:pPr>
        <w:pStyle w:val="FirstParagraph"/>
      </w:pPr>
      <w:r>
        <w:rPr>
          <w:b/>
          <w:bCs/>
        </w:rPr>
        <w:t xml:space="preserve">JB LocalGuard OS</w:t>
      </w:r>
      <w:r>
        <w:t xml:space="preserve">는 지역 금융 고객의 위험 신호를 하나의</w:t>
      </w:r>
      <w:r>
        <w:t xml:space="preserve"> </w:t>
      </w:r>
      <w:r>
        <w:rPr>
          <w:rStyle w:val="VerbatimChar"/>
        </w:rPr>
        <w:t xml:space="preserve">Case</w:t>
      </w:r>
      <w:r>
        <w:t xml:space="preserve">로 모으고, 14종의 전문 AI Agent가 스킬을 장착해</w:t>
      </w:r>
      <w:r>
        <w:t xml:space="preserve"> </w:t>
      </w:r>
      <w:r>
        <w:rPr>
          <w:b/>
          <w:bCs/>
        </w:rPr>
        <w:t xml:space="preserve">판단 → 행동 초안 → 검증/개선</w:t>
      </w:r>
      <w:r>
        <w:t xml:space="preserve">을 수행하되,</w:t>
      </w:r>
      <w:r>
        <w:t xml:space="preserve"> </w:t>
      </w:r>
      <w:r>
        <w:rPr>
          <w:b/>
          <w:bCs/>
        </w:rPr>
        <w:t xml:space="preserve">고객 대상 행동은 사람 승인 전까지 차단</w:t>
      </w:r>
      <w:r>
        <w:t xml:space="preserve">하는 금융 AI Agent 운영 콘솔이다.</w:t>
      </w:r>
    </w:p>
    <w:p>
      <w:pPr>
        <w:pStyle w:val="CaptionedFigure"/>
      </w:pPr>
      <w:r>
        <w:drawing>
          <wp:inline>
            <wp:extent cx="5334000" cy="815528"/>
            <wp:effectExtent b="0" l="0" r="0" t="0"/>
            <wp:docPr descr="운영 루프 — Case에서 Audit까지" title="" id="11" name="Picture"/>
            <a:graphic>
              <a:graphicData uri="http://schemas.openxmlformats.org/drawingml/2006/picture">
                <pic:pic>
                  <pic:nvPicPr>
                    <pic:cNvPr descr="../02_제품/자산/diagrams/system-loo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운영 루프 — Case에서 Audit까지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누구를 위한 것인가</w:t>
            </w:r>
          </w:p>
        </w:tc>
        <w:tc>
          <w:tcPr/>
          <w:p>
            <w:pPr>
              <w:pStyle w:val="Compact"/>
            </w:pPr>
            <w:r>
              <w:t xml:space="preserve">전북은행·광주은행·JB우리캐피탈의 RM·기업금융·사후관리·준법 담당자(1차 사용자), 지역 소상공인·개인사업자·전세 고객(최종 수혜자)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무엇을 푸는가</w:t>
            </w:r>
          </w:p>
        </w:tc>
        <w:tc>
          <w:tcPr/>
          <w:p>
            <w:pPr>
              <w:pStyle w:val="Compact"/>
            </w:pPr>
            <w:r>
              <w:t xml:space="preserve">기사·정책공고·시세·등기·상담기록·사기경보가 흩어져 있어 위험을</w:t>
            </w:r>
            <w:r>
              <w:t xml:space="preserve"> </w:t>
            </w:r>
            <w:r>
              <w:rPr>
                <w:b/>
                <w:bCs/>
              </w:rPr>
              <w:t xml:space="preserve">조기에 모아 판단하고 다음 행동으로 연결</w:t>
            </w:r>
            <w:r>
              <w:t xml:space="preserve">하기 어렵다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어떻게 다른가</w:t>
            </w:r>
          </w:p>
        </w:tc>
        <w:tc>
          <w:tcPr/>
          <w:p>
            <w:pPr>
              <w:pStyle w:val="Compact"/>
            </w:pPr>
            <w:r>
              <w:t xml:space="preserve">외부 LLM은 쓰되</w:t>
            </w:r>
            <w:r>
              <w:t xml:space="preserve"> </w:t>
            </w:r>
            <w:r>
              <w:rPr>
                <w:b/>
                <w:bCs/>
              </w:rPr>
              <w:t xml:space="preserve">고객 원본 PII·신용정보는 절대 외부로 반출하지 않는다</w:t>
            </w:r>
            <w:r>
              <w:t xml:space="preserve">(4중 방어). 챗봇이 아니라</w:t>
            </w:r>
            <w:r>
              <w:t xml:space="preserve"> </w:t>
            </w:r>
            <w:r>
              <w:rPr>
                <w:b/>
                <w:bCs/>
              </w:rPr>
              <w:t xml:space="preserve">승인·감사 가능한 내부 운영체계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 가능성</w:t>
            </w:r>
          </w:p>
        </w:tc>
        <w:tc>
          <w:tcPr/>
          <w:p>
            <w:pPr>
              <w:pStyle w:val="Compact"/>
            </w:pPr>
            <w:r>
              <w:t xml:space="preserve">정적 MVP(브라우저)에서 케이스 선택 → AgentRun → 승인 → 감사 로그 갱신이 클릭으로 재현. 골든 패스 3종(</w:t>
            </w:r>
            <w:r>
              <w:rPr>
                <w:rStyle w:val="VerbatimChar"/>
              </w:rPr>
              <w:t xml:space="preserve">?demo=sme\|jeonse\|phishing</w:t>
            </w:r>
            <w:r>
              <w:t xml:space="preserve">), Playwright E2E 19종</w:t>
            </w:r>
          </w:p>
        </w:tc>
      </w:tr>
    </w:tbl>
    <w:p>
      <w:pPr>
        <w:pStyle w:val="BlockText"/>
      </w:pPr>
      <w:r>
        <w:t xml:space="preserve">대응: 1.1, 2.1, 3.1, 4.2, 5.1</w:t>
      </w:r>
    </w:p>
    <w:p>
      <w:r>
        <w:pict>
          <v:rect style="width:0;height:1.5pt" o:hralign="center" o:hrstd="t" o:hr="t"/>
        </w:pict>
      </w:r>
    </w:p>
    <w:bookmarkEnd w:id="13"/>
    <w:bookmarkStart w:id="20" w:name="문제-정의-problem-definition"/>
    <w:p>
      <w:pPr>
        <w:pStyle w:val="Heading2"/>
      </w:pPr>
      <w:r>
        <w:t xml:space="preserve">2. 문제 정의 (Problem Definition)</w:t>
      </w:r>
    </w:p>
    <w:bookmarkStart w:id="14" w:name="대상-사용자와-사용-상황"/>
    <w:p>
      <w:pPr>
        <w:pStyle w:val="Heading3"/>
      </w:pPr>
      <w:r>
        <w:t xml:space="preserve">2.1 대상 사용자와 사용 상황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1차 사용자</w:t>
      </w:r>
      <w:r>
        <w:t xml:space="preserve">: 지역은행/캐피탈의 RM, 기업금융 심사역, 사후관리 담당, 준법·리스크 담당.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사용 상황</w:t>
      </w:r>
      <w:r>
        <w:t xml:space="preserve">: 담당자 1인이 수십~수백 케이스를 보유. 위험 징후는 기사·정책·시세·등기·상담·거래·사기경보 등</w:t>
      </w:r>
      <w:r>
        <w:t xml:space="preserve"> </w:t>
      </w:r>
      <w:r>
        <w:rPr>
          <w:b/>
          <w:bCs/>
        </w:rPr>
        <w:t xml:space="preserve">출처가 분산</w:t>
      </w:r>
      <w:r>
        <w:t xml:space="preserve">되어 있고, 조기에 종합 판단할 시간이 없다.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최종 수혜자</w:t>
      </w:r>
      <w:r>
        <w:t xml:space="preserve">: 전북·광주/전남 기반 소상공인·개인사업자·전세 계약 고객(특히 청년·고령).</w:t>
      </w:r>
    </w:p>
    <w:bookmarkEnd w:id="14"/>
    <w:bookmarkStart w:id="17" w:name="현행-pain-point-검증된-데이터"/>
    <w:p>
      <w:pPr>
        <w:pStyle w:val="Heading3"/>
      </w:pPr>
      <w:r>
        <w:t xml:space="preserve">2.2 현행 Pain Point (검증된 데이터)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근거 수치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소상공인 자금압박</w:t>
            </w:r>
          </w:p>
        </w:tc>
        <w:tc>
          <w:tcPr/>
          <w:p>
            <w:pPr>
              <w:pStyle w:val="Compact"/>
            </w:pPr>
            <w:r>
              <w:t xml:space="preserve">자영업자 대출</w:t>
            </w:r>
            <w:r>
              <w:t xml:space="preserve"> </w:t>
            </w:r>
            <w:r>
              <w:rPr>
                <w:b/>
                <w:bCs/>
              </w:rPr>
              <w:t xml:space="preserve">1,064.2조원</w:t>
            </w:r>
            <w:r>
              <w:t xml:space="preserve"> </w:t>
            </w:r>
            <w:r>
              <w:t xml:space="preserve">· 취약 자영업자</w:t>
            </w:r>
            <w:r>
              <w:t xml:space="preserve"> </w:t>
            </w:r>
            <w:r>
              <w:rPr>
                <w:b/>
                <w:bCs/>
              </w:rPr>
              <w:t xml:space="preserve">42.7만명(13.7%)</w:t>
            </w:r>
            <w:r>
              <w:t xml:space="preserve">, 연체율</w:t>
            </w:r>
            <w:r>
              <w:t xml:space="preserve"> </w:t>
            </w:r>
            <w:r>
              <w:rPr>
                <w:b/>
                <w:bCs/>
              </w:rPr>
              <w:t xml:space="preserve">11.16%</w:t>
            </w:r>
            <w:r>
              <w:t xml:space="preserve"> </w:t>
            </w:r>
            <w:r>
              <w:t xml:space="preserve">· 2024 폐업</w:t>
            </w:r>
            <w:r>
              <w:t xml:space="preserve"> </w:t>
            </w:r>
            <w:r>
              <w:rPr>
                <w:b/>
                <w:bCs/>
              </w:rPr>
              <w:t xml:space="preserve">100.8만명</w:t>
            </w:r>
            <w:r>
              <w:t xml:space="preserve">(첫 100만 돌파)</w:t>
            </w:r>
          </w:p>
        </w:tc>
        <w:tc>
          <w:tcPr/>
          <w:p>
            <w:pPr>
              <w:pStyle w:val="Compact"/>
            </w:pPr>
            <w:r>
              <w:t xml:space="preserve">한국은행(2024말)·국세청(2024)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전세사기</w:t>
            </w:r>
          </w:p>
        </w:tc>
        <w:tc>
          <w:tcPr/>
          <w:p>
            <w:pPr>
              <w:pStyle w:val="Compact"/>
            </w:pPr>
            <w:r>
              <w:t xml:space="preserve">피해자 누적 인정</w:t>
            </w:r>
            <w:r>
              <w:t xml:space="preserve"> </w:t>
            </w:r>
            <w:r>
              <w:rPr>
                <w:b/>
                <w:bCs/>
              </w:rPr>
              <w:t xml:space="preserve">약 3.9만건</w:t>
            </w:r>
            <w:r>
              <w:t xml:space="preserve"> </w:t>
            </w:r>
            <w:r>
              <w:t xml:space="preserve">· HUG 사고액</w:t>
            </w:r>
            <w:r>
              <w:t xml:space="preserve"> </w:t>
            </w:r>
            <w:r>
              <w:rPr>
                <w:b/>
                <w:bCs/>
              </w:rPr>
              <w:t xml:space="preserve">2024년 4.49조원</w:t>
            </w:r>
            <w:r>
              <w:t xml:space="preserve">(역대 최고)</w:t>
            </w:r>
          </w:p>
        </w:tc>
        <w:tc>
          <w:tcPr/>
          <w:p>
            <w:pPr>
              <w:pStyle w:val="Compact"/>
            </w:pPr>
            <w:r>
              <w:t xml:space="preserve">국토부·HUG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보이스피싱</w:t>
            </w:r>
          </w:p>
        </w:tc>
        <w:tc>
          <w:tcPr/>
          <w:p>
            <w:pPr>
              <w:pStyle w:val="Compact"/>
            </w:pPr>
            <w:r>
              <w:t xml:space="preserve">2025년 1~11월 피해액</w:t>
            </w:r>
            <w:r>
              <w:t xml:space="preserve"> </w:t>
            </w:r>
            <w:r>
              <w:rPr>
                <w:b/>
                <w:bCs/>
              </w:rPr>
              <w:t xml:space="preserve">1.13조원(+56% YoY)</w:t>
            </w:r>
            <w:r>
              <w:t xml:space="preserve"> </w:t>
            </w:r>
            <w:r>
              <w:t xml:space="preserve">· 50대 이상 53%</w:t>
            </w:r>
          </w:p>
        </w:tc>
        <w:tc>
          <w:tcPr/>
          <w:p>
            <w:pPr>
              <w:pStyle w:val="Compact"/>
            </w:pPr>
            <w:r>
              <w:t xml:space="preserve">금융위·경찰청</w:t>
            </w:r>
          </w:p>
        </w:tc>
      </w:tr>
    </w:tbl>
    <w:p>
      <w:pPr>
        <w:pStyle w:val="BodyText"/>
      </w:pPr>
      <w:r>
        <w:t xml:space="preserve">→ 금리 부담·매출 둔화가 동시에 오는데 신호가 흩어져</w:t>
      </w:r>
      <w:r>
        <w:t xml:space="preserve"> </w:t>
      </w:r>
      <w:r>
        <w:rPr>
          <w:b/>
          <w:bCs/>
        </w:rPr>
        <w:t xml:space="preserve">사후관리 누락·대응 지연</w:t>
      </w:r>
      <w:r>
        <w:t xml:space="preserve">이 발생한다.</w:t>
      </w:r>
      <w:r>
        <w:t xml:space="preserve"> </w:t>
      </w:r>
      <w:r>
        <w:rPr>
          <w:i/>
          <w:iCs/>
        </w:rPr>
        <w:t xml:space="preserve">(출처·신뢰도:</w:t>
      </w:r>
      <w:r>
        <w:rPr>
          <w:i/>
          <w:iCs/>
        </w:rPr>
        <w:t xml:space="preserve"> </w:t>
      </w:r>
      <w:hyperlink r:id="rId15">
        <w:r>
          <w:rPr>
            <w:rStyle w:val="VerbatimChar"/>
            <w:i/>
            <w:iCs/>
          </w:rPr>
          <w:t xml:space="preserve">05_리서치/pain-point-evidence.md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 인용카드</w:t>
      </w:r>
      <w:r>
        <w:rPr>
          <w:i/>
          <w:iCs/>
        </w:rPr>
        <w:t xml:space="preserve"> </w:t>
      </w:r>
      <w:hyperlink r:id="rId16">
        <w:r>
          <w:rPr>
            <w:rStyle w:val="VerbatimChar"/>
            <w:i/>
            <w:iCs/>
          </w:rPr>
          <w:t xml:space="preserve">06_증빙/01-심사인용카드.md</w:t>
        </w:r>
      </w:hyperlink>
      <w:r>
        <w:rPr>
          <w:i/>
          <w:iCs/>
        </w:rPr>
        <w:t xml:space="preserve">)</w:t>
      </w:r>
    </w:p>
    <w:bookmarkEnd w:id="17"/>
    <w:bookmarkStart w:id="18" w:name="왜-jb금융그룹금융업-관점에서-중요한가"/>
    <w:p>
      <w:pPr>
        <w:pStyle w:val="Heading3"/>
      </w:pPr>
      <w:r>
        <w:t xml:space="preserve">2.3 왜 JB금융그룹·금융업 관점에서 중요한가</w:t>
      </w:r>
    </w:p>
    <w:p>
      <w:pPr>
        <w:pStyle w:val="Compact"/>
        <w:numPr>
          <w:ilvl w:val="0"/>
          <w:numId w:val="1002"/>
        </w:numPr>
      </w:pPr>
      <w:r>
        <w:t xml:space="preserve">JB는 전북·광주/전남이라는</w:t>
      </w:r>
      <w:r>
        <w:t xml:space="preserve"> </w:t>
      </w:r>
      <w:r>
        <w:rPr>
          <w:b/>
          <w:bCs/>
        </w:rPr>
        <w:t xml:space="preserve">지역 밀착 기반</w:t>
      </w:r>
      <w:r>
        <w:t xml:space="preserve">과 소상공인·개인사업자·전세 고객 접점이 강하다(전북은행 소상공인 대환대출 취급</w:t>
      </w:r>
      <w:r>
        <w:t xml:space="preserve"> </w:t>
      </w:r>
      <w:r>
        <w:rPr>
          <w:b/>
          <w:bCs/>
        </w:rPr>
        <w:t xml:space="preserve">2024년 687억, 1위</w:t>
      </w:r>
      <w:r>
        <w:t xml:space="preserve">). 차주 리스크 조기 탐지·사후관리는 곧</w:t>
      </w:r>
      <w:r>
        <w:t xml:space="preserve"> </w:t>
      </w:r>
      <w:r>
        <w:rPr>
          <w:b/>
          <w:bCs/>
        </w:rPr>
        <w:t xml:space="preserve">건전성·상생금융·고객 유지</w:t>
      </w:r>
      <w:r>
        <w:t xml:space="preserve">로 직결된다.</w:t>
      </w:r>
    </w:p>
    <w:p>
      <w:pPr>
        <w:pStyle w:val="Compact"/>
        <w:numPr>
          <w:ilvl w:val="0"/>
          <w:numId w:val="1002"/>
        </w:numPr>
      </w:pPr>
      <w:r>
        <w:t xml:space="preserve">JB금융그룹은 2025-12-26</w:t>
      </w:r>
      <w:r>
        <w:t xml:space="preserve"> </w:t>
      </w:r>
      <w:r>
        <w:rPr>
          <w:b/>
          <w:bCs/>
        </w:rPr>
        <w:t xml:space="preserve">네이버클라우드와 MOU</w:t>
      </w:r>
      <w:r>
        <w:t xml:space="preserve">를 맺고 기업여신</w:t>
      </w:r>
      <w:r>
        <w:t xml:space="preserve"> </w:t>
      </w:r>
      <w:r>
        <w:rPr>
          <w:b/>
          <w:bCs/>
        </w:rPr>
        <w:t xml:space="preserve">상담→심사→사후관리</w:t>
      </w:r>
      <w:r>
        <w:t xml:space="preserve"> </w:t>
      </w:r>
      <w:r>
        <w:t xml:space="preserve">전반의 AI 적용을 단계적으로 검토한다고 공표했다. 본 제품은 그</w:t>
      </w:r>
      <w:r>
        <w:t xml:space="preserve"> </w:t>
      </w:r>
      <w:r>
        <w:rPr>
          <w:b/>
          <w:bCs/>
        </w:rPr>
        <w:t xml:space="preserve">공표된 추진 방향의 실행 수단</w:t>
      </w:r>
      <w:r>
        <w:t xml:space="preserve">이다.</w:t>
      </w:r>
    </w:p>
    <w:p>
      <w:pPr>
        <w:pStyle w:val="Compact"/>
        <w:numPr>
          <w:ilvl w:val="0"/>
          <w:numId w:val="1002"/>
        </w:numPr>
      </w:pPr>
      <w:r>
        <w:t xml:space="preserve">김기홍 회장은 2026년을</w:t>
      </w:r>
      <w:r>
        <w:t xml:space="preserve"> </w:t>
      </w:r>
      <w:r>
        <w:rPr>
          <w:b/>
          <w:bCs/>
        </w:rPr>
        <w:t xml:space="preserve">“AX(AI 전환) 원년”</w:t>
      </w:r>
      <w:r>
        <w:t xml:space="preserve">으로 선언했다 — 그룹 최우선 전략과 정합.</w:t>
      </w:r>
    </w:p>
    <w:bookmarkEnd w:id="18"/>
    <w:bookmarkStart w:id="19" w:name="실제-서비스-과제로의-전환-가능성"/>
    <w:p>
      <w:pPr>
        <w:pStyle w:val="Heading3"/>
      </w:pPr>
      <w:r>
        <w:t xml:space="preserve">2.4 실제 서비스 과제로의 전환 가능성</w:t>
      </w:r>
    </w:p>
    <w:p>
      <w:pPr>
        <w:pStyle w:val="FirstParagraph"/>
      </w:pPr>
      <w:r>
        <w:t xml:space="preserve">문제는</w:t>
      </w:r>
      <w:r>
        <w:t xml:space="preserve"> </w:t>
      </w:r>
      <w:r>
        <w:t xml:space="preserve">“분산된 위험 신호의 조기 종합·승인형 대응”</w:t>
      </w:r>
      <w:r>
        <w:t xml:space="preserve">이라는</w:t>
      </w:r>
      <w:r>
        <w:t xml:space="preserve"> </w:t>
      </w:r>
      <w:r>
        <w:rPr>
          <w:b/>
          <w:bCs/>
        </w:rPr>
        <w:t xml:space="preserve">운영 과제</w:t>
      </w:r>
      <w:r>
        <w:t xml:space="preserve">로 명확히 환원되며, 신규 시스템이 아니라</w:t>
      </w:r>
      <w:r>
        <w:t xml:space="preserve"> </w:t>
      </w:r>
      <w:r>
        <w:rPr>
          <w:b/>
          <w:bCs/>
        </w:rPr>
        <w:t xml:space="preserve">기존 RM 업무 흐름(상담·심사·사후관리)에 삽입되는 운영 콘솔</w:t>
      </w:r>
      <w:r>
        <w:t xml:space="preserve">로 구현 가능하다.</w:t>
      </w:r>
    </w:p>
    <w:p>
      <w:pPr>
        <w:pStyle w:val="BlockText"/>
      </w:pPr>
      <w:r>
        <w:t xml:space="preserve">대응: 1.2, 1.3, 1.4, 1.5, 2.1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6" w:name="제안-솔루션-개요-solution-overview"/>
    <w:p>
      <w:pPr>
        <w:pStyle w:val="Heading2"/>
      </w:pPr>
      <w:r>
        <w:t xml:space="preserve">3. 제안 솔루션 개요 (Solution Overview)</w:t>
      </w:r>
    </w:p>
    <w:bookmarkStart w:id="21" w:name="핵심-아이디어"/>
    <w:p>
      <w:pPr>
        <w:pStyle w:val="Heading3"/>
      </w:pPr>
      <w:r>
        <w:t xml:space="preserve">3.1 핵심 아이디어</w:t>
      </w:r>
    </w:p>
    <w:p>
      <w:pPr>
        <w:pStyle w:val="FirstParagraph"/>
      </w:pPr>
      <w:r>
        <w:rPr>
          <w:rStyle w:val="VerbatimChar"/>
        </w:rPr>
        <w:t xml:space="preserve">Case → AgentRun → Agent → Skill → Evidence → Approval → Audit</w:t>
      </w:r>
      <w:r>
        <w:t xml:space="preserve"> </w:t>
      </w:r>
      <w:r>
        <w:t xml:space="preserve">운영 계약 위에서,</w:t>
      </w:r>
      <w:r>
        <w:t xml:space="preserve"> </w:t>
      </w:r>
      <w:r>
        <w:rPr>
          <w:b/>
          <w:bCs/>
        </w:rPr>
        <w:t xml:space="preserve">판단·행동·검증을 가진 멀티 에이전트</w:t>
      </w:r>
      <w:r>
        <w:t xml:space="preserve">가 케이스를 처리한다. 챗봇이 고객에게 바로 답하는 대신,</w:t>
      </w:r>
      <w:r>
        <w:t xml:space="preserve"> </w:t>
      </w:r>
      <w:r>
        <w:rPr>
          <w:b/>
          <w:bCs/>
        </w:rPr>
        <w:t xml:space="preserve">담당자에게 근거 있는 판단과 승인 가능한 행동 초안</w:t>
      </w:r>
      <w:r>
        <w:t xml:space="preserve">을 제공한다.</w:t>
      </w:r>
    </w:p>
    <w:bookmarkEnd w:id="21"/>
    <w:bookmarkStart w:id="26" w:name="차별점-데이터-거버넌스-pii-비반출-최대-차별점리스크-답변"/>
    <w:p>
      <w:pPr>
        <w:pStyle w:val="Heading3"/>
      </w:pPr>
      <w:r>
        <w:t xml:space="preserve">3.2 차별점 ― 데이터 거버넌스 (PII 비반출) 〔최대 차별점·리스크 답변〕</w:t>
      </w:r>
    </w:p>
    <w:p>
      <w:pPr>
        <w:pStyle w:val="CaptionedFigure"/>
      </w:pPr>
      <w:r>
        <w:drawing>
          <wp:inline>
            <wp:extent cx="5334000" cy="1232533"/>
            <wp:effectExtent b="0" l="0" r="0" t="0"/>
            <wp:docPr descr="데이터 거버넌스 4중 방어 (PII 비반출)" title="" id="23" name="Picture"/>
            <a:graphic>
              <a:graphicData uri="http://schemas.openxmlformats.org/drawingml/2006/picture">
                <pic:pic>
                  <pic:nvPicPr>
                    <pic:cNvPr descr="../02_제품/자산/diagrams/governance-4defens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2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데이터 거버넌스 4중 방어 (PII 비반출)</w:t>
      </w:r>
    </w:p>
    <w:p>
      <w:pPr>
        <w:pStyle w:val="BodyText"/>
      </w:pPr>
      <w:r>
        <w:t xml:space="preserve">외부 LLM을 쓰되 원본 PII는 외부로 나가지 않는</w:t>
      </w:r>
      <w:r>
        <w:t xml:space="preserve"> </w:t>
      </w:r>
      <w:r>
        <w:rPr>
          <w:b/>
          <w:bCs/>
        </w:rPr>
        <w:t xml:space="preserve">4중 방어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데이터 등급제</w:t>
      </w:r>
      <w:r>
        <w:t xml:space="preserve">: 모든 필드에</w:t>
      </w:r>
      <w:r>
        <w:t xml:space="preserve"> </w:t>
      </w:r>
      <w:r>
        <w:rPr>
          <w:rStyle w:val="VerbatimChar"/>
        </w:rPr>
        <w:t xml:space="preserve">public/internal/confidential/restricted(PII)</w:t>
      </w:r>
      <w:r>
        <w:t xml:space="preserve"> </w:t>
      </w:r>
      <w:r>
        <w:t xml:space="preserve">등급. 등급이 모델 라우팅·반출 가능 여부를 결정.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토큰화/가명처리</w:t>
      </w:r>
      <w:r>
        <w:t xml:space="preserve">: 외부 호출 직전 PII를 토큰으로 치환. 토큰↔원본 매핑은</w:t>
      </w:r>
      <w:r>
        <w:t xml:space="preserve"> </w:t>
      </w:r>
      <w:r>
        <w:rPr>
          <w:b/>
          <w:bCs/>
        </w:rPr>
        <w:t xml:space="preserve">국내 볼트</w:t>
      </w:r>
      <w:r>
        <w:t xml:space="preserve">에만 존재.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모델 라우팅</w:t>
      </w:r>
      <w:r>
        <w:t xml:space="preserve">: 원본 PII 필요 작업 → 국내·온프레 모델, 비식별 요약·분류 → 외부 프런티어 모델(토큰 입력만), 공개정보 분석 → 외부 모델.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반출 스캔 + 감사 원장</w:t>
      </w:r>
      <w:r>
        <w:t xml:space="preserve">: 외부 전송 페이로드를 사전 스캔(주민번호/계좌/전화 패턴 + 토큰 검증), 모든 접근·전송·재식별을 무결성 해시 원장에 기록.</w:t>
      </w:r>
    </w:p>
    <w:p>
      <w:pPr>
        <w:pStyle w:val="BodyText"/>
      </w:pPr>
      <w:r>
        <w:t xml:space="preserve">근거(검증): 은행은</w:t>
      </w:r>
      <w:r>
        <w:t xml:space="preserve"> </w:t>
      </w:r>
      <w:r>
        <w:rPr>
          <w:b/>
          <w:bCs/>
        </w:rPr>
        <w:t xml:space="preserve">신용정보법 §40조의2</w:t>
      </w:r>
      <w:r>
        <w:t xml:space="preserve">(특별법 우선, §3조의2)로 가명처리·</w:t>
      </w:r>
      <w:r>
        <w:rPr>
          <w:b/>
          <w:bCs/>
        </w:rPr>
        <w:t xml:space="preserve">재식별 금지(⑥⑦)</w:t>
      </w:r>
      <w:r>
        <w:t xml:space="preserve">·분리보관(①②)을 규율, 개인정보보호법</w:t>
      </w:r>
      <w:r>
        <w:t xml:space="preserve"> </w:t>
      </w:r>
      <w:r>
        <w:rPr>
          <w:b/>
          <w:bCs/>
        </w:rPr>
        <w:t xml:space="preserve">§28조의4(안전조치)·§28조의5(재식별 금지)</w:t>
      </w:r>
      <w:r>
        <w:t xml:space="preserve"> </w:t>
      </w:r>
      <w:r>
        <w:t xml:space="preserve">보충. 환경:</w:t>
      </w:r>
      <w:r>
        <w:t xml:space="preserve"> </w:t>
      </w:r>
      <w:r>
        <w:rPr>
          <w:b/>
          <w:bCs/>
        </w:rPr>
        <w:t xml:space="preserve">전자금융감독규정 §15조①(망분리)</w:t>
      </w:r>
      <w:r>
        <w:t xml:space="preserve">, 금융위</w:t>
      </w:r>
      <w:r>
        <w:t xml:space="preserve"> </w:t>
      </w:r>
      <w:r>
        <w:rPr>
          <w:b/>
          <w:bCs/>
        </w:rPr>
        <w:t xml:space="preserve">망분리 개선 로드맵(2024-08-13, 다층보안체계·생성형 AI 클라우드 이용 허용)</w:t>
      </w:r>
      <w:r>
        <w:t xml:space="preserve">, 금융보안원</w:t>
      </w:r>
      <w:r>
        <w:t xml:space="preserve"> </w:t>
      </w:r>
      <w:r>
        <w:rPr>
          <w:b/>
          <w:bCs/>
        </w:rPr>
        <w:t xml:space="preserve">금융 클라우드 이용 가이드(2025)</w:t>
      </w:r>
      <w:r>
        <w:t xml:space="preserve">.</w:t>
      </w:r>
      <w:r>
        <w:t xml:space="preserve"> </w:t>
      </w:r>
      <w:r>
        <w:rPr>
          <w:i/>
          <w:iCs/>
        </w:rPr>
        <w:t xml:space="preserve">(상세:</w:t>
      </w:r>
      <w:r>
        <w:rPr>
          <w:i/>
          <w:iCs/>
        </w:rPr>
        <w:t xml:space="preserve"> </w:t>
      </w:r>
      <w:hyperlink r:id="rId25">
        <w:r>
          <w:rPr>
            <w:rStyle w:val="VerbatimChar"/>
            <w:i/>
            <w:iCs/>
          </w:rPr>
          <w:t xml:space="preserve">06_증빙/legal-citation-verification.md</w:t>
        </w:r>
      </w:hyperlink>
      <w:r>
        <w:rPr>
          <w:i/>
          <w:iCs/>
        </w:rPr>
        <w:t xml:space="preserve">)</w:t>
      </w:r>
    </w:p>
    <w:bookmarkEnd w:id="26"/>
    <w:bookmarkStart w:id="34" w:name="시스템-구성-에이전트-조직-사람-승인자-ai-에이전트"/>
    <w:p>
      <w:pPr>
        <w:pStyle w:val="Heading3"/>
      </w:pPr>
      <w:r>
        <w:t xml:space="preserve">3.3 시스템 구성 + 에이전트 조직 (사람 승인자 + AI 에이전트)</w:t>
      </w:r>
    </w:p>
    <w:p>
      <w:pPr>
        <w:pStyle w:val="CaptionedFigure"/>
      </w:pPr>
      <w:r>
        <w:drawing>
          <wp:inline>
            <wp:extent cx="5334000" cy="2007741"/>
            <wp:effectExtent b="0" l="0" r="0" t="0"/>
            <wp:docPr descr="시스템 구성도 (추상)" title="" id="28" name="Picture"/>
            <a:graphic>
              <a:graphicData uri="http://schemas.openxmlformats.org/drawingml/2006/picture">
                <pic:pic>
                  <pic:nvPicPr>
                    <pic:cNvPr descr="../02_제품/자산/diagrams/system-architectur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7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시스템 구성도 (추상)</w:t>
      </w:r>
    </w:p>
    <w:p>
      <w:pPr>
        <w:pStyle w:val="BodyText"/>
      </w:pPr>
      <w:r>
        <w:t xml:space="preserve">UI(4-zone 콘솔) → 케이스 런타임 → 운영 조율 에이전트 →</w:t>
      </w:r>
      <w:r>
        <w:t xml:space="preserve"> </w:t>
      </w:r>
      <w:r>
        <w:rPr>
          <w:b/>
          <w:bCs/>
        </w:rPr>
        <w:t xml:space="preserve">전문 Agent 메시(14종) + Skill Registry(25종)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데이터 거버넌스 게이트(★차별점)</w:t>
      </w:r>
      <w:r>
        <w:t xml:space="preserve"> </w:t>
      </w:r>
      <w:r>
        <w:t xml:space="preserve">→ 모델(국내·온프레=원본 PII / 외부 LLM=토큰만). 에이전트는 근거 커넥터(플러그인/MCP 6)를 조회하고, 모든 판단·행동·반출은</w:t>
      </w:r>
      <w:r>
        <w:t xml:space="preserve"> </w:t>
      </w:r>
      <w:r>
        <w:rPr>
          <w:b/>
          <w:bCs/>
        </w:rPr>
        <w:t xml:space="preserve">Evidence·Approval(L0–L4)·Audit 해시</w:t>
      </w:r>
      <w:r>
        <w:t xml:space="preserve">에 기록된다. 사람 승인자(RM·준법) 2종 + 승인 게이트가 모든 고객 대상 행동을 통제한다.</w:t>
      </w:r>
      <w:r>
        <w:t xml:space="preserve"> </w:t>
      </w:r>
      <w:r>
        <w:rPr>
          <w:i/>
          <w:iCs/>
        </w:rPr>
        <w:t xml:space="preserve">(전 컴포넌트 전개도: §5.2 ·</w:t>
      </w:r>
      <w:r>
        <w:rPr>
          <w:i/>
          <w:iCs/>
        </w:rPr>
        <w:t xml:space="preserve"> </w:t>
      </w:r>
      <w:hyperlink r:id="rId30">
        <w:r>
          <w:rPr>
            <w:rStyle w:val="VerbatimChar"/>
            <w:i/>
            <w:iCs/>
          </w:rPr>
          <w:t xml:space="preserve">04_아키텍처/</w:t>
        </w:r>
      </w:hyperlink>
      <w:r>
        <w:rPr>
          <w:i/>
          <w:iCs/>
        </w:rPr>
        <w:t xml:space="preserve">)</w:t>
      </w:r>
    </w:p>
    <w:p>
      <w:pPr>
        <w:pStyle w:val="CaptionedFigure"/>
      </w:pPr>
      <w:r>
        <w:drawing>
          <wp:inline>
            <wp:extent cx="5334000" cy="1779193"/>
            <wp:effectExtent b="0" l="0" r="0" t="0"/>
            <wp:docPr descr="에이전트 조직" title="" id="32" name="Picture"/>
            <a:graphic>
              <a:graphicData uri="http://schemas.openxmlformats.org/drawingml/2006/picture">
                <pic:pic>
                  <pic:nvPicPr>
                    <pic:cNvPr descr="../02_제품/자산/diagrams/agent-org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9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에이전트 조직</w:t>
      </w:r>
    </w:p>
    <w:bookmarkEnd w:id="34"/>
    <w:bookmarkStart w:id="35" w:name="왜-이-접근인가"/>
    <w:p>
      <w:pPr>
        <w:pStyle w:val="Heading3"/>
      </w:pPr>
      <w:r>
        <w:t xml:space="preserve">3.4 왜 이 접근인가</w:t>
      </w:r>
    </w:p>
    <w:p>
      <w:pPr>
        <w:pStyle w:val="Compact"/>
        <w:numPr>
          <w:ilvl w:val="0"/>
          <w:numId w:val="1003"/>
        </w:numPr>
      </w:pPr>
      <w:r>
        <w:t xml:space="preserve">멀티 에이전트(스킬 장착형):</w:t>
      </w:r>
      <w:r>
        <w:t xml:space="preserve"> </w:t>
      </w:r>
      <w:r>
        <w:rPr>
          <w:b/>
          <w:bCs/>
        </w:rPr>
        <w:t xml:space="preserve">기능 추가 = 스킬 추가</w:t>
      </w:r>
      <w:r>
        <w:t xml:space="preserve">로 확장.</w:t>
      </w:r>
    </w:p>
    <w:p>
      <w:pPr>
        <w:pStyle w:val="Compact"/>
        <w:numPr>
          <w:ilvl w:val="0"/>
          <w:numId w:val="1003"/>
        </w:numPr>
      </w:pPr>
      <w:r>
        <w:t xml:space="preserve">승인 우선 자동화: 완전 자동 발송 금지 → 금융권 내부통제와 정합.</w:t>
      </w:r>
    </w:p>
    <w:p>
      <w:pPr>
        <w:pStyle w:val="Compact"/>
        <w:numPr>
          <w:ilvl w:val="0"/>
          <w:numId w:val="1003"/>
        </w:numPr>
      </w:pPr>
      <w:r>
        <w:t xml:space="preserve">Evidence·Audit이 일급 객체 → 설명가능성·책임소재 확보.</w:t>
      </w:r>
    </w:p>
    <w:p>
      <w:pPr>
        <w:pStyle w:val="BlockText"/>
      </w:pPr>
      <w:r>
        <w:t xml:space="preserve">대응: 2.4, 3.1, 3.4, 5.1, 5.5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주요-기능-정의-key-features"/>
    <w:p>
      <w:pPr>
        <w:pStyle w:val="Heading2"/>
      </w:pPr>
      <w:r>
        <w:t xml:space="preserve">4. 주요 기능 정의 (Key Features)</w:t>
      </w:r>
    </w:p>
    <w:p>
      <w:pPr>
        <w:pStyle w:val="FirstParagraph"/>
      </w:pPr>
      <w:r>
        <w:t xml:space="preserve">핵심 기능</w:t>
      </w:r>
      <w:r>
        <w:t xml:space="preserve"> </w:t>
      </w:r>
      <w:r>
        <w:rPr>
          <w:b/>
          <w:bCs/>
        </w:rPr>
        <w:t xml:space="preserve">6가지 — 모두 MVP에서 동작 확인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동작하는 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케이스 운영보드/대시보드</w:t>
            </w:r>
          </w:p>
        </w:tc>
        <w:tc>
          <w:tcPr/>
          <w:p>
            <w:pPr>
              <w:pStyle w:val="Compact"/>
            </w:pPr>
            <w:r>
              <w:t xml:space="preserve">케이스를 위험·상태·SLA로 큐잉, 칸반 이동이 실제 상태 전환 hook을 발화</w:t>
            </w:r>
          </w:p>
        </w:tc>
        <w:tc>
          <w:tcPr/>
          <w:p>
            <w:pPr>
              <w:pStyle w:val="Compact"/>
            </w:pPr>
            <w:r>
              <w:t xml:space="preserve">운영 조율 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AgentRun 실행</w:t>
            </w:r>
          </w:p>
        </w:tc>
        <w:tc>
          <w:tcPr/>
          <w:p>
            <w:pPr>
              <w:pStyle w:val="Compact"/>
            </w:pPr>
            <w:r>
              <w:t xml:space="preserve">자연어 지시→담당 에이전트가 단계별 로그를 시간순 생성(판단·근거·confidence)</w:t>
            </w:r>
          </w:p>
        </w:tc>
        <w:tc>
          <w:tcPr/>
          <w:p>
            <w:pPr>
              <w:pStyle w:val="Compact"/>
            </w:pPr>
            <w:r>
              <w:t xml:space="preserve">상환위험 분류/정책금융 매칭/위험신호 조기감지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스킬 저장소</w:t>
            </w:r>
          </w:p>
        </w:tc>
        <w:tc>
          <w:tcPr/>
          <w:p>
            <w:pPr>
              <w:pStyle w:val="Compact"/>
            </w:pPr>
            <w:r>
              <w:t xml:space="preserve">25종 스킬에 위험도·승인 정책 부여, 에이전트에 장착(확장·내부통제 단위화)</w:t>
            </w:r>
          </w:p>
        </w:tc>
        <w:tc>
          <w:tcPr/>
          <w:p>
            <w:pPr>
              <w:pStyle w:val="Compact"/>
            </w:pPr>
            <w:r>
              <w:t xml:space="preserve">전 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거버넌스 패널</w:t>
            </w:r>
          </w:p>
        </w:tc>
        <w:tc>
          <w:tcPr/>
          <w:p>
            <w:pPr>
              <w:pStyle w:val="Compact"/>
            </w:pPr>
            <w:r>
              <w:t xml:space="preserve">토큰화 전/후, 모델 라우팅(국내/외부), 반출 스캔 결과, 근거 법령 칩</w:t>
            </w:r>
          </w:p>
        </w:tc>
        <w:tc>
          <w:tcPr/>
          <w:p>
            <w:pPr>
              <w:pStyle w:val="Compact"/>
            </w:pPr>
            <w:r>
              <w:t xml:space="preserve">준법 검토 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승인 게이트 + 감사 원장</w:t>
            </w:r>
          </w:p>
        </w:tc>
        <w:tc>
          <w:tcPr/>
          <w:p>
            <w:pPr>
              <w:pStyle w:val="Compact"/>
            </w:pPr>
            <w:r>
              <w:t xml:space="preserve">고객 대상 행동 전 사람 승인, 승인/반려/상위검토를 무결성 해시 원장에 기록</w:t>
            </w:r>
          </w:p>
        </w:tc>
        <w:tc>
          <w:tcPr/>
          <w:p>
            <w:pPr>
              <w:pStyle w:val="Compact"/>
            </w:pPr>
            <w:r>
              <w:t xml:space="preserve">승인 게이트 / RM·준법 최종 승인자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전세 Shield 라인</w:t>
            </w:r>
          </w:p>
        </w:tc>
        <w:tc>
          <w:tcPr/>
          <w:p>
            <w:pPr>
              <w:pStyle w:val="Compact"/>
            </w:pPr>
            <w:r>
              <w:t xml:space="preserve">전세가율·권리관계·임차인 손실위험·계약 체크리스트·은행 연계 분리 판단</w:t>
            </w:r>
          </w:p>
        </w:tc>
        <w:tc>
          <w:tcPr/>
          <w:p>
            <w:pPr>
              <w:pStyle w:val="Compact"/>
            </w:pPr>
            <w:r>
              <w:t xml:space="preserve">전세위험 관리 리드 + 4개 전문 에이전트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케이스 자율운영 상세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630083"/>
                  <wp:effectExtent b="0" l="0" r="0" t="0"/>
                  <wp:docPr descr="대시보드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./02_제품/자산/screenshots/upgrade/01-dashboard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30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630083"/>
                  <wp:effectExtent b="0" l="0" r="0" t="0"/>
                  <wp:docPr descr="케이스 상세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02_제품/자산/screenshots/upgrade/02-case-detail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30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플러그인·MCP 커넥터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거버넌스(PII 토큰화)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630083"/>
                  <wp:effectExtent b="0" l="0" r="0" t="0"/>
                  <wp:docPr descr="플러그인" title="" id="44" name="Picture"/>
                  <a:graphic>
                    <a:graphicData uri="http://schemas.openxmlformats.org/drawingml/2006/picture">
                      <pic:pic>
                        <pic:nvPicPr>
                          <pic:cNvPr descr="../02_제품/자산/screenshots/upgrade/04-plugins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30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4947120"/>
                  <wp:effectExtent b="0" l="0" r="0" t="0"/>
                  <wp:docPr descr="거버넌스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./02_제품/자산/screenshots/upgrade/05-governanc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47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각 기능은 케이스 상세 페이지에서</w:t>
      </w:r>
      <w:r>
        <w:t xml:space="preserve"> </w:t>
      </w:r>
      <w:r>
        <w:rPr>
          <w:b/>
          <w:bCs/>
        </w:rPr>
        <w:t xml:space="preserve">산출물(MD 문서)</w:t>
      </w:r>
      <w:r>
        <w:t xml:space="preserve">로 연결되어 실제 업무 결과물을 생성한다.</w:t>
      </w:r>
    </w:p>
    <w:p>
      <w:pPr>
        <w:pStyle w:val="BlockText"/>
      </w:pPr>
      <w:r>
        <w:t xml:space="preserve">대응: 3.1, 3.2, 4.2, 4.4</w:t>
      </w:r>
    </w:p>
    <w:p>
      <w:r>
        <w:pict>
          <v:rect style="width:0;height:1.5pt" o:hralign="center" o:hrstd="t" o:hr="t"/>
        </w:pict>
      </w:r>
    </w:p>
    <w:bookmarkEnd w:id="49"/>
    <w:bookmarkStart w:id="57" w:name="데이터-및-기술-활용-data-tech-plan"/>
    <w:p>
      <w:pPr>
        <w:pStyle w:val="Heading2"/>
      </w:pPr>
      <w:r>
        <w:t xml:space="preserve">5. 데이터 및 기술 활용 (Data &amp; Tech Plan)</w:t>
      </w:r>
    </w:p>
    <w:bookmarkStart w:id="50" w:name="데이터-공개공식-출처-우선-출처-전부-명시"/>
    <w:p>
      <w:pPr>
        <w:pStyle w:val="Heading3"/>
      </w:pPr>
      <w:r>
        <w:t xml:space="preserve">5.1 데이터 (공개·공식 출처 우선, 출처 전부 명시)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공공/공식</w:t>
      </w:r>
      <w:r>
        <w:t xml:space="preserve">: 공공데이터포털(사업자상태·상권), 한국은행 ECOS(금리·지표), HUG 전세보증, 국토교통부 실거래가, 금융위/금감원 공시·경보. 라이선스(공공누리 등)·제약 명시.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내부(가상/시뮬레이션)</w:t>
      </w:r>
      <w:r>
        <w:t xml:space="preserve">: 케이스·상담·거래 맥락은 MVP에서 데모/시뮬레이션으로 표기하여 실데이터와 구분.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출처 칩</w:t>
      </w:r>
      <w:r>
        <w:t xml:space="preserve">: 판단 신호마다</w:t>
      </w:r>
      <w:r>
        <w:t xml:space="preserve"> </w:t>
      </w:r>
      <w:r>
        <w:rPr>
          <w:rStyle w:val="VerbatimChar"/>
        </w:rPr>
        <w:t xml:space="preserve">공공데이터/시뮬레이션/추정</w:t>
      </w:r>
      <w:r>
        <w:t xml:space="preserve"> </w:t>
      </w:r>
      <w:r>
        <w:t xml:space="preserve">출처 등급을 표시.</w:t>
      </w:r>
    </w:p>
    <w:bookmarkEnd w:id="50"/>
    <w:bookmarkStart w:id="54" w:name="기술-ai-agent-구조-판단행동검증"/>
    <w:p>
      <w:pPr>
        <w:pStyle w:val="Heading3"/>
      </w:pPr>
      <w:r>
        <w:t xml:space="preserve">5.2 기술 (AI Agent 구조 — 판단·행동·검증)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멀티 에이전트 오케스트레이션</w:t>
      </w:r>
      <w:r>
        <w:t xml:space="preserve">: 순차(위험감지→분류→초안→준법검토)·병렬(분류·정책·사기 동시)·에스컬레이션(사기 시 외부 차단)·검토 루프(준법 반려→재작성).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RAG</w:t>
      </w:r>
      <w:r>
        <w:t xml:space="preserve">: 공공/내부 문서 검색 기반 근거 연결(본선 목표).</w:t>
      </w:r>
      <w:r>
        <w:t xml:space="preserve"> </w:t>
      </w:r>
      <w:r>
        <w:rPr>
          <w:b/>
          <w:bCs/>
        </w:rPr>
        <w:t xml:space="preserve">Rule Engine</w:t>
      </w:r>
      <w:r>
        <w:t xml:space="preserve">: 승인 레벨 L0–L4·결정 규칙(riskScore≥85 외부행동 차단 등).</w:t>
      </w:r>
      <w:r>
        <w:t xml:space="preserve"> </w:t>
      </w:r>
      <w:r>
        <w:rPr>
          <w:b/>
          <w:bCs/>
        </w:rPr>
        <w:t xml:space="preserve">모델 라우팅</w:t>
      </w:r>
      <w:r>
        <w:t xml:space="preserve">: 거버넌스 §3.2.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현재 MVP</w:t>
      </w:r>
      <w:r>
        <w:t xml:space="preserve">: Vanilla JS/CSS 정적 앱, 네트워크 API 없이 브라우저 상태로 운영 루프 재현.</w:t>
      </w:r>
      <w:r>
        <w:t xml:space="preserve"> </w:t>
      </w:r>
      <w:r>
        <w:rPr>
          <w:b/>
          <w:bCs/>
        </w:rPr>
        <w:t xml:space="preserve">본선 목표</w:t>
      </w:r>
      <w:r>
        <w:t xml:space="preserve">: 정적 함수 계약(</w:t>
      </w:r>
      <w:r>
        <w:rPr>
          <w:rStyle w:val="VerbatimChar"/>
        </w:rPr>
        <w:t xml:space="preserve">computeRiskDecision</w:t>
      </w:r>
      <w:r>
        <w:t xml:space="preserve">·</w:t>
      </w:r>
      <w:r>
        <w:rPr>
          <w:rStyle w:val="VerbatimChar"/>
        </w:rPr>
        <w:t xml:space="preserve">buildDashboardData</w:t>
      </w:r>
      <w:r>
        <w:t xml:space="preserve">·</w:t>
      </w:r>
      <w:r>
        <w:rPr>
          <w:rStyle w:val="VerbatimChar"/>
        </w:rPr>
        <w:t xml:space="preserve">auditChainRecords</w:t>
      </w:r>
      <w:r>
        <w:t xml:space="preserve">)을 서버 API로 1:1 승격.</w:t>
      </w:r>
    </w:p>
    <w:p>
      <w:pPr>
        <w:pStyle w:val="FirstParagraph"/>
      </w:pPr>
      <w:r>
        <w:rPr>
          <w:b/>
          <w:bCs/>
        </w:rPr>
        <w:t xml:space="preserve">상세 시스템 구성도 (전 컴포넌트)</w:t>
      </w:r>
      <w:r>
        <w:t xml:space="preserve"> </w:t>
      </w:r>
      <w:r>
        <w:t xml:space="preserve">— 계층별 색 코딩으로 현재 정적 MVP 범위와 본선 승격 목표(REST API·DB+ORM)를 함께 표기:</w:t>
      </w:r>
    </w:p>
    <w:p>
      <w:pPr>
        <w:pStyle w:val="CaptionedFigure"/>
      </w:pPr>
      <w:r>
        <w:drawing>
          <wp:inline>
            <wp:extent cx="5334000" cy="3850668"/>
            <wp:effectExtent b="0" l="0" r="0" t="0"/>
            <wp:docPr descr="상세 시스템 구성도" title="" id="52" name="Picture"/>
            <a:graphic>
              <a:graphicData uri="http://schemas.openxmlformats.org/drawingml/2006/picture">
                <pic:pic>
                  <pic:nvPicPr>
                    <pic:cNvPr descr="../02_제품/자산/diagrams/system-architecture-full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상세 시스템 구성도</w:t>
      </w:r>
    </w:p>
    <w:bookmarkEnd w:id="54"/>
    <w:bookmarkStart w:id="56" w:name="외부-데이터오픈소스상용-api의-출처라이선스제약-3.5"/>
    <w:p>
      <w:pPr>
        <w:pStyle w:val="Heading3"/>
      </w:pPr>
      <w:r>
        <w:t xml:space="preserve">5.3 외부 데이터·오픈소스·상용 API의 출처·라이선스·제약 (3.5)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제공처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ECOS(금리·지표)</w:t>
            </w:r>
          </w:p>
        </w:tc>
        <w:tc>
          <w:tcPr/>
          <w:p>
            <w:pPr>
              <w:pStyle w:val="Compact"/>
            </w:pPr>
            <w:r>
              <w:t xml:space="preserve">한국은행</w:t>
            </w:r>
          </w:p>
        </w:tc>
        <w:tc>
          <w:tcPr/>
          <w:p>
            <w:pPr>
              <w:pStyle w:val="Compact"/>
            </w:pPr>
            <w:r>
              <w:t xml:space="preserve">출처표시 시 상업이용 가능</w:t>
            </w:r>
          </w:p>
        </w:tc>
        <w:tc>
          <w:tcPr/>
          <w:p>
            <w:pPr>
              <w:pStyle w:val="Compact"/>
            </w:pPr>
            <w:r>
              <w:t xml:space="preserve">인증키·호출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실거래가/전세보증</w:t>
            </w:r>
          </w:p>
        </w:tc>
        <w:tc>
          <w:tcPr/>
          <w:p>
            <w:pPr>
              <w:pStyle w:val="Compact"/>
            </w:pPr>
            <w:r>
              <w:t xml:space="preserve">국토부·HUG</w:t>
            </w:r>
          </w:p>
        </w:tc>
        <w:tc>
          <w:tcPr/>
          <w:p>
            <w:pPr>
              <w:pStyle w:val="Compact"/>
            </w:pPr>
            <w:r>
              <w:t xml:space="preserve">공공누리(유형 확인)</w:t>
            </w:r>
          </w:p>
        </w:tc>
        <w:tc>
          <w:tcPr/>
          <w:p>
            <w:pPr>
              <w:pStyle w:val="Compact"/>
            </w:pPr>
            <w:r>
              <w:t xml:space="preserve">자동 대량수집 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부동산 등기</w:t>
            </w:r>
          </w:p>
        </w:tc>
        <w:tc>
          <w:tcPr/>
          <w:p>
            <w:pPr>
              <w:pStyle w:val="Compact"/>
            </w:pPr>
            <w:r>
              <w:t xml:space="preserve">대법원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일 1,000건·분당 30건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Claude/OpenAI API</w:t>
            </w:r>
          </w:p>
        </w:tc>
        <w:tc>
          <w:tcPr/>
          <w:p>
            <w:pPr>
              <w:pStyle w:val="Compact"/>
            </w:pPr>
            <w:r>
              <w:t xml:space="preserve">Anthropic/OpenAI</w:t>
            </w:r>
          </w:p>
        </w:tc>
        <w:tc>
          <w:tcPr/>
          <w:p>
            <w:pPr>
              <w:pStyle w:val="Compact"/>
            </w:pPr>
            <w:r>
              <w:t xml:space="preserve">상용 약관</w:t>
            </w:r>
          </w:p>
        </w:tc>
        <w:tc>
          <w:tcPr/>
          <w:p>
            <w:pPr>
              <w:pStyle w:val="Compact"/>
            </w:pPr>
            <w:r>
              <w:t xml:space="preserve">학습 미사용·국외이전 →</w:t>
            </w:r>
            <w:r>
              <w:t xml:space="preserve"> </w:t>
            </w:r>
            <w:r>
              <w:rPr>
                <w:b/>
                <w:bCs/>
              </w:rPr>
              <w:t xml:space="preserve">원본 PII 전송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/ python-pptx</w:t>
            </w:r>
          </w:p>
        </w:tc>
        <w:tc>
          <w:tcPr/>
          <w:p>
            <w:pPr>
              <w:pStyle w:val="Compact"/>
            </w:pPr>
            <w:r>
              <w:t xml:space="preserve">OSS</w:t>
            </w:r>
          </w:p>
        </w:tc>
        <w:tc>
          <w:tcPr/>
          <w:p>
            <w:pPr>
              <w:pStyle w:val="Compact"/>
            </w:pPr>
            <w:r>
              <w:t xml:space="preserve">Apache-2.0 / MIT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상용 LLM의 PII 전송 제약이 본 제품의</w:t>
      </w:r>
      <w:r>
        <w:t xml:space="preserve"> </w:t>
      </w:r>
      <w:r>
        <w:rPr>
          <w:b/>
          <w:bCs/>
        </w:rPr>
        <w:t xml:space="preserve">PII 비반출 거버넌스의 직접적 근거</w:t>
      </w:r>
      <w:r>
        <w:t xml:space="preserve">다.</w:t>
      </w:r>
      <w:r>
        <w:t xml:space="preserve"> </w:t>
      </w:r>
      <w:r>
        <w:rPr>
          <w:i/>
          <w:iCs/>
        </w:rPr>
        <w:t xml:space="preserve">(전체 표:</w:t>
      </w:r>
      <w:r>
        <w:rPr>
          <w:i/>
          <w:iCs/>
        </w:rPr>
        <w:t xml:space="preserve"> </w:t>
      </w:r>
      <w:hyperlink r:id="rId55">
        <w:r>
          <w:rPr>
            <w:rStyle w:val="VerbatimChar"/>
            <w:i/>
            <w:iCs/>
          </w:rPr>
          <w:t xml:space="preserve">05_리서치/data-api-license-inventory.md</w:t>
        </w:r>
      </w:hyperlink>
      <w:r>
        <w:rPr>
          <w:i/>
          <w:iCs/>
        </w:rPr>
        <w:t xml:space="preserve">)</w:t>
      </w:r>
    </w:p>
    <w:p>
      <w:pPr>
        <w:pStyle w:val="BlockText"/>
      </w:pPr>
      <w:r>
        <w:t xml:space="preserve">대응: 3.2, 3.3, 3.5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사용자-시나리오유즈케이스-user-scenario"/>
    <w:p>
      <w:pPr>
        <w:pStyle w:val="Heading2"/>
      </w:pPr>
      <w:r>
        <w:t xml:space="preserve">6. 사용자 시나리오/유즈케이스 (User Scenario)</w:t>
      </w:r>
    </w:p>
    <w:bookmarkStart w:id="60" w:name="대표-유스케이스-전주-중앙로-카페-jbg-104-demosme"/>
    <w:p>
      <w:pPr>
        <w:pStyle w:val="Heading3"/>
      </w:pPr>
      <w:r>
        <w:t xml:space="preserve">6.1 대표 유스케이스 — 전주 중앙로 카페 (JBG-104,</w:t>
      </w:r>
      <w:r>
        <w:t xml:space="preserve"> </w:t>
      </w:r>
      <w:r>
        <w:rPr>
          <w:rStyle w:val="VerbatimChar"/>
        </w:rPr>
        <w:t xml:space="preserve">?demo=sme</w:t>
      </w:r>
      <w:r>
        <w:t xml:space="preserve">)</w:t>
      </w:r>
    </w:p>
    <w:p>
      <w:pPr>
        <w:pStyle w:val="CaptionedFigure"/>
      </w:pPr>
      <w:r>
        <w:drawing>
          <wp:inline>
            <wp:extent cx="5334000" cy="3630083"/>
            <wp:effectExtent b="0" l="0" r="0" t="0"/>
            <wp:docPr descr="케이스 자율운영 상세" title="" id="58" name="Picture"/>
            <a:graphic>
              <a:graphicData uri="http://schemas.openxmlformats.org/drawingml/2006/picture">
                <pic:pic>
                  <pic:nvPicPr>
                    <pic:cNvPr descr="../02_제품/자산/screenshots/upgrade/02-case-detail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케이스 자율운영 상세</w:t>
      </w:r>
    </w:p>
    <w:p>
      <w:pPr>
        <w:pStyle w:val="Compact"/>
        <w:numPr>
          <w:ilvl w:val="0"/>
          <w:numId w:val="1006"/>
        </w:numPr>
      </w:pPr>
      <w:r>
        <w:t xml:space="preserve">RM이</w:t>
      </w:r>
      <w:r>
        <w:t xml:space="preserve"> </w:t>
      </w:r>
      <w:r>
        <w:rPr>
          <w:b/>
          <w:bCs/>
        </w:rPr>
        <w:t xml:space="preserve">전주 중앙로 카페</w:t>
      </w:r>
      <w:r>
        <w:t xml:space="preserve">(개인사업자, 전북은행, riskScore 88, 운전자금 1.8억·카드매출 둔화) 케이스를 연다.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AgentRun</w:t>
      </w:r>
      <w:r>
        <w:t xml:space="preserve"> </w:t>
      </w:r>
      <w:r>
        <w:t xml:space="preserve">실행 →</w:t>
      </w:r>
      <w:r>
        <w:t xml:space="preserve"> </w:t>
      </w:r>
      <w:r>
        <w:rPr>
          <w:b/>
          <w:bCs/>
        </w:rPr>
        <w:t xml:space="preserve">상환위험 분류 에이전트</w:t>
      </w:r>
      <w:r>
        <w:t xml:space="preserve">가 금리 부담·매출 둔화를 위험 요인으로 분해(근거·confidence 표시).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정책금융 매칭 에이전트</w:t>
      </w:r>
      <w:r>
        <w:t xml:space="preserve">가 대환/정책금융 후보와 필요 서류 체크리스트 생성.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RM 보좌 에이전트</w:t>
      </w:r>
      <w:r>
        <w:t xml:space="preserve">가 고객 콜백 초안 작성 →</w:t>
      </w:r>
      <w:r>
        <w:t xml:space="preserve"> </w:t>
      </w:r>
      <w:r>
        <w:rPr>
          <w:b/>
          <w:bCs/>
        </w:rPr>
        <w:t xml:space="preserve">준법 검토 에이전트</w:t>
      </w:r>
      <w:r>
        <w:t xml:space="preserve">가 과장·금융조건 확정 표현·PII 노출 검토.</w:t>
      </w:r>
    </w:p>
    <w:p>
      <w:pPr>
        <w:pStyle w:val="Compact"/>
        <w:numPr>
          <w:ilvl w:val="0"/>
          <w:numId w:val="1006"/>
        </w:numPr>
      </w:pPr>
      <w:r>
        <w:t xml:space="preserve">외부 LLM 호출 구간에서는</w:t>
      </w:r>
      <w:r>
        <w:t xml:space="preserve"> </w:t>
      </w:r>
      <w:r>
        <w:rPr>
          <w:b/>
          <w:bCs/>
        </w:rPr>
        <w:t xml:space="preserve">데이터 거버넌스</w:t>
      </w:r>
      <w:r>
        <w:t xml:space="preserve">가 PII를 토큰화하고 반출 스캔 통과를 확인.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RM 최종 승인자</w:t>
      </w:r>
      <w:r>
        <w:t xml:space="preserve">가 승인 → 상태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b/>
          <w:bCs/>
        </w:rPr>
        <w:t xml:space="preserve">감사 원장</w:t>
      </w:r>
      <w:r>
        <w:t xml:space="preserve">에 누가·무엇을·언제·어떤 근거로가 기록.</w:t>
      </w:r>
    </w:p>
    <w:bookmarkEnd w:id="60"/>
    <w:bookmarkStart w:id="61" w:name="보조-유스케이스"/>
    <w:p>
      <w:pPr>
        <w:pStyle w:val="Heading3"/>
      </w:pPr>
      <w:r>
        <w:t xml:space="preserve">6.2 보조 유스케이스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전세 보호</w:t>
      </w:r>
      <w:r>
        <w:t xml:space="preserve"> </w:t>
      </w:r>
      <w:r>
        <w:t xml:space="preserve">(</w:t>
      </w:r>
      <w:r>
        <w:rPr>
          <w:rStyle w:val="VerbatimChar"/>
        </w:rPr>
        <w:t xml:space="preserve">?demo=jeonse</w:t>
      </w:r>
      <w:r>
        <w:t xml:space="preserve">): 전세위험 관리 리드가 전세가율·등기 권리·임차인 손실위험·계약 체크리스트·은행 연계를 분리 판단, 고위험 매물 경고.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소상공인/보이스피싱</w:t>
      </w:r>
      <w:r>
        <w:t xml:space="preserve"> </w:t>
      </w:r>
      <w:r>
        <w:t xml:space="preserve">(</w:t>
      </w:r>
      <w:r>
        <w:rPr>
          <w:rStyle w:val="VerbatimChar"/>
        </w:rPr>
        <w:t xml:space="preserve">?demo=phishing</w:t>
      </w:r>
      <w:r>
        <w:t xml:space="preserve">): 이상거래 탐지·차단 에이전트가 비정상 콜백을 감지해</w:t>
      </w:r>
      <w:r>
        <w:t xml:space="preserve"> </w:t>
      </w:r>
      <w:r>
        <w:rPr>
          <w:b/>
          <w:bCs/>
        </w:rPr>
        <w:t xml:space="preserve">외부 접촉 차단</w:t>
      </w:r>
      <w:r>
        <w:t xml:space="preserve">, 에스컬레이션 메모 생성.</w:t>
      </w:r>
    </w:p>
    <w:p>
      <w:pPr>
        <w:pStyle w:val="BlockText"/>
      </w:pPr>
      <w:r>
        <w:t xml:space="preserve">대응: 1.2, 2.2, 3.1, 4.2, 4.3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기대-효과-및-향후-확장성-expected-impact"/>
    <w:p>
      <w:pPr>
        <w:pStyle w:val="Heading2"/>
      </w:pPr>
      <w:r>
        <w:t xml:space="preserve">7. 기대 효과 및 향후 확장성 (Expected Impact)</w:t>
      </w:r>
    </w:p>
    <w:bookmarkStart w:id="63" w:name="고객가치업무효율리스크-감소-kpi"/>
    <w:p>
      <w:pPr>
        <w:pStyle w:val="Heading3"/>
      </w:pPr>
      <w:r>
        <w:t xml:space="preserve">7.1 고객가치·업무효율·리스크 감소 (KPI)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 time</w:t>
            </w:r>
          </w:p>
        </w:tc>
        <w:tc>
          <w:tcPr/>
          <w:p>
            <w:pPr>
              <w:pStyle w:val="Compact"/>
            </w:pPr>
            <w:r>
              <w:t xml:space="preserve">위험 인지→대응 착수 시간</w:t>
            </w:r>
            <w:r>
              <w:t xml:space="preserve"> </w:t>
            </w:r>
            <w:r>
              <w:rPr>
                <w:b/>
                <w:bCs/>
              </w:rPr>
              <w:t xml:space="preserve">50% 단축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traceability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  <w:r>
              <w:t xml:space="preserve"> </w:t>
            </w:r>
            <w:r>
              <w:rPr>
                <w:b/>
                <w:bCs/>
              </w:rPr>
              <w:t xml:space="preserve">100% 근거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safety</w:t>
            </w:r>
          </w:p>
        </w:tc>
        <w:tc>
          <w:tcPr/>
          <w:p>
            <w:pPr>
              <w:pStyle w:val="Compact"/>
            </w:pPr>
            <w:r>
              <w:t xml:space="preserve">고객 대상 행동</w:t>
            </w:r>
            <w:r>
              <w:t xml:space="preserve"> </w:t>
            </w:r>
            <w:r>
              <w:rPr>
                <w:b/>
                <w:bCs/>
              </w:rPr>
              <w:t xml:space="preserve">100% 승인 게이트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사후관리 누락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전세 안전계약</w:t>
            </w:r>
          </w:p>
        </w:tc>
        <w:tc>
          <w:tcPr/>
          <w:p>
            <w:pPr>
              <w:pStyle w:val="Compact"/>
            </w:pPr>
            <w:r>
              <w:t xml:space="preserve">전세 위험 케이스</w:t>
            </w:r>
            <w:r>
              <w:t xml:space="preserve"> </w:t>
            </w:r>
            <w:r>
              <w:rPr>
                <w:b/>
                <w:bCs/>
              </w:rPr>
              <w:t xml:space="preserve">100% 체크리스트 연결</w:t>
            </w:r>
          </w:p>
        </w:tc>
      </w:tr>
    </w:tbl>
    <w:p>
      <w:pPr>
        <w:pStyle w:val="BodyText"/>
      </w:pPr>
      <w:r>
        <w:t xml:space="preserve">수익기회: 대환·정책금융 검토 기회 발굴, 사기 피해 차단으로 손실·분쟁 비용 절감.</w:t>
      </w:r>
    </w:p>
    <w:bookmarkEnd w:id="63"/>
    <w:bookmarkStart w:id="64" w:name="확장성"/>
    <w:p>
      <w:pPr>
        <w:pStyle w:val="Heading3"/>
      </w:pPr>
      <w:r>
        <w:t xml:space="preserve">7.2 확장성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계열사 확장</w:t>
      </w:r>
      <w:r>
        <w:t xml:space="preserve">: 케이스 스키마·스킬 추가만으로 광주은행·JB우리캐피탈·자산운용으로 확장.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업무영역 확장</w:t>
      </w:r>
      <w:r>
        <w:t xml:space="preserve">: 정책금융·전세·사기에서 기업여신 심사·사후관리·WM으로 스킬 추가 확장.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고객군 확장</w:t>
      </w:r>
      <w:r>
        <w:t xml:space="preserve">: 소상공인→중소기업→가계→전세 고객.</w:t>
      </w:r>
    </w:p>
    <w:bookmarkEnd w:id="64"/>
    <w:bookmarkStart w:id="65" w:name="발전-경로-poc-파일럿-내부-적용-고객-서비스화"/>
    <w:p>
      <w:pPr>
        <w:pStyle w:val="Heading3"/>
      </w:pPr>
      <w:r>
        <w:t xml:space="preserve">7.3 발전 경로 (PoC → 파일럿 → 내부 적용 → 고객 서비스화)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PoC(현재)</w:t>
      </w:r>
      <w:r>
        <w:t xml:space="preserve">: 정적 MVP로 운영 루프·거버넌스 검증.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파일럿</w:t>
      </w:r>
      <w:r>
        <w:t xml:space="preserve">: 1개 영업본부 RM 대상, 공공 데이터 API + 온프레 모델 연동.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내부 적용</w:t>
      </w:r>
      <w:r>
        <w:t xml:space="preserve">: 사후관리·심사 보조 도구로 내재화(네이버클라우드 MOU 방향과 정합).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고객 서비스화</w:t>
      </w:r>
      <w:r>
        <w:t xml:space="preserve">: 승인된 안내·전세 위험 경고를 고객 채널로 확장.</w:t>
      </w:r>
    </w:p>
    <w:bookmarkEnd w:id="65"/>
    <w:bookmarkStart w:id="66" w:name="운영-리스크-대응-개인정보보안저작권환각설명가능성책임소재"/>
    <w:p>
      <w:pPr>
        <w:pStyle w:val="Heading3"/>
      </w:pPr>
      <w:r>
        <w:t xml:space="preserve">7.4 운영 리스크 대응 (개인정보·보안·저작권·환각·설명가능성·책임소재)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개인정보·보안</w:t>
      </w:r>
      <w:r>
        <w:t xml:space="preserve">: PII 비반출 거버넌스(신용정보법 §40-2·PIPA §28-4/§28-5), 망분리 정합.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저작권/출처</w:t>
      </w:r>
      <w:r>
        <w:t xml:space="preserve">: 외부 데이터는 라이선스·출처 명시, 인용 추적.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환각</w:t>
      </w:r>
      <w:r>
        <w:t xml:space="preserve">: 에이전트는 결론만 내리지 않고</w:t>
      </w:r>
      <w:r>
        <w:t xml:space="preserve"> </w:t>
      </w:r>
      <w:r>
        <w:rPr>
          <w:b/>
          <w:bCs/>
        </w:rPr>
        <w:t xml:space="preserve">근거·불확실성·다음 확인 항목</w:t>
      </w:r>
      <w:r>
        <w:t xml:space="preserve">을 남기며, 근거 없으면 추정 금지·사람 검토로 전환.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설명가능성</w:t>
      </w:r>
      <w:r>
        <w:t xml:space="preserve">: 모든 판단이 점수 분해·출처 칩·승인 라우팅으로</w:t>
      </w:r>
      <w:r>
        <w:t xml:space="preserve"> </w:t>
      </w:r>
      <w:r>
        <w:t xml:space="preserve">“왜 이 결론인가”</w:t>
      </w:r>
      <w:r>
        <w:t xml:space="preserve">를 제시.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책임소재</w:t>
      </w:r>
      <w:r>
        <w:t xml:space="preserve">: 승인 게이트 + 무결성 감사 원장으로 누가 승인/반려했는지 추적.</w:t>
      </w:r>
    </w:p>
    <w:p>
      <w:pPr>
        <w:pStyle w:val="BlockText"/>
      </w:pPr>
      <w:r>
        <w:t xml:space="preserve">대응: 2.3, 2.5, 5.2, 5.3, 5.4, 5.5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부록-a-심사-세부항목-25개-커버리지-맵"/>
    <w:p>
      <w:pPr>
        <w:pStyle w:val="Heading2"/>
      </w:pPr>
      <w:r>
        <w:t xml:space="preserve">부록 A — 심사 세부항목 25개 커버리지 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주제 부합</w:t>
            </w:r>
          </w:p>
        </w:tc>
        <w:tc>
          <w:tcPr/>
          <w:p>
            <w:pPr>
              <w:pStyle w:val="Compact"/>
            </w:pPr>
            <w:r>
              <w:t xml:space="preserve">§1, §2.3</w:t>
            </w:r>
          </w:p>
        </w:tc>
        <w:tc>
          <w:tcPr/>
          <w:p>
            <w:pPr>
              <w:pStyle w:val="Compact"/>
            </w:pPr>
            <w:r>
              <w:t xml:space="preserve">3.5 외부데이터/API/라이선스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대상·상황</w:t>
            </w:r>
          </w:p>
        </w:tc>
        <w:tc>
          <w:tcPr/>
          <w:p>
            <w:pPr>
              <w:pStyle w:val="Compact"/>
            </w:pPr>
            <w:r>
              <w:t xml:space="preserve">§2.1, §6</w:t>
            </w:r>
          </w:p>
        </w:tc>
        <w:tc>
          <w:tcPr/>
          <w:p>
            <w:pPr>
              <w:pStyle w:val="Compact"/>
            </w:pPr>
            <w:r>
              <w:t xml:space="preserve">4.1 문서 일관성</w:t>
            </w:r>
          </w:p>
        </w:tc>
        <w:tc>
          <w:tcPr/>
          <w:p>
            <w:pPr>
              <w:pStyle w:val="Compact"/>
            </w:pPr>
            <w:r>
              <w:t xml:space="preserve">canon·기능명세 동기화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Pain 설득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4.2 동작 MVP</w:t>
            </w:r>
          </w:p>
        </w:tc>
        <w:tc>
          <w:tcPr/>
          <w:p>
            <w:pPr>
              <w:pStyle w:val="Compact"/>
            </w:pPr>
            <w:r>
              <w:t xml:space="preserve">§1, §4,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JB 중요도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  <w:tc>
          <w:tcPr/>
          <w:p>
            <w:pPr>
              <w:pStyle w:val="Compact"/>
            </w:pPr>
            <w:r>
              <w:t xml:space="preserve">4.3 기능명세 구체성</w:t>
            </w:r>
          </w:p>
        </w:tc>
        <w:tc>
          <w:tcPr/>
          <w:p>
            <w:pPr>
              <w:pStyle w:val="Compact"/>
            </w:pPr>
            <w:r>
              <w:t xml:space="preserve">기능명세서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과제 전환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  <w:tc>
          <w:tcPr/>
          <w:p>
            <w:pPr>
              <w:pStyle w:val="Compact"/>
            </w:pPr>
            <w:r>
              <w:t xml:space="preserve">4.4 본선 고도화</w:t>
            </w:r>
          </w:p>
        </w:tc>
        <w:tc>
          <w:tcPr/>
          <w:p>
            <w:pPr>
              <w:pStyle w:val="Compact"/>
            </w:pPr>
            <w:r>
              <w:t xml:space="preserve">§4,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사업 연결성</w:t>
            </w:r>
          </w:p>
        </w:tc>
        <w:tc>
          <w:tcPr/>
          <w:p>
            <w:pPr>
              <w:pStyle w:val="Compact"/>
            </w:pPr>
            <w:r>
              <w:t xml:space="preserve">§1, §2.3</w:t>
            </w:r>
          </w:p>
        </w:tc>
        <w:tc>
          <w:tcPr/>
          <w:p>
            <w:pPr>
              <w:pStyle w:val="Compact"/>
            </w:pPr>
            <w:r>
              <w:t xml:space="preserve">4.5 형식 준수</w:t>
            </w:r>
          </w:p>
        </w:tc>
        <w:tc>
          <w:tcPr/>
          <w:p>
            <w:pPr>
              <w:pStyle w:val="Compact"/>
            </w:pPr>
            <w:r>
              <w:t xml:space="preserve">공식 7섹션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 업무/여정 접점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5.1 차별성</w:t>
            </w:r>
          </w:p>
        </w:tc>
        <w:tc>
          <w:tcPr/>
          <w:p>
            <w:pPr>
              <w:pStyle w:val="Compact"/>
            </w:pPr>
            <w:r>
              <w:t xml:space="preserve">§1, §3.2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 고객가치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  <w:tc>
          <w:tcPr/>
          <w:p>
            <w:pPr>
              <w:pStyle w:val="Compact"/>
            </w:pPr>
            <w:r>
              <w:t xml:space="preserve">5.2 새 경험/전환</w:t>
            </w:r>
          </w:p>
        </w:tc>
        <w:tc>
          <w:tcPr/>
          <w:p>
            <w:pPr>
              <w:pStyle w:val="Compact"/>
            </w:pPr>
            <w:r>
              <w:t xml:space="preserve">§3.4, 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 규제·내부통제</w:t>
            </w:r>
          </w:p>
        </w:tc>
        <w:tc>
          <w:tcPr/>
          <w:p>
            <w:pPr>
              <w:pStyle w:val="Compact"/>
            </w:pPr>
            <w:r>
              <w:t xml:space="preserve">§3.2, §7.4</w:t>
            </w:r>
          </w:p>
        </w:tc>
        <w:tc>
          <w:tcPr/>
          <w:p>
            <w:pPr>
              <w:pStyle w:val="Compact"/>
            </w:pPr>
            <w:r>
              <w:t xml:space="preserve">5.3 확장성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 그룹 AX</w:t>
            </w:r>
          </w:p>
        </w:tc>
        <w:tc>
          <w:tcPr/>
          <w:p>
            <w:pPr>
              <w:pStyle w:val="Compact"/>
            </w:pPr>
            <w:r>
              <w:t xml:space="preserve">§2.3, §7.3</w:t>
            </w:r>
          </w:p>
        </w:tc>
        <w:tc>
          <w:tcPr/>
          <w:p>
            <w:pPr>
              <w:pStyle w:val="Compact"/>
            </w:pPr>
            <w:r>
              <w:t xml:space="preserve">5.4 발전 경로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 판단·행동·검증</w:t>
            </w:r>
          </w:p>
        </w:tc>
        <w:tc>
          <w:tcPr/>
          <w:p>
            <w:pPr>
              <w:pStyle w:val="Compact"/>
            </w:pPr>
            <w:r>
              <w:t xml:space="preserve">§3.1, §4</w:t>
            </w:r>
          </w:p>
        </w:tc>
        <w:tc>
          <w:tcPr/>
          <w:p>
            <w:pPr>
              <w:pStyle w:val="Compact"/>
            </w:pPr>
            <w:r>
              <w:t xml:space="preserve">5.5 리스크 대응</w:t>
            </w:r>
          </w:p>
        </w:tc>
        <w:tc>
          <w:tcPr/>
          <w:p>
            <w:pPr>
              <w:pStyle w:val="Compact"/>
            </w:pPr>
            <w:r>
              <w:t xml:space="preserve">§7.4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 데이터→액션</w:t>
            </w:r>
          </w:p>
        </w:tc>
        <w:tc>
          <w:tcPr/>
          <w:p>
            <w:pPr>
              <w:pStyle w:val="Compact"/>
            </w:pPr>
            <w:r>
              <w:t xml:space="preserve">§4, §5.2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3.3 모델·RAG·Rule·멀티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3.4 구성도·구현가능성</w:t>
            </w:r>
          </w:p>
        </w:tc>
        <w:tc>
          <w:tcPr/>
          <w:p>
            <w:pPr>
              <w:pStyle w:val="Compact"/>
            </w:pPr>
            <w:r>
              <w:t xml:space="preserve">§3.3, §5.2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27" Target="media/rId27.png" /><Relationship Type="http://schemas.openxmlformats.org/officeDocument/2006/relationships/image" Id="rId10" Target="media/rId10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30" Target="../04_&#50500;&#53412;&#53581;&#52376;/README.md" TargetMode="External" /><Relationship Type="http://schemas.openxmlformats.org/officeDocument/2006/relationships/hyperlink" Id="rId55" Target="../05_&#47532;&#49436;&#52824;/data-api-license-inventory.md" TargetMode="External" /><Relationship Type="http://schemas.openxmlformats.org/officeDocument/2006/relationships/hyperlink" Id="rId15" Target="../05_&#47532;&#49436;&#52824;/pain-point-evidence.md" TargetMode="External" /><Relationship Type="http://schemas.openxmlformats.org/officeDocument/2006/relationships/hyperlink" Id="rId16" Target="../06_&#51613;&#48729;/01-&#49900;&#49324;&#51064;&#50857;&#52852;&#46300;.md" TargetMode="External" /><Relationship Type="http://schemas.openxmlformats.org/officeDocument/2006/relationships/hyperlink" Id="rId25" Target="../06_&#51613;&#48729;/legal-citation-verification.md" TargetMode="External" /><Relationship Type="http://schemas.openxmlformats.org/officeDocument/2006/relationships/hyperlink" Id="rId9" Target="../_can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./04_&#50500;&#53412;&#53581;&#52376;/README.md" TargetMode="External" /><Relationship Type="http://schemas.openxmlformats.org/officeDocument/2006/relationships/hyperlink" Id="rId55" Target="../05_&#47532;&#49436;&#52824;/data-api-license-inventory.md" TargetMode="External" /><Relationship Type="http://schemas.openxmlformats.org/officeDocument/2006/relationships/hyperlink" Id="rId15" Target="../05_&#47532;&#49436;&#52824;/pain-point-evidence.md" TargetMode="External" /><Relationship Type="http://schemas.openxmlformats.org/officeDocument/2006/relationships/hyperlink" Id="rId16" Target="../06_&#51613;&#48729;/01-&#49900;&#49324;&#51064;&#50857;&#52852;&#46300;.md" TargetMode="External" /><Relationship Type="http://schemas.openxmlformats.org/officeDocument/2006/relationships/hyperlink" Id="rId25" Target="../06_&#51613;&#48729;/legal-citation-verification.md" TargetMode="External" /><Relationship Type="http://schemas.openxmlformats.org/officeDocument/2006/relationships/hyperlink" Id="rId9" Target="../_can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2026-06-14T15:37:49Z</dcterms:created>
  <dcterms:modified xsi:type="dcterms:W3CDTF">2026-06-14T15:37:49Z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