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F3A" w:rsidRPr="007F7F3A" w:rsidRDefault="007F7F3A">
      <w:pPr>
        <w:rPr>
          <w:rFonts w:asciiTheme="majorHAnsi" w:hAnsiTheme="majorHAnsi"/>
          <w:u w:val="single"/>
        </w:rPr>
      </w:pPr>
      <w:r w:rsidRPr="007F7F3A">
        <w:rPr>
          <w:rFonts w:asciiTheme="majorHAnsi" w:hAnsiTheme="majorHAnsi"/>
          <w:u w:val="single"/>
        </w:rPr>
        <w:t>Week 08: Exercise</w:t>
      </w:r>
    </w:p>
    <w:p w:rsidR="00D3405C" w:rsidRPr="007F7F3A" w:rsidRDefault="007F7F3A" w:rsidP="007F7F3A">
      <w:pPr>
        <w:jc w:val="both"/>
        <w:rPr>
          <w:rFonts w:asciiTheme="majorHAnsi" w:hAnsiTheme="majorHAnsi"/>
          <w:sz w:val="20"/>
          <w:szCs w:val="20"/>
        </w:rPr>
      </w:pPr>
      <w:r w:rsidRPr="007F7F3A">
        <w:rPr>
          <w:rFonts w:asciiTheme="majorHAnsi" w:hAnsiTheme="majorHAnsi"/>
          <w:sz w:val="20"/>
          <w:szCs w:val="20"/>
        </w:rPr>
        <w:t>With swing pricin</w:t>
      </w:r>
      <w:r>
        <w:rPr>
          <w:rFonts w:asciiTheme="majorHAnsi" w:hAnsiTheme="majorHAnsi"/>
          <w:sz w:val="20"/>
          <w:szCs w:val="20"/>
        </w:rPr>
        <w:t>g, a single price is issued, which</w:t>
      </w:r>
      <w:r w:rsidRPr="007F7F3A">
        <w:rPr>
          <w:rFonts w:asciiTheme="majorHAnsi" w:hAnsiTheme="majorHAnsi"/>
          <w:sz w:val="20"/>
          <w:szCs w:val="20"/>
        </w:rPr>
        <w:t xml:space="preserve"> all clients </w:t>
      </w:r>
      <w:r>
        <w:rPr>
          <w:rFonts w:asciiTheme="majorHAnsi" w:hAnsiTheme="majorHAnsi"/>
          <w:sz w:val="20"/>
          <w:szCs w:val="20"/>
        </w:rPr>
        <w:t xml:space="preserve">will </w:t>
      </w:r>
      <w:r w:rsidRPr="007F7F3A">
        <w:rPr>
          <w:rFonts w:asciiTheme="majorHAnsi" w:hAnsiTheme="majorHAnsi"/>
          <w:sz w:val="20"/>
          <w:szCs w:val="20"/>
        </w:rPr>
        <w:t>buy and sell at this</w:t>
      </w:r>
      <w:r>
        <w:rPr>
          <w:rFonts w:asciiTheme="majorHAnsi" w:hAnsiTheme="majorHAnsi"/>
          <w:sz w:val="20"/>
          <w:szCs w:val="20"/>
        </w:rPr>
        <w:t xml:space="preserve"> particular</w:t>
      </w:r>
      <w:r w:rsidRPr="007F7F3A">
        <w:rPr>
          <w:rFonts w:asciiTheme="majorHAnsi" w:hAnsiTheme="majorHAnsi"/>
          <w:sz w:val="20"/>
          <w:szCs w:val="20"/>
        </w:rPr>
        <w:t xml:space="preserve"> price. To calculate the dealing price, the administrator calculates the net asset value (NAV) for the fund before consideration of payments and redemptions and then adjusts (“swings”) the NAV by a pre-determi</w:t>
      </w:r>
      <w:r>
        <w:rPr>
          <w:rFonts w:asciiTheme="majorHAnsi" w:hAnsiTheme="majorHAnsi"/>
          <w:sz w:val="20"/>
          <w:szCs w:val="20"/>
        </w:rPr>
        <w:t>ned amount. The direction of this</w:t>
      </w:r>
      <w:r w:rsidRPr="007F7F3A">
        <w:rPr>
          <w:rFonts w:asciiTheme="majorHAnsi" w:hAnsiTheme="majorHAnsi"/>
          <w:sz w:val="20"/>
          <w:szCs w:val="20"/>
        </w:rPr>
        <w:t xml:space="preserve"> swing depends on whether the fund is undergoing net inflows or net outflows on the dealing day, while the scale of the swing is based on pre-determined approximations of the average trading costs of the basic investment. Whether or not a swing is applied to the single price will depend on whether net subscriptions or net redemptions on a particular day exceed the threshold (if any) stated in the Prospectus.</w:t>
      </w:r>
      <w:bookmarkStart w:id="0" w:name="_GoBack"/>
      <w:bookmarkEnd w:id="0"/>
    </w:p>
    <w:sectPr w:rsidR="00D3405C" w:rsidRPr="007F7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F3A"/>
    <w:rsid w:val="002B6872"/>
    <w:rsid w:val="00796FBE"/>
    <w:rsid w:val="007F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LSBU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ICT- SLSU</dc:creator>
  <cp:lastModifiedBy>ICT- SLSU</cp:lastModifiedBy>
  <cp:revision>1</cp:revision>
  <dcterms:created xsi:type="dcterms:W3CDTF">2013-12-12T15:27:00Z</dcterms:created>
  <dcterms:modified xsi:type="dcterms:W3CDTF">2013-12-12T15:35:00Z</dcterms:modified>
</cp:coreProperties>
</file>