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5B51A">
      <w:pPr>
        <w:pStyle w:val="31"/>
        <w:jc w:val="center"/>
      </w:pPr>
      <w:r>
        <w:rPr>
          <w:rFonts w:ascii="微软雅黑" w:hAnsi="微软雅黑" w:eastAsia="微软雅黑"/>
        </w:rPr>
        <w:t>服装设计文本评估体系</w:t>
      </w:r>
    </w:p>
    <w:p w14:paraId="5981DAD2">
      <w:r>
        <w:rPr>
          <w:rFonts w:ascii="微软雅黑" w:hAnsi="微软雅黑" w:eastAsia="微软雅黑"/>
          <w:b w:val="0"/>
          <w:sz w:val="21"/>
        </w:rPr>
        <w:t>本文档由惩罚分、覆盖轴、质量轴、S_fp 长度去相关四部分组成。</w:t>
      </w:r>
    </w:p>
    <w:p w14:paraId="0FDF12F4">
      <w:r>
        <w:br w:type="page"/>
      </w:r>
    </w:p>
    <w:p w14:paraId="2520F6C3">
      <w:pPr>
        <w:pStyle w:val="3"/>
      </w:pPr>
      <w:r>
        <w:rPr>
          <w:rFonts w:ascii="微软雅黑" w:hAnsi="微软雅黑" w:eastAsia="微软雅黑"/>
        </w:rPr>
        <w:t>一、惩罚分</w:t>
      </w:r>
    </w:p>
    <w:p w14:paraId="754AAFA8">
      <w:r>
        <w:rPr>
          <w:rFonts w:ascii="微软雅黑" w:hAnsi="微软雅黑" w:eastAsia="微软雅黑"/>
          <w:b w:val="0"/>
          <w:sz w:val="21"/>
        </w:rPr>
        <w:t>作用：暂不直接从总分扣分，仅作惩罚门限判定。</w:t>
      </w:r>
    </w:p>
    <w:p w14:paraId="1257A138">
      <w:pPr>
        <w:pStyle w:val="16"/>
      </w:pPr>
      <w:r>
        <w:rPr>
          <w:rFonts w:ascii="微软雅黑" w:hAnsi="微软雅黑" w:eastAsia="微软雅黑"/>
          <w:sz w:val="21"/>
        </w:rPr>
        <w:t>每项 0~1 分五档（0 最好，1 最差），仅取 0 / 0.25 / 0.5 / 0.75 / 1.0</w:t>
      </w:r>
    </w:p>
    <w:p w14:paraId="0B771136">
      <w:pPr>
        <w:pStyle w:val="16"/>
      </w:pPr>
      <w:r>
        <w:rPr>
          <w:rFonts w:ascii="微软雅黑" w:hAnsi="微软雅黑" w:eastAsia="微软雅黑"/>
          <w:sz w:val="21"/>
        </w:rPr>
        <w:t>综合惩罚分 P̄ = 五项算术平均</w:t>
      </w:r>
    </w:p>
    <w:p w14:paraId="5A712B30">
      <w:pPr>
        <w:pStyle w:val="16"/>
      </w:pPr>
      <w:r>
        <w:rPr>
          <w:rFonts w:ascii="微软雅黑" w:hAnsi="微软雅黑" w:eastAsia="微软雅黑"/>
          <w:sz w:val="21"/>
        </w:rPr>
        <w:t>通过条件：P̄ ≤ 0.5</w:t>
      </w:r>
    </w:p>
    <w:p w14:paraId="3F93D863">
      <w:pPr>
        <w:pStyle w:val="4"/>
      </w:pPr>
      <w:r>
        <w:rPr>
          <w:rFonts w:ascii="微软雅黑" w:hAnsi="微软雅黑" w:eastAsia="微软雅黑"/>
        </w:rPr>
        <w:t>惩罚项概览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2189D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6D2065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惩罚项</w:t>
            </w:r>
          </w:p>
        </w:tc>
        <w:tc>
          <w:tcPr>
            <w:tcW w:w="7087" w:type="dxa"/>
          </w:tcPr>
          <w:p w14:paraId="2042D1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核心判定</w:t>
            </w:r>
          </w:p>
        </w:tc>
      </w:tr>
      <w:tr w14:paraId="6F667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272BA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非生成导向内容</w:t>
            </w:r>
          </w:p>
        </w:tc>
        <w:tc>
          <w:tcPr>
            <w:tcW w:w="7087" w:type="dxa"/>
          </w:tcPr>
          <w:p w14:paraId="3B4EAF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冗余重复、氛围评论、分析解说、风格符号堆砌</w:t>
            </w:r>
          </w:p>
        </w:tc>
      </w:tr>
      <w:tr w14:paraId="1CE03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BF5CB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一致性</w:t>
            </w:r>
          </w:p>
        </w:tc>
        <w:tc>
          <w:tcPr>
            <w:tcW w:w="7087" w:type="dxa"/>
          </w:tcPr>
          <w:p w14:paraId="28A8FF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主干（衣裤鞋/里衬）左右或同件互斥</w:t>
            </w:r>
          </w:p>
        </w:tc>
      </w:tr>
      <w:tr w14:paraId="451D0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6D11C3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协调性</w:t>
            </w:r>
          </w:p>
        </w:tc>
        <w:tc>
          <w:tcPr>
            <w:tcW w:w="7087" w:type="dxa"/>
          </w:tcPr>
          <w:p w14:paraId="05AA39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主干间造型气质/场域冲突</w:t>
            </w:r>
          </w:p>
        </w:tc>
      </w:tr>
      <w:tr w14:paraId="5ED19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45A300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合理性</w:t>
            </w:r>
          </w:p>
        </w:tc>
        <w:tc>
          <w:tcPr>
            <w:tcW w:w="7087" w:type="dxa"/>
          </w:tcPr>
          <w:p w14:paraId="77649E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违反物理/穿着常识（材质、腿带绑具等）</w:t>
            </w:r>
          </w:p>
        </w:tc>
      </w:tr>
      <w:tr w14:paraId="7D128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62A17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公式模板</w:t>
            </w:r>
          </w:p>
        </w:tc>
        <w:tc>
          <w:tcPr>
            <w:tcW w:w="7087" w:type="dxa"/>
          </w:tcPr>
          <w:p w14:paraId="321E44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巡航度假公式、品牌符号堆叠、可互换造型</w:t>
            </w:r>
          </w:p>
        </w:tc>
      </w:tr>
    </w:tbl>
    <w:p w14:paraId="379B7EC4"/>
    <w:p w14:paraId="28E54FD2">
      <w:pPr>
        <w:pStyle w:val="4"/>
      </w:pPr>
      <w:r>
        <w:rPr>
          <w:rFonts w:ascii="微软雅黑" w:hAnsi="微软雅黑" w:eastAsia="微软雅黑"/>
        </w:rPr>
        <w:t>非生成导向内容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37"/>
      </w:tblGrid>
      <w:tr w14:paraId="0F2B5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68EFF9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分数</w:t>
            </w:r>
          </w:p>
        </w:tc>
        <w:tc>
          <w:tcPr>
            <w:tcW w:w="7937" w:type="dxa"/>
          </w:tcPr>
          <w:p w14:paraId="4CD0DC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标准</w:t>
            </w:r>
          </w:p>
        </w:tc>
      </w:tr>
      <w:tr w14:paraId="7763D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9DC23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7937" w:type="dxa"/>
          </w:tcPr>
          <w:p w14:paraId="41E9F7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无显著冗余或评论句；生成导向清晰</w:t>
            </w:r>
          </w:p>
        </w:tc>
      </w:tr>
      <w:tr w14:paraId="18D0C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786930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0.25</w:t>
            </w:r>
          </w:p>
        </w:tc>
        <w:tc>
          <w:tcPr>
            <w:tcW w:w="7937" w:type="dxa"/>
          </w:tcPr>
          <w:p w14:paraId="45389D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少量重复或 1–2 处轻量概念/评论表述</w:t>
            </w:r>
          </w:p>
        </w:tc>
      </w:tr>
      <w:tr w14:paraId="292B3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11B424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w="7937" w:type="dxa"/>
          </w:tcPr>
          <w:p w14:paraId="40DABA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多处重复或 runway 评论；或 ≥3 处氛围/姿态/沙龙/漫步/仿佛/暗示类句</w:t>
            </w:r>
          </w:p>
        </w:tc>
      </w:tr>
      <w:tr w14:paraId="107DB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7EFA2E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0.75</w:t>
            </w:r>
          </w:p>
        </w:tc>
        <w:tc>
          <w:tcPr>
            <w:tcW w:w="7937" w:type="dxa"/>
          </w:tcPr>
          <w:p w14:paraId="7D0EA1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叠加可互换度假公式、品牌符号堆叠，或冗长重复铺垫</w:t>
            </w:r>
          </w:p>
        </w:tc>
      </w:tr>
      <w:tr w14:paraId="2CE64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481AE4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  <w:tc>
          <w:tcPr>
            <w:tcW w:w="7937" w:type="dxa"/>
          </w:tcPr>
          <w:p w14:paraId="06475B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大量互异风格符号堆叠，未先交代主干，难以还原可见造型</w:t>
            </w:r>
          </w:p>
        </w:tc>
      </w:tr>
    </w:tbl>
    <w:p w14:paraId="5857AF71"/>
    <w:p w14:paraId="343643B7">
      <w:pPr>
        <w:pStyle w:val="4"/>
      </w:pPr>
      <w:r>
        <w:rPr>
          <w:rFonts w:ascii="微软雅黑" w:hAnsi="微软雅黑" w:eastAsia="微软雅黑"/>
        </w:rPr>
        <w:t>一致性</w:t>
      </w:r>
    </w:p>
    <w:p w14:paraId="2DC47702">
      <w:r>
        <w:rPr>
          <w:rFonts w:ascii="微软雅黑" w:hAnsi="微软雅黑" w:eastAsia="微软雅黑"/>
          <w:b w:val="0"/>
          <w:sz w:val="21"/>
        </w:rPr>
        <w:t>主干：全部衣裤鞋及明确写出的里衬/内衬。仅配饰轻度左右差异且主干统一 → 从宽不加罚。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37"/>
      </w:tblGrid>
      <w:tr w14:paraId="0E24F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17F880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分数</w:t>
            </w:r>
          </w:p>
        </w:tc>
        <w:tc>
          <w:tcPr>
            <w:tcW w:w="7937" w:type="dxa"/>
          </w:tcPr>
          <w:p w14:paraId="0298C5E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标准</w:t>
            </w:r>
          </w:p>
        </w:tc>
      </w:tr>
      <w:tr w14:paraId="7D3A5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78B455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7937" w:type="dxa"/>
          </w:tcPr>
          <w:p w14:paraId="70E58C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所有主干结构/身份统一，无互斥</w:t>
            </w:r>
          </w:p>
        </w:tc>
      </w:tr>
      <w:tr w14:paraId="70162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5CAE46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0.25</w:t>
            </w:r>
          </w:p>
        </w:tc>
        <w:tc>
          <w:tcPr>
            <w:tcW w:w="7937" w:type="dxa"/>
          </w:tcPr>
          <w:p w14:paraId="7E4613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已收束为单一主干语法，或仅一笔轻描不对称</w:t>
            </w:r>
          </w:p>
        </w:tc>
      </w:tr>
      <w:tr w14:paraId="2FB37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DE3E0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w="7937" w:type="dxa"/>
          </w:tcPr>
          <w:p w14:paraId="593932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任一件主干左右割裂；或 ≥2 类主干层级同时左右互斥</w:t>
            </w:r>
          </w:p>
        </w:tc>
      </w:tr>
      <w:tr w14:paraId="21774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5E625F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0.75</w:t>
            </w:r>
          </w:p>
        </w:tc>
        <w:tc>
          <w:tcPr>
            <w:tcW w:w="7937" w:type="dxa"/>
          </w:tcPr>
          <w:p w14:paraId="12A4F6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多区主干对撞；单件「半件正装半件另一语汇」；壳与里衬互斥</w:t>
            </w:r>
          </w:p>
        </w:tc>
      </w:tr>
      <w:tr w14:paraId="7675B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5B5822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  <w:tc>
          <w:tcPr>
            <w:tcW w:w="7937" w:type="dxa"/>
          </w:tcPr>
          <w:p w14:paraId="2D1FA0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多条互斥主体身份并列，仅以「解构」一句带过</w:t>
            </w:r>
          </w:p>
        </w:tc>
      </w:tr>
    </w:tbl>
    <w:p w14:paraId="0DBDA4F9"/>
    <w:p w14:paraId="6A8D7255">
      <w:pPr>
        <w:pStyle w:val="4"/>
      </w:pPr>
      <w:r>
        <w:rPr>
          <w:rFonts w:ascii="微软雅黑" w:hAnsi="微软雅黑" w:eastAsia="微软雅黑"/>
        </w:rPr>
        <w:t>协调性</w:t>
      </w:r>
    </w:p>
    <w:p w14:paraId="66841128">
      <w:r>
        <w:rPr>
          <w:rFonts w:ascii="微软雅黑" w:hAnsi="微软雅黑" w:eastAsia="微软雅黑"/>
          <w:b w:val="0"/>
          <w:sz w:val="21"/>
        </w:rPr>
        <w:t>违和仅来自小配饰且轻微、主干已统一 → 从宽不加罚。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37"/>
      </w:tblGrid>
      <w:tr w14:paraId="23AC7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6F4161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分数</w:t>
            </w:r>
          </w:p>
        </w:tc>
        <w:tc>
          <w:tcPr>
            <w:tcW w:w="7937" w:type="dxa"/>
          </w:tcPr>
          <w:p w14:paraId="211A52E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标准</w:t>
            </w:r>
          </w:p>
        </w:tc>
      </w:tr>
      <w:tr w14:paraId="1EF56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0438E1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7937" w:type="dxa"/>
          </w:tcPr>
          <w:p w14:paraId="5D395F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外套、内搭、裤、鞋及里衬场域统一，层次衔接可读</w:t>
            </w:r>
          </w:p>
        </w:tc>
      </w:tr>
      <w:tr w14:paraId="39FDA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44DDAF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0.25</w:t>
            </w:r>
          </w:p>
        </w:tc>
        <w:tc>
          <w:tcPr>
            <w:tcW w:w="7937" w:type="dxa"/>
          </w:tcPr>
          <w:p w14:paraId="51528A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整体协调，仅配饰或局部轻微气质差异</w:t>
            </w:r>
          </w:p>
        </w:tc>
      </w:tr>
      <w:tr w14:paraId="7EC9E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01ABC5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w="7937" w:type="dxa"/>
          </w:tcPr>
          <w:p w14:paraId="416FD4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同件上装左右互斥场域；内外层语气打架；鞋与套装严重冲突；腿带绑具违和</w:t>
            </w:r>
          </w:p>
        </w:tc>
      </w:tr>
      <w:tr w14:paraId="64131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5BCE27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0.75</w:t>
            </w:r>
          </w:p>
        </w:tc>
        <w:tc>
          <w:tcPr>
            <w:tcW w:w="7937" w:type="dxa"/>
          </w:tcPr>
          <w:p w14:paraId="60F320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多区主干场域对撞；同件主干上哑光与高光金属护臂等对撞且无收束</w:t>
            </w:r>
          </w:p>
        </w:tc>
      </w:tr>
      <w:tr w14:paraId="7A961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528C7D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  <w:tc>
          <w:tcPr>
            <w:tcW w:w="7937" w:type="dxa"/>
          </w:tcPr>
          <w:p w14:paraId="59B3F6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整体造型场域完全脱节，无法收束为单一 look</w:t>
            </w:r>
          </w:p>
        </w:tc>
      </w:tr>
    </w:tbl>
    <w:p w14:paraId="7B6A2A03"/>
    <w:p w14:paraId="377456DA">
      <w:pPr>
        <w:pStyle w:val="4"/>
      </w:pPr>
      <w:r>
        <w:rPr>
          <w:rFonts w:ascii="微软雅黑" w:hAnsi="微软雅黑" w:eastAsia="微软雅黑"/>
        </w:rPr>
        <w:t>合理性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37"/>
      </w:tblGrid>
      <w:tr w14:paraId="71CE8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2AD1EA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分数</w:t>
            </w:r>
          </w:p>
        </w:tc>
        <w:tc>
          <w:tcPr>
            <w:tcW w:w="7937" w:type="dxa"/>
          </w:tcPr>
          <w:p w14:paraId="6699627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标准</w:t>
            </w:r>
          </w:p>
        </w:tc>
      </w:tr>
      <w:tr w14:paraId="0CB51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75ED01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7937" w:type="dxa"/>
          </w:tcPr>
          <w:p w14:paraId="76CB70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材质、结构、穿着关系符合现实常识</w:t>
            </w:r>
          </w:p>
        </w:tc>
      </w:tr>
      <w:tr w14:paraId="0A0F6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18854B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0.25</w:t>
            </w:r>
          </w:p>
        </w:tc>
        <w:tc>
          <w:tcPr>
            <w:tcW w:w="7937" w:type="dxa"/>
          </w:tcPr>
          <w:p w14:paraId="34C20C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极轻微不合理，文本中有可解释空间</w:t>
            </w:r>
          </w:p>
        </w:tc>
      </w:tr>
      <w:tr w14:paraId="100FE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6CBF49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w="7937" w:type="dxa"/>
          </w:tcPr>
          <w:p w14:paraId="003B33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部分设定勉强成立；腿带/吊带与裤管关系交代不清</w:t>
            </w:r>
          </w:p>
        </w:tc>
      </w:tr>
      <w:tr w14:paraId="1FE29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DA4E2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0.75</w:t>
            </w:r>
          </w:p>
        </w:tc>
        <w:tc>
          <w:tcPr>
            <w:tcW w:w="7937" w:type="dxa"/>
          </w:tcPr>
          <w:p w14:paraId="529F04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明显违反现实材质或物理条件；腿带+harness 与裤型难以同时成立</w:t>
            </w:r>
          </w:p>
        </w:tc>
      </w:tr>
      <w:tr w14:paraId="24641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AD708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  <w:tc>
          <w:tcPr>
            <w:tcW w:w="7937" w:type="dxa"/>
          </w:tcPr>
          <w:p w14:paraId="40CA25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严重违背穿着常识，装束关系无法成立</w:t>
            </w:r>
          </w:p>
        </w:tc>
      </w:tr>
    </w:tbl>
    <w:p w14:paraId="5A0FA82D"/>
    <w:p w14:paraId="2712B58E">
      <w:pPr>
        <w:pStyle w:val="4"/>
      </w:pPr>
      <w:r>
        <w:rPr>
          <w:rFonts w:ascii="微软雅黑" w:hAnsi="微软雅黑" w:eastAsia="微软雅黑"/>
        </w:rPr>
        <w:t>公式模板</w:t>
      </w:r>
    </w:p>
    <w:p w14:paraId="7056A89B">
      <w:r>
        <w:rPr>
          <w:rFonts w:ascii="微软雅黑" w:hAnsi="微软雅黑" w:eastAsia="微软雅黑"/>
          <w:b w:val="0"/>
          <w:sz w:val="21"/>
        </w:rPr>
        <w:t>总领性判断：看整体是否像可互换公式稿，不看段落格式。典型示例：短夹克+条纹衬衫+修身短裤/长裤+腰带+平底鞋。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37"/>
      </w:tblGrid>
      <w:tr w14:paraId="365AE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70645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分数</w:t>
            </w:r>
          </w:p>
        </w:tc>
        <w:tc>
          <w:tcPr>
            <w:tcW w:w="7937" w:type="dxa"/>
          </w:tcPr>
          <w:p w14:paraId="7634E8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标准</w:t>
            </w:r>
          </w:p>
        </w:tc>
      </w:tr>
      <w:tr w14:paraId="3B15B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138D9B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0~0.25</w:t>
            </w:r>
          </w:p>
        </w:tc>
        <w:tc>
          <w:tcPr>
            <w:tcW w:w="7937" w:type="dxa"/>
          </w:tcPr>
          <w:p w14:paraId="57D861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紧凑、基于可见观察，无公式特征</w:t>
            </w:r>
          </w:p>
        </w:tc>
      </w:tr>
      <w:tr w14:paraId="3CEB7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77FABC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0.25~0.5</w:t>
            </w:r>
          </w:p>
        </w:tc>
        <w:tc>
          <w:tcPr>
            <w:tcW w:w="7937" w:type="dxa"/>
          </w:tcPr>
          <w:p w14:paraId="392479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明显命中 1 项：① 巡航度假公式 ② 品牌符号无工艺点 ③ 氛围句稀释设计 ④ 换材质词可套用</w:t>
            </w:r>
          </w:p>
        </w:tc>
      </w:tr>
      <w:tr w14:paraId="74FAE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24A239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0.5~0.75</w:t>
            </w:r>
          </w:p>
        </w:tc>
        <w:tc>
          <w:tcPr>
            <w:tcW w:w="7937" w:type="dxa"/>
          </w:tcPr>
          <w:p w14:paraId="294FB2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明显命中 2 项</w:t>
            </w:r>
          </w:p>
        </w:tc>
      </w:tr>
      <w:tr w14:paraId="09929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0FB71D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0.75~1.0</w:t>
            </w:r>
          </w:p>
        </w:tc>
        <w:tc>
          <w:tcPr>
            <w:tcW w:w="7937" w:type="dxa"/>
          </w:tcPr>
          <w:p w14:paraId="15C4E4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命中 3 项及以上，或全面公式化</w:t>
            </w:r>
          </w:p>
        </w:tc>
      </w:tr>
    </w:tbl>
    <w:p w14:paraId="18585F83"/>
    <w:p w14:paraId="3E0A0993">
      <w:r>
        <w:br w:type="page"/>
      </w:r>
    </w:p>
    <w:p w14:paraId="351A6C6D">
      <w:pPr>
        <w:pStyle w:val="3"/>
      </w:pPr>
      <w:r>
        <w:rPr>
          <w:rFonts w:ascii="微软雅黑" w:hAnsi="微软雅黑" w:eastAsia="微软雅黑"/>
        </w:rPr>
        <w:t>二、覆盖轴</w:t>
      </w:r>
    </w:p>
    <w:p w14:paraId="223392D5">
      <w:pPr>
        <w:pStyle w:val="16"/>
      </w:pPr>
      <w:r>
        <w:rPr>
          <w:rFonts w:ascii="微软雅黑" w:hAnsi="微软雅黑" w:eastAsia="微软雅黑"/>
          <w:sz w:val="21"/>
        </w:rPr>
        <w:t>轴权重：0.2；问题：有没有</w:t>
      </w:r>
    </w:p>
    <w:p w14:paraId="5FB786BB">
      <w:pPr>
        <w:pStyle w:val="16"/>
      </w:pPr>
      <w:r>
        <w:rPr>
          <w:rFonts w:ascii="微软雅黑" w:hAnsi="微软雅黑" w:eastAsia="微软雅黑"/>
          <w:sz w:val="21"/>
        </w:rPr>
        <w:t>每项命中 1 分、未命中 0 分，只对「适用」指标取平均</w:t>
      </w:r>
    </w:p>
    <w:p w14:paraId="1E8B977C">
      <w:pPr>
        <w:pStyle w:val="16"/>
      </w:pPr>
      <w:r>
        <w:rPr>
          <w:rFonts w:ascii="微软雅黑" w:hAnsi="微软雅黑" w:eastAsia="微软雅黑"/>
          <w:sz w:val="21"/>
        </w:rPr>
        <w:t>不适用指标跳过，不计入模块平均</w:t>
      </w:r>
    </w:p>
    <w:p w14:paraId="594DECD1">
      <w:pPr>
        <w:pStyle w:val="4"/>
      </w:pPr>
      <w:r>
        <w:rPr>
          <w:rFonts w:ascii="微软雅黑" w:hAnsi="微软雅黑" w:eastAsia="微软雅黑"/>
        </w:rPr>
        <w:t>服装主体（5 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84"/>
        <w:gridCol w:w="5386"/>
      </w:tblGrid>
      <w:tr w14:paraId="25D78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00605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w="1984" w:type="dxa"/>
          </w:tcPr>
          <w:p w14:paraId="60EFB5E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  <w:tc>
          <w:tcPr>
            <w:tcW w:w="5386" w:type="dxa"/>
          </w:tcPr>
          <w:p w14:paraId="4E668C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命中标准</w:t>
            </w:r>
          </w:p>
        </w:tc>
      </w:tr>
      <w:tr w14:paraId="247BC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033A3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服装品类</w:t>
            </w:r>
          </w:p>
        </w:tc>
        <w:tc>
          <w:tcPr>
            <w:tcW w:w="1984" w:type="dxa"/>
          </w:tcPr>
          <w:p w14:paraId="6E1CEF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始终</w:t>
            </w:r>
          </w:p>
        </w:tc>
        <w:tc>
          <w:tcPr>
            <w:tcW w:w="5386" w:type="dxa"/>
          </w:tcPr>
          <w:p w14:paraId="4455DD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明确给出主体品类</w:t>
            </w:r>
          </w:p>
        </w:tc>
      </w:tr>
      <w:tr w14:paraId="2224C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2463E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廓形</w:t>
            </w:r>
          </w:p>
        </w:tc>
        <w:tc>
          <w:tcPr>
            <w:tcW w:w="1984" w:type="dxa"/>
          </w:tcPr>
          <w:p w14:paraId="42D696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廓形显著</w:t>
            </w:r>
          </w:p>
        </w:tc>
        <w:tc>
          <w:tcPr>
            <w:tcW w:w="5386" w:type="dxa"/>
          </w:tcPr>
          <w:p w14:paraId="0DCD98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给出整体轮廓或结构趋势</w:t>
            </w:r>
          </w:p>
        </w:tc>
      </w:tr>
      <w:tr w14:paraId="60679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24D1A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长度/下摆</w:t>
            </w:r>
          </w:p>
        </w:tc>
        <w:tc>
          <w:tcPr>
            <w:tcW w:w="1984" w:type="dxa"/>
          </w:tcPr>
          <w:p w14:paraId="6AABD2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长度显著</w:t>
            </w:r>
          </w:p>
        </w:tc>
        <w:tc>
          <w:tcPr>
            <w:tcW w:w="5386" w:type="dxa"/>
          </w:tcPr>
          <w:p w14:paraId="32A6B6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给出长度或下摆信息</w:t>
            </w:r>
          </w:p>
        </w:tc>
      </w:tr>
      <w:tr w14:paraId="47FA9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5A698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肩部结构</w:t>
            </w:r>
          </w:p>
        </w:tc>
        <w:tc>
          <w:tcPr>
            <w:tcW w:w="1984" w:type="dxa"/>
          </w:tcPr>
          <w:p w14:paraId="518B35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肩线显著</w:t>
            </w:r>
          </w:p>
        </w:tc>
        <w:tc>
          <w:tcPr>
            <w:tcW w:w="5386" w:type="dxa"/>
          </w:tcPr>
          <w:p w14:paraId="566DEC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点明肩部结构语言，不能仅写「上装」或笼统廓形</w:t>
            </w:r>
          </w:p>
        </w:tc>
      </w:tr>
      <w:tr w14:paraId="62961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35D25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裸露/包裹</w:t>
            </w:r>
          </w:p>
        </w:tc>
        <w:tc>
          <w:tcPr>
            <w:tcW w:w="1984" w:type="dxa"/>
          </w:tcPr>
          <w:p w14:paraId="2C5A53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裸露显著</w:t>
            </w:r>
          </w:p>
        </w:tc>
        <w:tc>
          <w:tcPr>
            <w:tcW w:w="5386" w:type="dxa"/>
          </w:tcPr>
          <w:p w14:paraId="2B73B7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描述显著裸露或包裹区域</w:t>
            </w:r>
          </w:p>
        </w:tc>
      </w:tr>
    </w:tbl>
    <w:p w14:paraId="6C24AFAF"/>
    <w:p w14:paraId="7AF250E8">
      <w:pPr>
        <w:pStyle w:val="4"/>
      </w:pPr>
      <w:r>
        <w:rPr>
          <w:rFonts w:ascii="微软雅黑" w:hAnsi="微软雅黑" w:eastAsia="微软雅黑"/>
        </w:rPr>
        <w:t>材质颜色（6 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84"/>
        <w:gridCol w:w="5386"/>
      </w:tblGrid>
      <w:tr w14:paraId="42004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BF5B3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w="1984" w:type="dxa"/>
          </w:tcPr>
          <w:p w14:paraId="51D9D6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  <w:tc>
          <w:tcPr>
            <w:tcW w:w="5386" w:type="dxa"/>
          </w:tcPr>
          <w:p w14:paraId="6F2A63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命中标准</w:t>
            </w:r>
          </w:p>
        </w:tc>
      </w:tr>
      <w:tr w14:paraId="6C1EC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A50CB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材质类别</w:t>
            </w:r>
          </w:p>
        </w:tc>
        <w:tc>
          <w:tcPr>
            <w:tcW w:w="1984" w:type="dxa"/>
          </w:tcPr>
          <w:p w14:paraId="2BC4C2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材质可推断</w:t>
            </w:r>
          </w:p>
        </w:tc>
        <w:tc>
          <w:tcPr>
            <w:tcW w:w="5386" w:type="dxa"/>
          </w:tcPr>
          <w:p w14:paraId="47B991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给出主体材质类别</w:t>
            </w:r>
          </w:p>
        </w:tc>
      </w:tr>
      <w:tr w14:paraId="609BE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C3E22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表面性质</w:t>
            </w:r>
          </w:p>
        </w:tc>
        <w:tc>
          <w:tcPr>
            <w:tcW w:w="1984" w:type="dxa"/>
          </w:tcPr>
          <w:p w14:paraId="0CFEDE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表面特征显著</w:t>
            </w:r>
          </w:p>
        </w:tc>
        <w:tc>
          <w:tcPr>
            <w:tcW w:w="5386" w:type="dxa"/>
          </w:tcPr>
          <w:p w14:paraId="0F85B8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给出光泽、哑光、垂坠或硬挺等</w:t>
            </w:r>
          </w:p>
        </w:tc>
      </w:tr>
      <w:tr w14:paraId="709E8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AC6FA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主色</w:t>
            </w:r>
          </w:p>
        </w:tc>
        <w:tc>
          <w:tcPr>
            <w:tcW w:w="1984" w:type="dxa"/>
          </w:tcPr>
          <w:p w14:paraId="26DF9A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始终</w:t>
            </w:r>
          </w:p>
        </w:tc>
        <w:tc>
          <w:tcPr>
            <w:tcW w:w="5386" w:type="dxa"/>
          </w:tcPr>
          <w:p w14:paraId="5F6569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给出主色</w:t>
            </w:r>
          </w:p>
        </w:tc>
      </w:tr>
      <w:tr w14:paraId="21F18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BADE6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副色</w:t>
            </w:r>
          </w:p>
        </w:tc>
        <w:tc>
          <w:tcPr>
            <w:tcW w:w="1984" w:type="dxa"/>
          </w:tcPr>
          <w:p w14:paraId="09F5D1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副色显著</w:t>
            </w:r>
          </w:p>
        </w:tc>
        <w:tc>
          <w:tcPr>
            <w:tcW w:w="5386" w:type="dxa"/>
          </w:tcPr>
          <w:p w14:paraId="21B8C7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描述明显副色；内里/开衩内衬等高对比色块须说明可见条件</w:t>
            </w:r>
          </w:p>
        </w:tc>
      </w:tr>
      <w:tr w14:paraId="148AD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A00B5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配色逻辑</w:t>
            </w:r>
          </w:p>
        </w:tc>
        <w:tc>
          <w:tcPr>
            <w:tcW w:w="1984" w:type="dxa"/>
          </w:tcPr>
          <w:p w14:paraId="416F31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多色/强对比</w:t>
            </w:r>
          </w:p>
        </w:tc>
        <w:tc>
          <w:tcPr>
            <w:tcW w:w="5386" w:type="dxa"/>
          </w:tcPr>
          <w:p w14:paraId="1C3A52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交代配色逻辑；仅罗列颜色词不算命中</w:t>
            </w:r>
          </w:p>
        </w:tc>
      </w:tr>
      <w:tr w14:paraId="58071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EFE31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图案</w:t>
            </w:r>
          </w:p>
        </w:tc>
        <w:tc>
          <w:tcPr>
            <w:tcW w:w="1984" w:type="dxa"/>
          </w:tcPr>
          <w:p w14:paraId="15D0D8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有图案</w:t>
            </w:r>
          </w:p>
        </w:tc>
        <w:tc>
          <w:tcPr>
            <w:tcW w:w="5386" w:type="dxa"/>
          </w:tcPr>
          <w:p w14:paraId="7C8FA0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给出图案类型</w:t>
            </w:r>
          </w:p>
        </w:tc>
      </w:tr>
    </w:tbl>
    <w:p w14:paraId="34A543E1"/>
    <w:p w14:paraId="19075A52">
      <w:pPr>
        <w:pStyle w:val="4"/>
      </w:pPr>
      <w:r>
        <w:rPr>
          <w:rFonts w:ascii="微软雅黑" w:hAnsi="微软雅黑" w:eastAsia="微软雅黑"/>
        </w:rPr>
        <w:t>结构细节（5 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84"/>
        <w:gridCol w:w="5386"/>
      </w:tblGrid>
      <w:tr w14:paraId="6AA99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D6374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w="1984" w:type="dxa"/>
          </w:tcPr>
          <w:p w14:paraId="72BE9E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  <w:tc>
          <w:tcPr>
            <w:tcW w:w="5386" w:type="dxa"/>
          </w:tcPr>
          <w:p w14:paraId="5D337C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命中标准</w:t>
            </w:r>
          </w:p>
        </w:tc>
      </w:tr>
      <w:tr w14:paraId="71630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10097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开合方式</w:t>
            </w:r>
          </w:p>
        </w:tc>
        <w:tc>
          <w:tcPr>
            <w:tcW w:w="1984" w:type="dxa"/>
          </w:tcPr>
          <w:p w14:paraId="720E0E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开合显著</w:t>
            </w:r>
          </w:p>
        </w:tc>
        <w:tc>
          <w:tcPr>
            <w:tcW w:w="5386" w:type="dxa"/>
          </w:tcPr>
          <w:p w14:paraId="11AC16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提到显著开合方式</w:t>
            </w:r>
          </w:p>
        </w:tc>
      </w:tr>
      <w:tr w14:paraId="3608B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9BECE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功能细节</w:t>
            </w:r>
          </w:p>
        </w:tc>
        <w:tc>
          <w:tcPr>
            <w:tcW w:w="1984" w:type="dxa"/>
          </w:tcPr>
          <w:p w14:paraId="74D6F1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功能细节显著</w:t>
            </w:r>
          </w:p>
        </w:tc>
        <w:tc>
          <w:tcPr>
            <w:tcW w:w="5386" w:type="dxa"/>
          </w:tcPr>
          <w:p w14:paraId="0ADF93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提到显著口袋、挂带或功能细节</w:t>
            </w:r>
          </w:p>
        </w:tc>
      </w:tr>
      <w:tr w14:paraId="5F612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B1D66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结构工艺</w:t>
            </w:r>
          </w:p>
        </w:tc>
        <w:tc>
          <w:tcPr>
            <w:tcW w:w="1984" w:type="dxa"/>
          </w:tcPr>
          <w:p w14:paraId="2027E7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工艺显著</w:t>
            </w:r>
          </w:p>
        </w:tc>
        <w:tc>
          <w:tcPr>
            <w:tcW w:w="5386" w:type="dxa"/>
          </w:tcPr>
          <w:p w14:paraId="2428E3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同时给出工艺类型与大致落位；仅泛称「有细节」不算</w:t>
            </w:r>
          </w:p>
        </w:tc>
      </w:tr>
      <w:tr w14:paraId="79754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03AC4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解构</w:t>
            </w:r>
          </w:p>
        </w:tc>
        <w:tc>
          <w:tcPr>
            <w:tcW w:w="1984" w:type="dxa"/>
          </w:tcPr>
          <w:p w14:paraId="3B2F82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有解构</w:t>
            </w:r>
          </w:p>
        </w:tc>
        <w:tc>
          <w:tcPr>
            <w:tcW w:w="5386" w:type="dxa"/>
          </w:tcPr>
          <w:p w14:paraId="4BC6B8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提到解构设计</w:t>
            </w:r>
          </w:p>
        </w:tc>
      </w:tr>
      <w:tr w14:paraId="3EDFE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BFFDD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五金装饰</w:t>
            </w:r>
          </w:p>
        </w:tc>
        <w:tc>
          <w:tcPr>
            <w:tcW w:w="1984" w:type="dxa"/>
          </w:tcPr>
          <w:p w14:paraId="222377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装饰显著</w:t>
            </w:r>
          </w:p>
        </w:tc>
        <w:tc>
          <w:tcPr>
            <w:tcW w:w="5386" w:type="dxa"/>
          </w:tcPr>
          <w:p w14:paraId="3976AE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提到显著五金或装饰</w:t>
            </w:r>
          </w:p>
        </w:tc>
      </w:tr>
    </w:tbl>
    <w:p w14:paraId="3DB4C056"/>
    <w:p w14:paraId="4FFDDC0D">
      <w:pPr>
        <w:pStyle w:val="4"/>
      </w:pPr>
      <w:r>
        <w:rPr>
          <w:rFonts w:ascii="微软雅黑" w:hAnsi="微软雅黑" w:eastAsia="微软雅黑"/>
        </w:rPr>
        <w:t>造型配件（5 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84"/>
        <w:gridCol w:w="5386"/>
      </w:tblGrid>
      <w:tr w14:paraId="19B38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F6CB2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w="1984" w:type="dxa"/>
          </w:tcPr>
          <w:p w14:paraId="74FD11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  <w:tc>
          <w:tcPr>
            <w:tcW w:w="5386" w:type="dxa"/>
          </w:tcPr>
          <w:p w14:paraId="644BA3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命中标准</w:t>
            </w:r>
          </w:p>
        </w:tc>
      </w:tr>
      <w:tr w14:paraId="1CC25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14B46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包袋</w:t>
            </w:r>
          </w:p>
        </w:tc>
        <w:tc>
          <w:tcPr>
            <w:tcW w:w="1984" w:type="dxa"/>
          </w:tcPr>
          <w:p w14:paraId="52BE15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全套造型且有包</w:t>
            </w:r>
          </w:p>
        </w:tc>
        <w:tc>
          <w:tcPr>
            <w:tcW w:w="5386" w:type="dxa"/>
          </w:tcPr>
          <w:p w14:paraId="0CCEC8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视觉突出时须覆盖至少 2 项：品类/持拿、轮廓/体量、颜色与材质</w:t>
            </w:r>
          </w:p>
        </w:tc>
      </w:tr>
      <w:tr w14:paraId="74E4F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B42A4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鞋履</w:t>
            </w:r>
          </w:p>
        </w:tc>
        <w:tc>
          <w:tcPr>
            <w:tcW w:w="1984" w:type="dxa"/>
          </w:tcPr>
          <w:p w14:paraId="3CB094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全套造型且有鞋</w:t>
            </w:r>
          </w:p>
        </w:tc>
        <w:tc>
          <w:tcPr>
            <w:tcW w:w="5386" w:type="dxa"/>
          </w:tcPr>
          <w:p w14:paraId="26CE27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视觉突出时须覆盖至少 2 项：鞋型族、跟高/靴筒/鞋头、颜色与材质</w:t>
            </w:r>
          </w:p>
        </w:tc>
      </w:tr>
      <w:tr w14:paraId="1D8D8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7A1AA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首饰</w:t>
            </w:r>
          </w:p>
        </w:tc>
        <w:tc>
          <w:tcPr>
            <w:tcW w:w="1984" w:type="dxa"/>
          </w:tcPr>
          <w:p w14:paraId="43AC95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首饰显著</w:t>
            </w:r>
          </w:p>
        </w:tc>
        <w:tc>
          <w:tcPr>
            <w:tcW w:w="5386" w:type="dxa"/>
          </w:tcPr>
          <w:p w14:paraId="7A0559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提到显著首饰或身体装饰</w:t>
            </w:r>
          </w:p>
        </w:tc>
      </w:tr>
      <w:tr w14:paraId="5A435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39DD6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腰带/腰胯附件</w:t>
            </w:r>
          </w:p>
        </w:tc>
        <w:tc>
          <w:tcPr>
            <w:tcW w:w="1984" w:type="dxa"/>
          </w:tcPr>
          <w:p w14:paraId="6C3F0C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腰带/束系显著</w:t>
            </w:r>
          </w:p>
        </w:tc>
        <w:tc>
          <w:tcPr>
            <w:tcW w:w="5386" w:type="dxa"/>
          </w:tcPr>
          <w:p w14:paraId="02DEA0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须说明与外衣/裤装附着关系；剪裁收腰、省道等不算腰带</w:t>
            </w:r>
          </w:p>
        </w:tc>
      </w:tr>
      <w:tr w14:paraId="7586B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5EC31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叠搭层次</w:t>
            </w:r>
          </w:p>
        </w:tc>
        <w:tc>
          <w:tcPr>
            <w:tcW w:w="1984" w:type="dxa"/>
          </w:tcPr>
          <w:p w14:paraId="4A0D46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有多层</w:t>
            </w:r>
          </w:p>
        </w:tc>
        <w:tc>
          <w:tcPr>
            <w:tcW w:w="5386" w:type="dxa"/>
          </w:tcPr>
          <w:p w14:paraId="53AF17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给出层次关系，遮盖与固定顺序可还原</w:t>
            </w:r>
          </w:p>
        </w:tc>
      </w:tr>
    </w:tbl>
    <w:p w14:paraId="0E2A1FD7"/>
    <w:p w14:paraId="46B4BB80">
      <w:pPr>
        <w:pStyle w:val="4"/>
      </w:pPr>
      <w:r>
        <w:rPr>
          <w:rFonts w:ascii="微软雅黑" w:hAnsi="微软雅黑" w:eastAsia="微软雅黑"/>
        </w:rPr>
        <w:t>造型关系（3 项）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84"/>
        <w:gridCol w:w="5386"/>
      </w:tblGrid>
      <w:tr w14:paraId="0F9D8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CC86D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w="1984" w:type="dxa"/>
          </w:tcPr>
          <w:p w14:paraId="6176AB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触发条件</w:t>
            </w:r>
          </w:p>
        </w:tc>
        <w:tc>
          <w:tcPr>
            <w:tcW w:w="5386" w:type="dxa"/>
          </w:tcPr>
          <w:p w14:paraId="0957F5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命中标准</w:t>
            </w:r>
          </w:p>
        </w:tc>
      </w:tr>
      <w:tr w14:paraId="739C6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961D4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上下比例</w:t>
            </w:r>
          </w:p>
        </w:tc>
        <w:tc>
          <w:tcPr>
            <w:tcW w:w="1984" w:type="dxa"/>
          </w:tcPr>
          <w:p w14:paraId="7372BD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比例显著</w:t>
            </w:r>
          </w:p>
        </w:tc>
        <w:tc>
          <w:tcPr>
            <w:tcW w:w="5386" w:type="dxa"/>
          </w:tcPr>
          <w:p w14:paraId="7D527C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提到明显上下比例；长外套/阔腿/厚底鞋叠加时须交代剪影主次</w:t>
            </w:r>
          </w:p>
        </w:tc>
      </w:tr>
      <w:tr w14:paraId="1F547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A0CEE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不对称</w:t>
            </w:r>
          </w:p>
        </w:tc>
        <w:tc>
          <w:tcPr>
            <w:tcW w:w="1984" w:type="dxa"/>
          </w:tcPr>
          <w:p w14:paraId="63F0F1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有不对称</w:t>
            </w:r>
          </w:p>
        </w:tc>
        <w:tc>
          <w:tcPr>
            <w:tcW w:w="5386" w:type="dxa"/>
          </w:tcPr>
          <w:p w14:paraId="392CF7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提到不对称设计</w:t>
            </w:r>
          </w:p>
        </w:tc>
      </w:tr>
      <w:tr w14:paraId="768F2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C2046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跨单品区分</w:t>
            </w:r>
          </w:p>
        </w:tc>
        <w:tc>
          <w:tcPr>
            <w:tcW w:w="1984" w:type="dxa"/>
          </w:tcPr>
          <w:p w14:paraId="53CF01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多单品</w:t>
            </w:r>
          </w:p>
        </w:tc>
        <w:tc>
          <w:tcPr>
            <w:tcW w:w="5386" w:type="dxa"/>
          </w:tcPr>
          <w:p w14:paraId="029D99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多单品时能区分属性属于哪件单品</w:t>
            </w:r>
          </w:p>
        </w:tc>
      </w:tr>
    </w:tbl>
    <w:p w14:paraId="04123DFC"/>
    <w:p w14:paraId="60E32956">
      <w:r>
        <w:rPr>
          <w:rFonts w:ascii="微软雅黑" w:hAnsi="微软雅黑" w:eastAsia="微软雅黑"/>
          <w:b w:val="0"/>
          <w:sz w:val="21"/>
        </w:rPr>
        <w:t>模块得分 = 该模块适用指标的命中率（命中数 / 适用数）。</w:t>
      </w:r>
    </w:p>
    <w:p w14:paraId="23743A5A">
      <w:r>
        <w:br w:type="page"/>
      </w:r>
    </w:p>
    <w:p w14:paraId="1E917F36">
      <w:pPr>
        <w:pStyle w:val="3"/>
      </w:pPr>
      <w:r>
        <w:rPr>
          <w:rFonts w:ascii="微软雅黑" w:hAnsi="微软雅黑" w:eastAsia="微软雅黑"/>
        </w:rPr>
        <w:t>三、质量轴</w:t>
      </w:r>
    </w:p>
    <w:p w14:paraId="5F2A3536">
      <w:pPr>
        <w:pStyle w:val="16"/>
      </w:pPr>
      <w:r>
        <w:rPr>
          <w:rFonts w:ascii="微软雅黑" w:hAnsi="微软雅黑" w:eastAsia="微软雅黑"/>
          <w:sz w:val="21"/>
        </w:rPr>
        <w:t>轴权重：0.8；问题：好不好</w:t>
      </w:r>
    </w:p>
    <w:p w14:paraId="4BCA5142">
      <w:pPr>
        <w:pStyle w:val="16"/>
      </w:pPr>
      <w:r>
        <w:rPr>
          <w:rFonts w:ascii="微软雅黑" w:hAnsi="微软雅黑" w:eastAsia="微软雅黑"/>
          <w:sz w:val="21"/>
        </w:rPr>
        <w:t>各指标五档计分（0 / 0.25 / 0.5 / 0.75 / 1.0），模块分 = 适用指标算术平均</w:t>
      </w:r>
    </w:p>
    <w:p w14:paraId="06894BDA">
      <w:pPr>
        <w:pStyle w:val="4"/>
      </w:pPr>
      <w:r>
        <w:rPr>
          <w:rFonts w:ascii="微软雅黑" w:hAnsi="微软雅黑" w:eastAsia="微软雅黑"/>
        </w:rPr>
        <w:t>模块权重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1701"/>
      </w:tblGrid>
      <w:tr w14:paraId="476B9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02" w:type="dxa"/>
          </w:tcPr>
          <w:p w14:paraId="3FFF03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w="1701" w:type="dxa"/>
          </w:tcPr>
          <w:p w14:paraId="68BD88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权重</w:t>
            </w:r>
          </w:p>
        </w:tc>
      </w:tr>
      <w:tr w14:paraId="11D88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2CFC0C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设计价值</w:t>
            </w:r>
          </w:p>
        </w:tc>
        <w:tc>
          <w:tcPr>
            <w:tcW w:w="1701" w:type="dxa"/>
          </w:tcPr>
          <w:p w14:paraId="33076D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5.0</w:t>
            </w:r>
          </w:p>
        </w:tc>
      </w:tr>
      <w:tr w14:paraId="19900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5E662D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可见性优先级</w:t>
            </w:r>
          </w:p>
        </w:tc>
        <w:tc>
          <w:tcPr>
            <w:tcW w:w="1701" w:type="dxa"/>
          </w:tcPr>
          <w:p w14:paraId="272975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3.0</w:t>
            </w:r>
          </w:p>
        </w:tc>
      </w:tr>
      <w:tr w14:paraId="37DBE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171814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生成适配</w:t>
            </w:r>
          </w:p>
        </w:tc>
        <w:tc>
          <w:tcPr>
            <w:tcW w:w="1701" w:type="dxa"/>
          </w:tcPr>
          <w:p w14:paraId="09853C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</w:tr>
      <w:tr w14:paraId="2F0C7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4BA09E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属性绑定</w:t>
            </w:r>
          </w:p>
        </w:tc>
        <w:tc>
          <w:tcPr>
            <w:tcW w:w="1701" w:type="dxa"/>
          </w:tcPr>
          <w:p w14:paraId="3247F6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</w:tr>
      <w:tr w14:paraId="05286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175BDC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语言清晰</w:t>
            </w:r>
          </w:p>
        </w:tc>
        <w:tc>
          <w:tcPr>
            <w:tcW w:w="1701" w:type="dxa"/>
          </w:tcPr>
          <w:p w14:paraId="4DBD55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</w:tr>
      <w:tr w14:paraId="6D869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 w14:paraId="01480F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结构清晰</w:t>
            </w:r>
          </w:p>
        </w:tc>
        <w:tc>
          <w:tcPr>
            <w:tcW w:w="1701" w:type="dxa"/>
          </w:tcPr>
          <w:p w14:paraId="674A1F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</w:tr>
    </w:tbl>
    <w:p w14:paraId="044A45E1"/>
    <w:p w14:paraId="4F0D838A">
      <w:pPr>
        <w:pStyle w:val="4"/>
      </w:pPr>
      <w:r>
        <w:rPr>
          <w:rFonts w:ascii="微软雅黑" w:hAnsi="微软雅黑" w:eastAsia="微软雅黑"/>
        </w:rPr>
        <w:t>设计价值（×5.0）</w:t>
      </w:r>
    </w:p>
    <w:p w14:paraId="42F9E5B8">
      <w:r>
        <w:rPr>
          <w:rFonts w:ascii="微软雅黑" w:hAnsi="微软雅黑" w:eastAsia="微软雅黑"/>
          <w:b w:val="0"/>
          <w:sz w:val="21"/>
        </w:rPr>
        <w:t>指标：设计独特性、视觉观察锚定、工艺装饰显著度、组合原创性、设计信号纯度</w:t>
      </w:r>
    </w:p>
    <w:p w14:paraId="6F5BB3CF">
      <w:r>
        <w:rPr>
          <w:rFonts w:ascii="微软雅黑" w:hAnsi="微软雅黑" w:eastAsia="微软雅黑"/>
          <w:b/>
          <w:sz w:val="21"/>
        </w:rPr>
        <w:t>设计独特性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37"/>
      </w:tblGrid>
      <w:tr w14:paraId="34FD0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7FC19E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分数</w:t>
            </w:r>
          </w:p>
        </w:tc>
        <w:tc>
          <w:tcPr>
            <w:tcW w:w="7937" w:type="dxa"/>
          </w:tcPr>
          <w:p w14:paraId="47C6E4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标准</w:t>
            </w:r>
          </w:p>
        </w:tc>
      </w:tr>
      <w:tr w14:paraId="15CC0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5C4889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  <w:tc>
          <w:tcPr>
            <w:tcW w:w="7937" w:type="dxa"/>
          </w:tcPr>
          <w:p w14:paraId="768977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≥2 个清晰非套路锚点，至少 1 个来自工艺/结构/非常规组合</w:t>
            </w:r>
          </w:p>
        </w:tc>
      </w:tr>
      <w:tr w14:paraId="014E7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57CC92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0.75</w:t>
            </w:r>
          </w:p>
        </w:tc>
        <w:tc>
          <w:tcPr>
            <w:tcW w:w="7937" w:type="dxa"/>
          </w:tcPr>
          <w:p w14:paraId="6D729E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 个明确非公式化记忆点</w:t>
            </w:r>
          </w:p>
        </w:tc>
      </w:tr>
      <w:tr w14:paraId="3780F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069593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w="7937" w:type="dxa"/>
          </w:tcPr>
          <w:p w14:paraId="5B5610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偏常规奢华/度假语言，识别点弱</w:t>
            </w:r>
          </w:p>
        </w:tc>
      </w:tr>
      <w:tr w14:paraId="05040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5AA582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0.25</w:t>
            </w:r>
          </w:p>
        </w:tc>
        <w:tc>
          <w:tcPr>
            <w:tcW w:w="7937" w:type="dxa"/>
          </w:tcPr>
          <w:p w14:paraId="465100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几乎全是可互换巡航度假公式</w:t>
            </w:r>
          </w:p>
        </w:tc>
      </w:tr>
      <w:tr w14:paraId="11B64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11E5C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0.0</w:t>
            </w:r>
          </w:p>
        </w:tc>
        <w:tc>
          <w:tcPr>
            <w:tcW w:w="7937" w:type="dxa"/>
          </w:tcPr>
          <w:p w14:paraId="310DB4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纯品类堆叠或仅品牌符号</w:t>
            </w:r>
          </w:p>
        </w:tc>
      </w:tr>
    </w:tbl>
    <w:p w14:paraId="5BF8AC2C"/>
    <w:p w14:paraId="026DF338">
      <w:r>
        <w:rPr>
          <w:rFonts w:ascii="微软雅黑" w:hAnsi="微软雅黑" w:eastAsia="微软雅黑"/>
          <w:b/>
          <w:sz w:val="21"/>
        </w:rPr>
        <w:t>视觉观察锚定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37"/>
      </w:tblGrid>
      <w:tr w14:paraId="33C93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150F0AB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分数</w:t>
            </w:r>
          </w:p>
        </w:tc>
        <w:tc>
          <w:tcPr>
            <w:tcW w:w="7937" w:type="dxa"/>
          </w:tcPr>
          <w:p w14:paraId="174355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标准</w:t>
            </w:r>
          </w:p>
        </w:tc>
      </w:tr>
      <w:tr w14:paraId="4AB4D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61BD98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  <w:tc>
          <w:tcPr>
            <w:tcW w:w="7937" w:type="dxa"/>
          </w:tcPr>
          <w:p w14:paraId="441342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多处具体部位锚定，可见/不可见层次清楚，几乎无氛围/评论句</w:t>
            </w:r>
          </w:p>
        </w:tc>
      </w:tr>
      <w:tr w14:paraId="5F646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07C111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0.75</w:t>
            </w:r>
          </w:p>
        </w:tc>
        <w:tc>
          <w:tcPr>
            <w:tcW w:w="7937" w:type="dxa"/>
          </w:tcPr>
          <w:p w14:paraId="609E58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主要结构有可见锚定，概念句极少（≤1 处）</w:t>
            </w:r>
          </w:p>
        </w:tc>
      </w:tr>
      <w:tr w14:paraId="0E97F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232C4B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w="7937" w:type="dxa"/>
          </w:tcPr>
          <w:p w14:paraId="677C7C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观察与概念/氛围句混合</w:t>
            </w:r>
          </w:p>
        </w:tc>
      </w:tr>
      <w:tr w14:paraId="67E18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01135A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0.25</w:t>
            </w:r>
          </w:p>
        </w:tc>
        <w:tc>
          <w:tcPr>
            <w:tcW w:w="7937" w:type="dxa"/>
          </w:tcPr>
          <w:p w14:paraId="408A62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以主题/氛围/沙龙/漫步等修辞为主</w:t>
            </w:r>
          </w:p>
        </w:tc>
      </w:tr>
      <w:tr w14:paraId="660D6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F94CC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0.0</w:t>
            </w:r>
          </w:p>
        </w:tc>
        <w:tc>
          <w:tcPr>
            <w:tcW w:w="7937" w:type="dxa"/>
          </w:tcPr>
          <w:p w14:paraId="00A417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纯概念叙事，无法对应可见造型</w:t>
            </w:r>
          </w:p>
        </w:tc>
      </w:tr>
    </w:tbl>
    <w:p w14:paraId="6E303092"/>
    <w:p w14:paraId="4C547E00">
      <w:r>
        <w:rPr>
          <w:rFonts w:ascii="微软雅黑" w:hAnsi="微软雅黑" w:eastAsia="微软雅黑"/>
          <w:b/>
          <w:sz w:val="21"/>
        </w:rPr>
        <w:t>工艺装饰显著度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37"/>
      </w:tblGrid>
      <w:tr w14:paraId="11060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62681D7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分数</w:t>
            </w:r>
          </w:p>
        </w:tc>
        <w:tc>
          <w:tcPr>
            <w:tcW w:w="7937" w:type="dxa"/>
          </w:tcPr>
          <w:p w14:paraId="41B4B1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标准</w:t>
            </w:r>
          </w:p>
        </w:tc>
      </w:tr>
      <w:tr w14:paraId="66BF3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028C6A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  <w:tc>
          <w:tcPr>
            <w:tcW w:w="7937" w:type="dxa"/>
          </w:tcPr>
          <w:p w14:paraId="7FC8B4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工艺/装饰的类型、位置、视觉作用均清晰，且为造型主识别点之一</w:t>
            </w:r>
          </w:p>
        </w:tc>
      </w:tr>
      <w:tr w14:paraId="124F8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105800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0.75</w:t>
            </w:r>
          </w:p>
        </w:tc>
        <w:tc>
          <w:tcPr>
            <w:tcW w:w="7937" w:type="dxa"/>
          </w:tcPr>
          <w:p w14:paraId="7803FF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主要工艺点清楚，少量泛化</w:t>
            </w:r>
          </w:p>
        </w:tc>
      </w:tr>
      <w:tr w14:paraId="794E4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141D36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w="7937" w:type="dxa"/>
          </w:tcPr>
          <w:p w14:paraId="2D8D38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提到工艺但偏泛（明线、五金、精致饰面等）</w:t>
            </w:r>
          </w:p>
        </w:tc>
      </w:tr>
      <w:tr w14:paraId="1A65C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BB5A8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0.25</w:t>
            </w:r>
          </w:p>
        </w:tc>
        <w:tc>
          <w:tcPr>
            <w:tcW w:w="7937" w:type="dxa"/>
          </w:tcPr>
          <w:p w14:paraId="290553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仅「装饰/五金」级泛称</w:t>
            </w:r>
          </w:p>
        </w:tc>
      </w:tr>
      <w:tr w14:paraId="5B553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26057E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0.0</w:t>
            </w:r>
          </w:p>
        </w:tc>
        <w:tc>
          <w:tcPr>
            <w:tcW w:w="7937" w:type="dxa"/>
          </w:tcPr>
          <w:p w14:paraId="2AFE2B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应写工艺处完全缺失或空泛</w:t>
            </w:r>
          </w:p>
        </w:tc>
      </w:tr>
    </w:tbl>
    <w:p w14:paraId="6ABD0D4D"/>
    <w:p w14:paraId="770E853C">
      <w:r>
        <w:rPr>
          <w:rFonts w:ascii="微软雅黑" w:hAnsi="微软雅黑" w:eastAsia="微软雅黑"/>
          <w:b/>
          <w:sz w:val="21"/>
        </w:rPr>
        <w:t>组合原创性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37"/>
      </w:tblGrid>
      <w:tr w14:paraId="5D42E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5784095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分数</w:t>
            </w:r>
          </w:p>
        </w:tc>
        <w:tc>
          <w:tcPr>
            <w:tcW w:w="7937" w:type="dxa"/>
          </w:tcPr>
          <w:p w14:paraId="6847B78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标准</w:t>
            </w:r>
          </w:p>
        </w:tc>
      </w:tr>
      <w:tr w14:paraId="3320C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43ACC5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  <w:tc>
          <w:tcPr>
            <w:tcW w:w="7937" w:type="dxa"/>
          </w:tcPr>
          <w:p w14:paraId="0CAF83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组合高度具体且难预测，换一件主干单品会改变整体读感</w:t>
            </w:r>
          </w:p>
        </w:tc>
      </w:tr>
      <w:tr w14:paraId="7A458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77A186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0.75</w:t>
            </w:r>
          </w:p>
        </w:tc>
        <w:tc>
          <w:tcPr>
            <w:tcW w:w="7937" w:type="dxa"/>
          </w:tcPr>
          <w:p w14:paraId="5F8948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组合有明确取向，但仍有部分常规元素</w:t>
            </w:r>
          </w:p>
        </w:tc>
      </w:tr>
      <w:tr w14:paraId="0CD57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52A452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w="7937" w:type="dxa"/>
          </w:tcPr>
          <w:p w14:paraId="7D46AF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安全奢华组合可预测；或仍属度假公式</w:t>
            </w:r>
          </w:p>
        </w:tc>
      </w:tr>
      <w:tr w14:paraId="4E0A3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2BCC70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0.25</w:t>
            </w:r>
          </w:p>
        </w:tc>
        <w:tc>
          <w:tcPr>
            <w:tcW w:w="7937" w:type="dxa"/>
          </w:tcPr>
          <w:p w14:paraId="53C876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典型公式（短夹克+条纹衬衫+修身短裤/长裤+腰带+平底鞋）</w:t>
            </w:r>
          </w:p>
        </w:tc>
      </w:tr>
      <w:tr w14:paraId="48ADC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00D16A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0.0</w:t>
            </w:r>
          </w:p>
        </w:tc>
        <w:tc>
          <w:tcPr>
            <w:tcW w:w="7937" w:type="dxa"/>
          </w:tcPr>
          <w:p w14:paraId="05E44E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最常见巡航/工装模板拼接，多条造型间可互换主干</w:t>
            </w:r>
          </w:p>
        </w:tc>
      </w:tr>
    </w:tbl>
    <w:p w14:paraId="7D19FADC"/>
    <w:p w14:paraId="6F4847B9">
      <w:r>
        <w:rPr>
          <w:rFonts w:ascii="微软雅黑" w:hAnsi="微软雅黑" w:eastAsia="微软雅黑"/>
          <w:b/>
          <w:sz w:val="21"/>
        </w:rPr>
        <w:t>设计信号纯度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37"/>
      </w:tblGrid>
      <w:tr w14:paraId="60640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7A6709D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分数</w:t>
            </w:r>
          </w:p>
        </w:tc>
        <w:tc>
          <w:tcPr>
            <w:tcW w:w="7937" w:type="dxa"/>
          </w:tcPr>
          <w:p w14:paraId="1304A8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标准</w:t>
            </w:r>
          </w:p>
        </w:tc>
      </w:tr>
      <w:tr w14:paraId="3B8CB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E7F4A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  <w:tc>
          <w:tcPr>
            <w:tcW w:w="7937" w:type="dxa"/>
          </w:tcPr>
          <w:p w14:paraId="771E26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几乎全是可成像的设计事实，无氛围/姿态/身份评论</w:t>
            </w:r>
          </w:p>
        </w:tc>
      </w:tr>
      <w:tr w14:paraId="20A22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04D76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0.75</w:t>
            </w:r>
          </w:p>
        </w:tc>
        <w:tc>
          <w:tcPr>
            <w:tcW w:w="7937" w:type="dxa"/>
          </w:tcPr>
          <w:p w14:paraId="1AC77B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设计事实为主，氛围/姿态句 ≤1 句</w:t>
            </w:r>
          </w:p>
        </w:tc>
      </w:tr>
      <w:tr w14:paraId="6CADB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6A7C25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w="7937" w:type="dxa"/>
          </w:tcPr>
          <w:p w14:paraId="2F81FE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设计与叙事各占一半；或重复氛围铺垫</w:t>
            </w:r>
          </w:p>
        </w:tc>
      </w:tr>
      <w:tr w14:paraId="0D73A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18E80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0.25</w:t>
            </w:r>
          </w:p>
        </w:tc>
        <w:tc>
          <w:tcPr>
            <w:tcW w:w="7937" w:type="dxa"/>
          </w:tcPr>
          <w:p w14:paraId="70D10D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≥3 处沙龙/漫步/航海/仿佛/暗示等修辞稀释设计信号</w:t>
            </w:r>
          </w:p>
        </w:tc>
      </w:tr>
      <w:tr w14:paraId="61C4A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0EB749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0.0</w:t>
            </w:r>
          </w:p>
        </w:tc>
        <w:tc>
          <w:tcPr>
            <w:tcW w:w="7937" w:type="dxa"/>
          </w:tcPr>
          <w:p w14:paraId="7FC885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主要是评论文，设计事实被淹没</w:t>
            </w:r>
          </w:p>
        </w:tc>
      </w:tr>
    </w:tbl>
    <w:p w14:paraId="6CB53375"/>
    <w:p w14:paraId="153AEC8C">
      <w:pPr>
        <w:pStyle w:val="4"/>
      </w:pPr>
      <w:r>
        <w:rPr>
          <w:rFonts w:ascii="微软雅黑" w:hAnsi="微软雅黑" w:eastAsia="微软雅黑"/>
        </w:rPr>
        <w:t>可见性优先级（×3.0）</w:t>
      </w:r>
    </w:p>
    <w:p w14:paraId="47831ADE">
      <w:r>
        <w:rPr>
          <w:rFonts w:ascii="微软雅黑" w:hAnsi="微软雅黑" w:eastAsia="微软雅黑"/>
          <w:b w:val="0"/>
          <w:sz w:val="21"/>
        </w:rPr>
        <w:t>指标：可见性优先级</w:t>
      </w:r>
    </w:p>
    <w:p w14:paraId="2FBFE0A1">
      <w:pPr>
        <w:pStyle w:val="16"/>
      </w:pPr>
      <w:r>
        <w:rPr>
          <w:rFonts w:ascii="微软雅黑" w:hAnsi="微软雅黑" w:eastAsia="微软雅黑"/>
          <w:sz w:val="21"/>
        </w:rPr>
        <w:t>硬封顶：氛围/姿态/身份评论占显著篇幅 → 最高 0.5</w:t>
      </w:r>
    </w:p>
    <w:p w14:paraId="0FC152F9">
      <w:pPr>
        <w:pStyle w:val="16"/>
      </w:pPr>
      <w:r>
        <w:rPr>
          <w:rFonts w:ascii="微软雅黑" w:hAnsi="微软雅黑" w:eastAsia="微软雅黑"/>
          <w:sz w:val="21"/>
        </w:rPr>
        <w:t>不可见信息或重复过渡铺垫喧宾夺主 → 最高 0.25</w:t>
      </w:r>
    </w:p>
    <w:p w14:paraId="0B2B3B47">
      <w:r>
        <w:rPr>
          <w:rFonts w:ascii="微软雅黑" w:hAnsi="微软雅黑" w:eastAsia="微软雅黑"/>
          <w:b/>
          <w:sz w:val="21"/>
        </w:rPr>
        <w:t>可见性优先级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37"/>
      </w:tblGrid>
      <w:tr w14:paraId="66E64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61213E8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分数</w:t>
            </w:r>
          </w:p>
        </w:tc>
        <w:tc>
          <w:tcPr>
            <w:tcW w:w="7937" w:type="dxa"/>
          </w:tcPr>
          <w:p w14:paraId="39BFF39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标准</w:t>
            </w:r>
          </w:p>
        </w:tc>
      </w:tr>
      <w:tr w14:paraId="739B2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50F77D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  <w:tc>
          <w:tcPr>
            <w:tcW w:w="7937" w:type="dxa"/>
          </w:tcPr>
          <w:p w14:paraId="57EBAD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廓形、品类、层次、主色、关键工艺与可见配件始终居前且占主导</w:t>
            </w:r>
          </w:p>
        </w:tc>
      </w:tr>
      <w:tr w14:paraId="69677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7420C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0.75</w:t>
            </w:r>
          </w:p>
        </w:tc>
        <w:tc>
          <w:tcPr>
            <w:tcW w:w="7937" w:type="dxa"/>
          </w:tcPr>
          <w:p w14:paraId="4CBE90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可见主体明确优先；可有 1 处轻量氛围句</w:t>
            </w:r>
          </w:p>
        </w:tc>
      </w:tr>
      <w:tr w14:paraId="297E2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1D9891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w="7937" w:type="dxa"/>
          </w:tcPr>
          <w:p w14:paraId="7BA947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氛围/姿态/过渡铺垫占明显篇幅，或低可见细节与主体争抢</w:t>
            </w:r>
          </w:p>
        </w:tc>
      </w:tr>
      <w:tr w14:paraId="2989E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4F3D3E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0.25</w:t>
            </w:r>
          </w:p>
        </w:tc>
        <w:tc>
          <w:tcPr>
            <w:tcW w:w="7937" w:type="dxa"/>
          </w:tcPr>
          <w:p w14:paraId="508555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氛围/身份/品牌评论喧宾夺主；或 ≥3 处氛围类句稀释可见主体</w:t>
            </w:r>
          </w:p>
        </w:tc>
      </w:tr>
      <w:tr w14:paraId="3318D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0ECBFB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0.0</w:t>
            </w:r>
          </w:p>
        </w:tc>
        <w:tc>
          <w:tcPr>
            <w:tcW w:w="7937" w:type="dxa"/>
          </w:tcPr>
          <w:p w14:paraId="6DB3B8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几乎不以可见服装为主体</w:t>
            </w:r>
          </w:p>
        </w:tc>
      </w:tr>
    </w:tbl>
    <w:p w14:paraId="2248A06A"/>
    <w:p w14:paraId="54206048">
      <w:pPr>
        <w:pStyle w:val="4"/>
      </w:pPr>
      <w:r>
        <w:rPr>
          <w:rFonts w:ascii="微软雅黑" w:hAnsi="微软雅黑" w:eastAsia="微软雅黑"/>
        </w:rPr>
        <w:t>生成适配（×1.0）</w:t>
      </w:r>
    </w:p>
    <w:p w14:paraId="5BA3A95F">
      <w:r>
        <w:rPr>
          <w:rFonts w:ascii="微软雅黑" w:hAnsi="微软雅黑" w:eastAsia="微软雅黑"/>
          <w:b w:val="0"/>
          <w:sz w:val="21"/>
        </w:rPr>
        <w:t>指标：生图提示词适配、左右一致性、空间关系</w:t>
      </w:r>
    </w:p>
    <w:p w14:paraId="5F1F09F1">
      <w:r>
        <w:rPr>
          <w:rFonts w:ascii="微软雅黑" w:hAnsi="微软雅黑" w:eastAsia="微软雅黑"/>
          <w:b w:val="0"/>
          <w:sz w:val="21"/>
        </w:rPr>
        <w:t>（三指标共用维度分）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37"/>
      </w:tblGrid>
      <w:tr w14:paraId="00DF2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6FA898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分数</w:t>
            </w:r>
          </w:p>
        </w:tc>
        <w:tc>
          <w:tcPr>
            <w:tcW w:w="7937" w:type="dxa"/>
          </w:tcPr>
          <w:p w14:paraId="4745334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标准</w:t>
            </w:r>
          </w:p>
        </w:tc>
      </w:tr>
      <w:tr w14:paraId="315FA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1C0674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  <w:tc>
          <w:tcPr>
            <w:tcW w:w="7937" w:type="dxa"/>
          </w:tcPr>
          <w:p w14:paraId="3BE1A6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几乎可直接作为生图提示词</w:t>
            </w:r>
          </w:p>
        </w:tc>
      </w:tr>
      <w:tr w14:paraId="5D5A1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47CA96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0.75</w:t>
            </w:r>
          </w:p>
        </w:tc>
        <w:tc>
          <w:tcPr>
            <w:tcW w:w="7937" w:type="dxa"/>
          </w:tcPr>
          <w:p w14:paraId="643B1A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轻微整理后即可直接使用</w:t>
            </w:r>
          </w:p>
        </w:tc>
      </w:tr>
      <w:tr w14:paraId="6B64A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42CDD6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w="7937" w:type="dxa"/>
          </w:tcPr>
          <w:p w14:paraId="4AB337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偏说明文或设计解说，不够「可直接生图」</w:t>
            </w:r>
          </w:p>
        </w:tc>
      </w:tr>
      <w:tr w14:paraId="5B8AC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212E5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0.25</w:t>
            </w:r>
          </w:p>
        </w:tc>
        <w:tc>
          <w:tcPr>
            <w:tcW w:w="7937" w:type="dxa"/>
          </w:tcPr>
          <w:p w14:paraId="46900A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更像分析文本或风格评论</w:t>
            </w:r>
          </w:p>
        </w:tc>
      </w:tr>
      <w:tr w14:paraId="64E50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273FEF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0.0</w:t>
            </w:r>
          </w:p>
        </w:tc>
        <w:tc>
          <w:tcPr>
            <w:tcW w:w="7937" w:type="dxa"/>
          </w:tcPr>
          <w:p w14:paraId="76EBD3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无法直接用于生成</w:t>
            </w:r>
          </w:p>
        </w:tc>
      </w:tr>
    </w:tbl>
    <w:p w14:paraId="0351185F"/>
    <w:p w14:paraId="2A284368">
      <w:pPr>
        <w:pStyle w:val="4"/>
      </w:pPr>
      <w:r>
        <w:rPr>
          <w:rFonts w:ascii="微软雅黑" w:hAnsi="微软雅黑" w:eastAsia="微软雅黑"/>
        </w:rPr>
        <w:t>属性绑定（×1.0）</w:t>
      </w:r>
    </w:p>
    <w:p w14:paraId="5829CDCE">
      <w:r>
        <w:rPr>
          <w:rFonts w:ascii="微软雅黑" w:hAnsi="微软雅黑" w:eastAsia="微软雅黑"/>
          <w:b w:val="0"/>
          <w:sz w:val="21"/>
        </w:rPr>
        <w:t>指标：属性实体绑定、多单品绑定</w:t>
      </w:r>
    </w:p>
    <w:p w14:paraId="224F1243">
      <w:r>
        <w:rPr>
          <w:rFonts w:ascii="微软雅黑" w:hAnsi="微软雅黑" w:eastAsia="微软雅黑"/>
          <w:b w:val="0"/>
          <w:sz w:val="21"/>
        </w:rPr>
        <w:t>（两指标共用维度分）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37"/>
      </w:tblGrid>
      <w:tr w14:paraId="76033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34" w:type="dxa"/>
          </w:tcPr>
          <w:p w14:paraId="0E45B8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分数</w:t>
            </w:r>
          </w:p>
        </w:tc>
        <w:tc>
          <w:tcPr>
            <w:tcW w:w="7937" w:type="dxa"/>
          </w:tcPr>
          <w:p w14:paraId="38A965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标准</w:t>
            </w:r>
          </w:p>
        </w:tc>
      </w:tr>
      <w:tr w14:paraId="466B2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07438E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  <w:tc>
          <w:tcPr>
            <w:tcW w:w="7937" w:type="dxa"/>
          </w:tcPr>
          <w:p w14:paraId="0616AB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所有属性归属清晰准确，实体、部位、层次和左右关系稳定</w:t>
            </w:r>
          </w:p>
        </w:tc>
      </w:tr>
      <w:tr w14:paraId="55EB7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501A04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0.75</w:t>
            </w:r>
          </w:p>
        </w:tc>
        <w:tc>
          <w:tcPr>
            <w:tcW w:w="7937" w:type="dxa"/>
          </w:tcPr>
          <w:p w14:paraId="29ED60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基本准确，仅轻微模糊</w:t>
            </w:r>
          </w:p>
        </w:tc>
      </w:tr>
      <w:tr w14:paraId="1BBED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6513CA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w="7937" w:type="dxa"/>
          </w:tcPr>
          <w:p w14:paraId="54C482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存在不确定归属或局部串线风险</w:t>
            </w:r>
          </w:p>
        </w:tc>
      </w:tr>
      <w:tr w14:paraId="72333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799B94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0.25</w:t>
            </w:r>
          </w:p>
        </w:tc>
        <w:tc>
          <w:tcPr>
            <w:tcW w:w="7937" w:type="dxa"/>
          </w:tcPr>
          <w:p w14:paraId="43A032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多处属性可能错绑，需反复解析</w:t>
            </w:r>
          </w:p>
        </w:tc>
      </w:tr>
      <w:tr w14:paraId="2B406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25819B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0.0</w:t>
            </w:r>
          </w:p>
        </w:tc>
        <w:tc>
          <w:tcPr>
            <w:tcW w:w="7937" w:type="dxa"/>
          </w:tcPr>
          <w:p w14:paraId="355CC6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核心属性严重张冠李戴</w:t>
            </w:r>
          </w:p>
        </w:tc>
      </w:tr>
    </w:tbl>
    <w:p w14:paraId="70EB65E8"/>
    <w:p w14:paraId="24ACD98C">
      <w:pPr>
        <w:pStyle w:val="4"/>
      </w:pPr>
      <w:r>
        <w:rPr>
          <w:rFonts w:ascii="微软雅黑" w:hAnsi="微软雅黑" w:eastAsia="微软雅黑"/>
        </w:rPr>
        <w:t>语言清晰（×1.0）</w:t>
      </w:r>
    </w:p>
    <w:p w14:paraId="4E57476F">
      <w:r>
        <w:rPr>
          <w:rFonts w:ascii="微软雅黑" w:hAnsi="微软雅黑" w:eastAsia="微软雅黑"/>
          <w:b w:val="0"/>
          <w:sz w:val="21"/>
        </w:rPr>
        <w:t>指标：数量准确性、指代清晰度</w:t>
      </w:r>
    </w:p>
    <w:p w14:paraId="29F7353C">
      <w:r>
        <w:rPr>
          <w:rFonts w:ascii="微软雅黑" w:hAnsi="微软雅黑" w:eastAsia="微软雅黑"/>
          <w:b w:val="0"/>
          <w:sz w:val="21"/>
        </w:rPr>
        <w:t>（两指标共用维度分）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37"/>
      </w:tblGrid>
      <w:tr w14:paraId="57B73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078863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分数</w:t>
            </w:r>
          </w:p>
        </w:tc>
        <w:tc>
          <w:tcPr>
            <w:tcW w:w="7937" w:type="dxa"/>
          </w:tcPr>
          <w:p w14:paraId="55D6CB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标准</w:t>
            </w:r>
          </w:p>
        </w:tc>
      </w:tr>
      <w:tr w14:paraId="4300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2909D0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  <w:tc>
          <w:tcPr>
            <w:tcW w:w="7937" w:type="dxa"/>
          </w:tcPr>
          <w:p w14:paraId="367B83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数量、侧别、指代均清晰</w:t>
            </w:r>
          </w:p>
        </w:tc>
      </w:tr>
      <w:tr w14:paraId="0F22D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45C3B0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0.75</w:t>
            </w:r>
          </w:p>
        </w:tc>
        <w:tc>
          <w:tcPr>
            <w:tcW w:w="7937" w:type="dxa"/>
          </w:tcPr>
          <w:p w14:paraId="0404F4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整体清楚，仅少量轻微模糊</w:t>
            </w:r>
          </w:p>
        </w:tc>
      </w:tr>
      <w:tr w14:paraId="18416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AB938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w="7937" w:type="dxa"/>
          </w:tcPr>
          <w:p w14:paraId="4E24B4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数量/侧别/指代仍有明显阅读负担</w:t>
            </w:r>
          </w:p>
        </w:tc>
      </w:tr>
      <w:tr w14:paraId="43CBB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6AA1FE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0.25</w:t>
            </w:r>
          </w:p>
        </w:tc>
        <w:tc>
          <w:tcPr>
            <w:tcW w:w="7937" w:type="dxa"/>
          </w:tcPr>
          <w:p w14:paraId="342090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数量或指代需反复确认</w:t>
            </w:r>
          </w:p>
        </w:tc>
      </w:tr>
      <w:tr w14:paraId="0F5CA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45491C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0.0</w:t>
            </w:r>
          </w:p>
        </w:tc>
        <w:tc>
          <w:tcPr>
            <w:tcW w:w="7937" w:type="dxa"/>
          </w:tcPr>
          <w:p w14:paraId="084FD0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数量、侧别、指代严重混乱</w:t>
            </w:r>
          </w:p>
        </w:tc>
      </w:tr>
    </w:tbl>
    <w:p w14:paraId="73C73DC4"/>
    <w:p w14:paraId="3CB4D6E3">
      <w:pPr>
        <w:pStyle w:val="4"/>
      </w:pPr>
      <w:r>
        <w:rPr>
          <w:rFonts w:ascii="微软雅黑" w:hAnsi="微软雅黑" w:eastAsia="微软雅黑"/>
        </w:rPr>
        <w:t>结构清晰（×1.0）</w:t>
      </w:r>
    </w:p>
    <w:p w14:paraId="12AAD197">
      <w:r>
        <w:rPr>
          <w:rFonts w:ascii="微软雅黑" w:hAnsi="微软雅黑" w:eastAsia="微软雅黑"/>
          <w:b w:val="0"/>
          <w:sz w:val="21"/>
        </w:rPr>
        <w:t>指标：信息顺序、层级单品聚合</w:t>
      </w:r>
    </w:p>
    <w:p w14:paraId="21C8FCDD">
      <w:r>
        <w:rPr>
          <w:rFonts w:ascii="微软雅黑" w:hAnsi="微软雅黑" w:eastAsia="微软雅黑"/>
          <w:b/>
          <w:sz w:val="21"/>
        </w:rPr>
        <w:t>信息顺序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37"/>
      </w:tblGrid>
      <w:tr w14:paraId="0ADE2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717B2A7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分数</w:t>
            </w:r>
          </w:p>
        </w:tc>
        <w:tc>
          <w:tcPr>
            <w:tcW w:w="7937" w:type="dxa"/>
          </w:tcPr>
          <w:p w14:paraId="33A8CE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标准</w:t>
            </w:r>
          </w:p>
        </w:tc>
      </w:tr>
      <w:tr w14:paraId="496E7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3DC7D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  <w:tc>
          <w:tcPr>
            <w:tcW w:w="7937" w:type="dxa"/>
          </w:tcPr>
          <w:p w14:paraId="4DCF63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主干→廓形结构→材质颜色→配件，四段递进自然</w:t>
            </w:r>
          </w:p>
        </w:tc>
      </w:tr>
      <w:tr w14:paraId="2E039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0FCF20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0.75</w:t>
            </w:r>
          </w:p>
        </w:tc>
        <w:tc>
          <w:tcPr>
            <w:tcW w:w="7937" w:type="dxa"/>
          </w:tcPr>
          <w:p w14:paraId="0BA224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主线清楚，≤1 处局部逆序</w:t>
            </w:r>
          </w:p>
        </w:tc>
      </w:tr>
      <w:tr w14:paraId="53248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7102DC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w="7937" w:type="dxa"/>
          </w:tcPr>
          <w:p w14:paraId="6AAAC8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材质/配件与主体穿插，但尚可整理</w:t>
            </w:r>
          </w:p>
        </w:tc>
      </w:tr>
      <w:tr w14:paraId="49469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2909CD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0.25</w:t>
            </w:r>
          </w:p>
        </w:tc>
        <w:tc>
          <w:tcPr>
            <w:tcW w:w="7937" w:type="dxa"/>
          </w:tcPr>
          <w:p w14:paraId="68203F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配件/氛围明显先于主干</w:t>
            </w:r>
          </w:p>
        </w:tc>
      </w:tr>
      <w:tr w14:paraId="6088D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43DB9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0.0</w:t>
            </w:r>
          </w:p>
        </w:tc>
        <w:tc>
          <w:tcPr>
            <w:tcW w:w="7937" w:type="dxa"/>
          </w:tcPr>
          <w:p w14:paraId="75DDD0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无清晰主干递进</w:t>
            </w:r>
          </w:p>
        </w:tc>
      </w:tr>
    </w:tbl>
    <w:p w14:paraId="09CC3590"/>
    <w:p w14:paraId="64483D74">
      <w:r>
        <w:rPr>
          <w:rFonts w:ascii="微软雅黑" w:hAnsi="微软雅黑" w:eastAsia="微软雅黑"/>
          <w:b/>
          <w:sz w:val="21"/>
        </w:rPr>
        <w:t>层级单品聚合（多单品时）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37"/>
      </w:tblGrid>
      <w:tr w14:paraId="77E80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439306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分数</w:t>
            </w:r>
          </w:p>
        </w:tc>
        <w:tc>
          <w:tcPr>
            <w:tcW w:w="7937" w:type="dxa"/>
          </w:tcPr>
          <w:p w14:paraId="409180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标准</w:t>
            </w:r>
          </w:p>
        </w:tc>
      </w:tr>
      <w:tr w14:paraId="33BA5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46CD0C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1.0</w:t>
            </w:r>
          </w:p>
        </w:tc>
        <w:tc>
          <w:tcPr>
            <w:tcW w:w="7937" w:type="dxa"/>
          </w:tcPr>
          <w:p w14:paraId="2F28AC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按单品或层次分块/连贯分述，无跨件穿插</w:t>
            </w:r>
          </w:p>
        </w:tc>
      </w:tr>
      <w:tr w14:paraId="61747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24C7BC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0.75</w:t>
            </w:r>
          </w:p>
        </w:tc>
        <w:tc>
          <w:tcPr>
            <w:tcW w:w="7937" w:type="dxa"/>
          </w:tcPr>
          <w:p w14:paraId="0FDC08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整体按件可分，仅少量属性轻微交叉</w:t>
            </w:r>
          </w:p>
        </w:tc>
      </w:tr>
      <w:tr w14:paraId="23191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49D022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w="7937" w:type="dxa"/>
          </w:tcPr>
          <w:p w14:paraId="5711C7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2–3 处跨件穿插，读者需来回对照</w:t>
            </w:r>
          </w:p>
        </w:tc>
      </w:tr>
      <w:tr w14:paraId="04D96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677245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0.25</w:t>
            </w:r>
          </w:p>
        </w:tc>
        <w:tc>
          <w:tcPr>
            <w:tcW w:w="7937" w:type="dxa"/>
          </w:tcPr>
          <w:p w14:paraId="383C02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多单品属性频繁交错</w:t>
            </w:r>
          </w:p>
        </w:tc>
      </w:tr>
      <w:tr w14:paraId="0DE73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1B208E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0.0</w:t>
            </w:r>
          </w:p>
        </w:tc>
        <w:tc>
          <w:tcPr>
            <w:tcW w:w="7937" w:type="dxa"/>
          </w:tcPr>
          <w:p w14:paraId="614F41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无法判断属性归属哪一件/哪一层</w:t>
            </w:r>
          </w:p>
        </w:tc>
      </w:tr>
    </w:tbl>
    <w:p w14:paraId="421253D1"/>
    <w:p w14:paraId="5F83BC2C">
      <w:pPr>
        <w:pStyle w:val="4"/>
      </w:pPr>
      <w:r>
        <w:rPr>
          <w:rFonts w:ascii="微软雅黑" w:hAnsi="微软雅黑" w:eastAsia="微软雅黑"/>
        </w:rPr>
        <w:t>上限规则与综合计分</w:t>
      </w:r>
    </w:p>
    <w:p w14:paraId="51FE737A">
      <w:pPr>
        <w:pStyle w:val="16"/>
      </w:pPr>
      <w:r>
        <w:rPr>
          <w:rFonts w:ascii="微软雅黑" w:hAnsi="微软雅黑" w:eastAsia="微软雅黑"/>
          <w:sz w:val="21"/>
        </w:rPr>
        <w:t>属性绑定模块分 &lt; 0.5 时，质量轴得分最高只能到 0.6</w:t>
      </w:r>
    </w:p>
    <w:p w14:paraId="6CD0CE7C">
      <w:pPr>
        <w:pStyle w:val="16"/>
      </w:pPr>
      <w:r>
        <w:rPr>
          <w:rFonts w:ascii="微软雅黑" w:hAnsi="微软雅黑" w:eastAsia="微软雅黑"/>
          <w:sz w:val="21"/>
        </w:rPr>
        <w:t>Q_w = Σ(模块权重 × 模块分) / Σ(模块权重)</w:t>
      </w:r>
    </w:p>
    <w:p w14:paraId="42BE4F11">
      <w:pPr>
        <w:pStyle w:val="16"/>
      </w:pPr>
      <w:r>
        <w:rPr>
          <w:rFonts w:ascii="微软雅黑" w:hAnsi="微软雅黑" w:eastAsia="微软雅黑"/>
          <w:sz w:val="21"/>
        </w:rPr>
        <w:t>Q = min(Q_w, cap_q)；默认 cap_q = 1.0，属性绑定 &lt; 0.5 时 cap_q = 0.6</w:t>
      </w:r>
    </w:p>
    <w:p w14:paraId="009FB763">
      <w:pPr>
        <w:pStyle w:val="16"/>
      </w:pPr>
      <w:r>
        <w:rPr>
          <w:rFonts w:ascii="微软雅黑" w:hAnsi="微软雅黑" w:eastAsia="微软雅黑"/>
          <w:sz w:val="21"/>
        </w:rPr>
        <w:t>内容主分：s_fp_base = 0.2 × C + 0.8 × Q（C 为覆盖轴得分，Q 为质量有效分）</w:t>
      </w:r>
    </w:p>
    <w:p w14:paraId="3FAC7A05">
      <w:r>
        <w:br w:type="page"/>
      </w:r>
    </w:p>
    <w:p w14:paraId="23F0F8BD">
      <w:pPr>
        <w:pStyle w:val="3"/>
      </w:pPr>
      <w:r>
        <w:rPr>
          <w:rFonts w:ascii="微软雅黑" w:hAnsi="微软雅黑" w:eastAsia="微软雅黑"/>
        </w:rPr>
        <w:t>四、S_fp 长度去相关</w:t>
      </w:r>
    </w:p>
    <w:p w14:paraId="3DC66B05">
      <w:r>
        <w:rPr>
          <w:rFonts w:ascii="微软雅黑" w:hAnsi="微软雅黑" w:eastAsia="微软雅黑"/>
          <w:b/>
          <w:sz w:val="21"/>
        </w:rPr>
        <w:t>第 1 行：把字符数换成对数长度</w:t>
      </w:r>
    </w:p>
    <w:p w14:paraId="6B00CF43">
      <w:pPr>
        <w:ind w:left="283"/>
      </w:pPr>
      <w:r>
        <w:rPr>
          <w:rFonts w:ascii="Consolas" w:hAnsi="Consolas"/>
          <w:sz w:val="21"/>
        </w:rPr>
        <w:t>x = ln(1 + L)</w:t>
      </w:r>
    </w:p>
    <w:p w14:paraId="3E3B8787">
      <w:r>
        <w:rPr>
          <w:rFonts w:ascii="微软雅黑" w:hAnsi="微软雅黑" w:eastAsia="微软雅黑"/>
          <w:b w:val="0"/>
          <w:sz w:val="21"/>
        </w:rPr>
        <w:t>对字符数取 ln(1+L)，使篇幅越长、每多写几百字对分数的边际影响越小，避免用 raw 字数线性比较。</w:t>
      </w:r>
    </w:p>
    <w:p w14:paraId="554799A7">
      <w:r>
        <w:rPr>
          <w:rFonts w:ascii="微软雅黑" w:hAnsi="微软雅黑" w:eastAsia="微软雅黑"/>
          <w:b/>
          <w:sz w:val="21"/>
        </w:rPr>
        <w:t>第 2 行：确定基准长度（典型长度）</w:t>
      </w:r>
    </w:p>
    <w:p w14:paraId="2CFB4377">
      <w:pPr>
        <w:ind w:left="283"/>
      </w:pPr>
      <w:r>
        <w:rPr>
          <w:rFonts w:ascii="Consolas" w:hAnsi="Consolas"/>
          <w:sz w:val="21"/>
        </w:rPr>
        <w:t>x_0 = log_len_center</w:t>
      </w:r>
    </w:p>
    <w:p w14:paraId="1A85AAB1">
      <w:pPr>
        <w:ind w:left="283"/>
      </w:pPr>
      <w:r>
        <w:rPr>
          <w:rFonts w:ascii="Consolas" w:hAnsi="Consolas"/>
          <w:sz w:val="21"/>
        </w:rPr>
        <w:t>L_ref = exp(x_0) - 1</w:t>
      </w:r>
    </w:p>
    <w:p w14:paraId="03714A22">
      <w:r>
        <w:rPr>
          <w:rFonts w:ascii="微软雅黑" w:hAnsi="微软雅黑" w:eastAsia="微软雅黑"/>
          <w:b w:val="0"/>
          <w:sz w:val="21"/>
        </w:rPr>
        <w:t>x_0 是留出集上的典型对数长度，当 L = L_ref 时长度校正量为 0，S_fp 等于 s_fp_base。</w:t>
      </w:r>
    </w:p>
    <w:p w14:paraId="092E2F72">
      <w:r>
        <w:rPr>
          <w:rFonts w:ascii="微软雅黑" w:hAnsi="微软雅黑" w:eastAsia="微软雅黑"/>
          <w:b/>
          <w:sz w:val="21"/>
        </w:rPr>
        <w:t>第 3 行：计算长度校正量</w:t>
      </w:r>
    </w:p>
    <w:p w14:paraId="624DFA65">
      <w:pPr>
        <w:ind w:left="283"/>
      </w:pPr>
      <w:r>
        <w:rPr>
          <w:rFonts w:ascii="Consolas" w:hAnsi="Consolas"/>
          <w:sz w:val="21"/>
        </w:rPr>
        <w:t>Δ_len = a · (x - x_0)</w:t>
      </w:r>
    </w:p>
    <w:p w14:paraId="189F4DCF">
      <w:r>
        <w:rPr>
          <w:rFonts w:ascii="微软雅黑" w:hAnsi="微软雅黑" w:eastAsia="微软雅黑"/>
          <w:b w:val="0"/>
          <w:sz w:val="21"/>
        </w:rPr>
        <w:t>a为斜率：比基准更长则 Δ_len &gt; 0 待扣分，更短则 Δ_len &lt; 0 略加分，接近基准则 Δ_len ≈ 0 不校正，整体只做微调。</w:t>
      </w:r>
    </w:p>
    <w:p w14:paraId="41E956C2">
      <w:r>
        <w:rPr>
          <w:rFonts w:ascii="微软雅黑" w:hAnsi="微软雅黑" w:eastAsia="微软雅黑"/>
          <w:b/>
          <w:sz w:val="21"/>
        </w:rPr>
        <w:t>第 4 行：从内容主分中减去校正量</w:t>
      </w:r>
      <w:bookmarkStart w:id="0" w:name="_GoBack"/>
      <w:bookmarkEnd w:id="0"/>
    </w:p>
    <w:p w14:paraId="342D66CB">
      <w:pPr>
        <w:ind w:left="283"/>
      </w:pPr>
      <w:r>
        <w:rPr>
          <w:rFonts w:ascii="Consolas" w:hAnsi="Consolas"/>
          <w:sz w:val="21"/>
        </w:rPr>
        <w:t>S_fp = clip(s_fp_base - Δ_len, 0, 1)</w:t>
      </w:r>
    </w:p>
    <w:p w14:paraId="3406682F">
      <w:pPr>
        <w:rPr>
          <w:rFonts w:hint="default" w:ascii="微软雅黑" w:hAnsi="微软雅黑" w:eastAsia="微软雅黑"/>
          <w:b w:val="0"/>
          <w:sz w:val="21"/>
          <w:lang w:val="en-US" w:eastAsia="zh-CN"/>
        </w:rPr>
      </w:pPr>
      <w:r>
        <w:rPr>
          <w:rFonts w:ascii="微软雅黑" w:hAnsi="微软雅黑" w:eastAsia="微软雅黑"/>
          <w:b w:val="0"/>
          <w:sz w:val="21"/>
        </w:rPr>
        <w:t>从 s_fp_base 减去 Δ_len 得到最终 S_fp，并截断到 0~1。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优化方向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br w:type="textWrapping"/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1、</w:t>
      </w:r>
      <w:r>
        <w:rPr>
          <w:rFonts w:ascii="微软雅黑" w:hAnsi="微软雅黑" w:eastAsia="微软雅黑"/>
          <w:b w:val="0"/>
          <w:sz w:val="21"/>
        </w:rPr>
        <w:t>超长用「加速惩罚」，短精用「线性奖励」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,避免得分矫正不明显的情况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br w:type="textWrapping"/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2、长度的影响也进行加权合并 而不是线性加减导致触发clip上下限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br w:type="textWrapping"/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3、改为乘法矫正，不使用线性加减矫正S_fp = clip( s_fp_base × f(L), 0, 1 )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411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581</Words>
  <Characters>623</Characters>
  <Lines>0</Lines>
  <Paragraphs>0</Paragraphs>
  <TotalTime>12</TotalTime>
  <ScaleCrop>false</ScaleCrop>
  <LinksUpToDate>false</LinksUpToDate>
  <CharactersWithSpaces>654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梁世豪</cp:lastModifiedBy>
  <dcterms:modified xsi:type="dcterms:W3CDTF">2026-08-02T13:58:15Z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eyJoZGlkIjoiODI3M2ZjMWRiNjIyZjlhYWU2YzQ0MjI3MTQ4Y2UwNDUiLCJ1c2VySWQiOiIxMTMyNjkxNTcwIn0=</vt:lpwstr>
  </property>
  <property fmtid="{D5CDD505-2E9C-101B-9397-08002B2CF9AE}" pid="3" name="KSOProductBuildVer">
    <vt:lpwstr>2052-12.1.0.24657</vt:lpwstr>
  </property>
  <property fmtid="{D5CDD505-2E9C-101B-9397-08002B2CF9AE}" pid="4" name="ICV">
    <vt:lpwstr>535738EED43346D2A62FA8534630B45A_12</vt:lpwstr>
  </property>
</Properties>
</file>