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before="2400"/>
      </w:pPr>
      <w:r>
        <w:t xml:space="preserve">Informe — Viajes Aventura</w:t>
      </w:r>
    </w:p>
    <w:p>
      <w:pPr>
        <w:spacing w:after="480"/>
      </w:pPr>
      <w:r>
        <w:rPr>
          <w:i/>
          <w:iCs/>
          <w:sz w:val="26"/>
          <w:szCs w:val="26"/>
        </w:rPr>
        <w:t xml:space="preserve">Sistema de gestión para una agencia de viajes</w:t>
      </w:r>
    </w:p>
    <w:p>
      <w:pPr>
        <w:spacing w:after="160"/>
      </w:pPr>
      <w:r>
        <w:t xml:space="preserve">Asignatura: TI3V21 Programación Orientada a Objeto Seguro — Unidad 4</w:t>
      </w:r>
    </w:p>
    <w:p>
      <w:pPr>
        <w:spacing w:after="160"/>
      </w:pPr>
      <w:r>
        <w:t xml:space="preserve">Institución: INACAP Valparaíso</w:t>
      </w:r>
    </w:p>
    <w:p>
      <w:pPr>
        <w:spacing w:after="160"/>
      </w:pPr>
      <w:r>
        <w:t xml:space="preserve">Profesor: Rubén Schnettler</w:t>
      </w:r>
    </w:p>
    <w:p>
      <w:pPr>
        <w:spacing w:after="160"/>
      </w:pPr>
      <w:r>
        <w:t xml:space="preserve">Autor: Logan Silva Jara</w:t>
      </w:r>
    </w:p>
    <w:p>
      <w:pPr>
        <w:spacing w:after="160"/>
      </w:pPr>
      <w:r>
        <w:t xml:space="preserve">Fecha: 24 de septiembre de 2026</w:t>
      </w:r>
    </w:p>
    <w:p>
      <w:pPr>
        <w:pBdr>
          <w:left w:val="single" w:color="999999" w:sz="12" w:space="8"/>
        </w:pBdr>
        <w:spacing w:after="160"/>
      </w:pPr>
      <w:r>
        <w:rPr>
          <w:i/>
          <w:iCs/>
          <w:color w:val="555555"/>
        </w:rPr>
        <w:t xml:space="preserve">Documento en construcción, armado a partir de README.md y VALIDACION_IA.md del repositorio del proyecto. La estructura de capítulos es provisional: falta ajustarla según la guía oficial de evaluación del profesor, que define los entregables y condiciones de entrega y todavía no se ha revisado.</w:t>
      </w:r>
    </w:p>
    <w:p>
      <w:r>
        <w:br w:type="page"/>
      </w:r>
    </w:p>
    <w:p>
      <w:pPr>
        <w:pStyle w:val="Heading1"/>
      </w:pPr>
      <w:r>
        <w:t xml:space="preserve">Contenido</w:t>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1. El negocio</w:t>
      </w:r>
    </w:p>
    <w:p>
      <w:pPr>
        <w:spacing w:after="160"/>
      </w:pPr>
      <w:r>
        <w:t xml:space="preserve">Viajes Aventura es una agencia creada hace dos años por tres socios en Valparaíso (oficina en calle Esmeralda): Paulina Ovalle (catálogo y paquetes), Matías Bórquez (atención y reservas) e Ignacio Salas (administración y datos). No revenden paquetes de terceros: arman los suyos combinando destinos que ellos mismos han recorrido.</w:t>
      </w:r>
    </w:p>
    <w:p>
      <w:pPr>
        <w:spacing w:after="160"/>
      </w:pPr>
      <w:r>
        <w:t xml:space="preserve">El ingreso proviene de la venta de paquetes a personas naturales, pagados por transferencia. El costo principal son los servicios contratados en cada destino (transporte, alojamiento, guías). Hoy no existe ningún sistema: todo vive en una planilla de cálculo, un cuaderno de reservas y conversaciones de mensajería.</w:t>
      </w:r>
    </w:p>
    <w:p>
      <w:pPr>
        <w:spacing w:after="160"/>
      </w:pPr>
      <w:r>
        <w:t xml:space="preserve">Cifras de la última temporada: 18 destinos en catálogo (4 ya no se operan), entre 8 y 12 paquetes publicados por temporada, 214 reservas, 19 duplicadas al cierre, 6 aceptadas sobre el cupo del paquete, 3 sobre paquetes con fecha de salida vencida, 4 paquetes publicados con un precio distinto del cobrado, y 31 consultas de clientes resueltas revisando el cuaderno a mano.</w:t>
      </w:r>
    </w:p>
    <w:p>
      <w:pPr>
        <w:pStyle w:val="Heading1"/>
        <w:spacing w:after="160" w:before="360"/>
      </w:pPr>
      <w:r>
        <w:t xml:space="preserve">2. Cómo trabajan hoy (el problema)</w:t>
      </w:r>
    </w:p>
    <w:p>
      <w:pPr>
        <w:spacing w:after="160"/>
      </w:pPr>
      <w:r>
        <w:t xml:space="preserve">Catálogo de destinos: planilla compartida editada por los tres socios, con destinos repetidos, destinos que ya no se operan pero siguen apareciendo, y costos desactualizados.</w:t>
      </w:r>
    </w:p>
    <w:p>
      <w:pPr>
        <w:spacing w:after="160"/>
      </w:pPr>
      <w:r>
        <w:t xml:space="preserve">Armado de paquetes: se suman costos a mano en otra hoja; si se corrige el costo de un destino, los paquetes ya vendidos cambian de precio en la planilla, aunque el cliente haya pagado otro valor.</w:t>
      </w:r>
    </w:p>
    <w:p>
      <w:pPr>
        <w:spacing w:after="160"/>
      </w:pPr>
      <w:r>
        <w:t xml:space="preserve">Reservas: se anotan en un cuaderno y se confirman por mensajería; no hay forma confiable de saber cuántas personas han viajado con la agencia.</w:t>
      </w:r>
    </w:p>
    <w:p>
      <w:pPr>
        <w:spacing w:after="160"/>
      </w:pPr>
      <w:r>
        <w:t xml:space="preserve">Cupos: se llevan de cabeza y en el cuaderno; ya se vendieron más lugares que el cupo real de un paquete.</w:t>
      </w:r>
    </w:p>
    <w:p>
      <w:pPr>
        <w:spacing w:after="160"/>
      </w:pPr>
      <w:r>
        <w:t xml:space="preserve">Fechas: se ha vendido un paquete cuya fecha de salida ya había pasado, porque en la planilla se veía disponible.</w:t>
      </w:r>
    </w:p>
    <w:p>
      <w:pPr>
        <w:pStyle w:val="Heading1"/>
        <w:spacing w:after="160" w:before="360"/>
      </w:pPr>
      <w:r>
        <w:t xml:space="preserve">3. Reglas de negocio confirmadas</w:t>
      </w:r>
    </w:p>
    <w:p>
      <w:pPr>
        <w:spacing w:after="160"/>
      </w:pPr>
      <w:r>
        <w:t xml:space="preserve">Confirmadas por los socios; son reglas de operación, no requerimientos — la traducción a requerimientos del sistema es parte del trabajo evaluado.</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700"/>
        <w:gridCol w:w="8560"/>
      </w:tblGrid>
      <w:tr>
        <w:tc>
          <w:tcPr>
            <w:tcW w:type="dxa" w:w="700"/>
            <w:shd w:fill="F2F2F2" w:val="clear"/>
            <w:tcMar>
              <w:top w:type="dxa" w:w="80"/>
              <w:left w:type="dxa" w:w="100"/>
              <w:bottom w:type="dxa" w:w="80"/>
              <w:right w:type="dxa" w:w="100"/>
            </w:tcMar>
          </w:tcPr>
          <w:p>
            <w:r>
              <w:rPr>
                <w:b/>
                <w:bCs/>
              </w:rPr>
              <w:t xml:space="preserve">#</w:t>
            </w:r>
          </w:p>
        </w:tc>
        <w:tc>
          <w:tcPr>
            <w:tcW w:type="dxa" w:w="8560"/>
            <w:shd w:fill="F2F2F2" w:val="clear"/>
            <w:tcMar>
              <w:top w:type="dxa" w:w="80"/>
              <w:left w:type="dxa" w:w="100"/>
              <w:bottom w:type="dxa" w:w="80"/>
              <w:right w:type="dxa" w:w="100"/>
            </w:tcMar>
          </w:tcPr>
          <w:p>
            <w:r>
              <w:rPr>
                <w:b/>
                <w:bCs/>
              </w:rPr>
              <w:t xml:space="preserve">Regla</w:t>
            </w:r>
          </w:p>
        </w:tc>
      </w:tr>
      <w:tr>
        <w:tc>
          <w:tcPr>
            <w:tcW w:type="dxa" w:w="700"/>
            <w:tcMar>
              <w:top w:type="dxa" w:w="80"/>
              <w:left w:type="dxa" w:w="100"/>
              <w:bottom w:type="dxa" w:w="80"/>
              <w:right w:type="dxa" w:w="100"/>
            </w:tcMar>
          </w:tcPr>
          <w:p>
            <w:r>
              <w:rPr>
                <w:b w:val="false"/>
                <w:bCs w:val="false"/>
              </w:rPr>
              <w:t xml:space="preserve">R1</w:t>
            </w:r>
          </w:p>
        </w:tc>
        <w:tc>
          <w:tcPr>
            <w:tcW w:type="dxa" w:w="8560"/>
            <w:tcMar>
              <w:top w:type="dxa" w:w="80"/>
              <w:left w:type="dxa" w:w="100"/>
              <w:bottom w:type="dxa" w:w="80"/>
              <w:right w:type="dxa" w:w="100"/>
            </w:tcMar>
          </w:tcPr>
          <w:p>
            <w:r>
              <w:rPr>
                <w:b w:val="false"/>
                <w:bCs w:val="false"/>
              </w:rPr>
              <w:t xml:space="preserve">Un destino tiene nombre, zona, descripción, duración en días y costo base por persona. El nombre no se repite en el catálogo.</w:t>
            </w:r>
          </w:p>
        </w:tc>
      </w:tr>
      <w:tr>
        <w:tc>
          <w:tcPr>
            <w:tcW w:type="dxa" w:w="700"/>
            <w:tcMar>
              <w:top w:type="dxa" w:w="80"/>
              <w:left w:type="dxa" w:w="100"/>
              <w:bottom w:type="dxa" w:w="80"/>
              <w:right w:type="dxa" w:w="100"/>
            </w:tcMar>
          </w:tcPr>
          <w:p>
            <w:r>
              <w:rPr>
                <w:b w:val="false"/>
                <w:bCs w:val="false"/>
              </w:rPr>
              <w:t xml:space="preserve">R2</w:t>
            </w:r>
          </w:p>
        </w:tc>
        <w:tc>
          <w:tcPr>
            <w:tcW w:type="dxa" w:w="8560"/>
            <w:tcMar>
              <w:top w:type="dxa" w:w="80"/>
              <w:left w:type="dxa" w:w="100"/>
              <w:bottom w:type="dxa" w:w="80"/>
              <w:right w:type="dxa" w:w="100"/>
            </w:tcMar>
          </w:tcPr>
          <w:p>
            <w:r>
              <w:rPr>
                <w:b w:val="false"/>
                <w:bCs w:val="false"/>
              </w:rPr>
              <w:t xml:space="preserve">El costo base de un destino es siempre mayor que cero.</w:t>
            </w:r>
          </w:p>
        </w:tc>
      </w:tr>
      <w:tr>
        <w:tc>
          <w:tcPr>
            <w:tcW w:type="dxa" w:w="700"/>
            <w:tcMar>
              <w:top w:type="dxa" w:w="80"/>
              <w:left w:type="dxa" w:w="100"/>
              <w:bottom w:type="dxa" w:w="80"/>
              <w:right w:type="dxa" w:w="100"/>
            </w:tcMar>
          </w:tcPr>
          <w:p>
            <w:r>
              <w:rPr>
                <w:b w:val="false"/>
                <w:bCs w:val="false"/>
              </w:rPr>
              <w:t xml:space="preserve">R3</w:t>
            </w:r>
          </w:p>
        </w:tc>
        <w:tc>
          <w:tcPr>
            <w:tcW w:type="dxa" w:w="8560"/>
            <w:tcMar>
              <w:top w:type="dxa" w:w="80"/>
              <w:left w:type="dxa" w:w="100"/>
              <w:bottom w:type="dxa" w:w="80"/>
              <w:right w:type="dxa" w:w="100"/>
            </w:tcMar>
          </w:tcPr>
          <w:p>
            <w:r>
              <w:rPr>
                <w:b w:val="false"/>
                <w:bCs w:val="false"/>
              </w:rPr>
              <w:t xml:space="preserve">Un paquete combina entre dos y cinco destinos, y ningún destino se repite dentro del mismo paquete.</w:t>
            </w:r>
          </w:p>
        </w:tc>
      </w:tr>
      <w:tr>
        <w:tc>
          <w:tcPr>
            <w:tcW w:type="dxa" w:w="700"/>
            <w:tcMar>
              <w:top w:type="dxa" w:w="80"/>
              <w:left w:type="dxa" w:w="100"/>
              <w:bottom w:type="dxa" w:w="80"/>
              <w:right w:type="dxa" w:w="100"/>
            </w:tcMar>
          </w:tcPr>
          <w:p>
            <w:r>
              <w:rPr>
                <w:b w:val="false"/>
                <w:bCs w:val="false"/>
              </w:rPr>
              <w:t xml:space="preserve">R4</w:t>
            </w:r>
          </w:p>
        </w:tc>
        <w:tc>
          <w:tcPr>
            <w:tcW w:type="dxa" w:w="8560"/>
            <w:tcMar>
              <w:top w:type="dxa" w:w="80"/>
              <w:left w:type="dxa" w:w="100"/>
              <w:bottom w:type="dxa" w:w="80"/>
              <w:right w:type="dxa" w:w="100"/>
            </w:tcMar>
          </w:tcPr>
          <w:p>
            <w:r>
              <w:rPr>
                <w:b w:val="false"/>
                <w:bCs w:val="false"/>
              </w:rPr>
              <w:t xml:space="preserve">Un mismo destino puede formar parte de varios paquetes al mismo tiempo.</w:t>
            </w:r>
          </w:p>
        </w:tc>
      </w:tr>
      <w:tr>
        <w:tc>
          <w:tcPr>
            <w:tcW w:type="dxa" w:w="700"/>
            <w:tcMar>
              <w:top w:type="dxa" w:w="80"/>
              <w:left w:type="dxa" w:w="100"/>
              <w:bottom w:type="dxa" w:w="80"/>
              <w:right w:type="dxa" w:w="100"/>
            </w:tcMar>
          </w:tcPr>
          <w:p>
            <w:r>
              <w:rPr>
                <w:b w:val="false"/>
                <w:bCs w:val="false"/>
              </w:rPr>
              <w:t xml:space="preserve">R5</w:t>
            </w:r>
          </w:p>
        </w:tc>
        <w:tc>
          <w:tcPr>
            <w:tcW w:type="dxa" w:w="8560"/>
            <w:tcMar>
              <w:top w:type="dxa" w:w="80"/>
              <w:left w:type="dxa" w:w="100"/>
              <w:bottom w:type="dxa" w:w="80"/>
              <w:right w:type="dxa" w:w="100"/>
            </w:tcMar>
          </w:tcPr>
          <w:p>
            <w:r>
              <w:rPr>
                <w:b w:val="false"/>
                <w:bCs w:val="false"/>
              </w:rPr>
              <w:t xml:space="preserve">Un paquete tiene nombre, fecha de salida, fecha de regreso y cupo máximo de personas. La fecha de regreso es posterior a la de salida y el cupo es mayor que cero.</w:t>
            </w:r>
          </w:p>
        </w:tc>
      </w:tr>
      <w:tr>
        <w:tc>
          <w:tcPr>
            <w:tcW w:type="dxa" w:w="700"/>
            <w:tcMar>
              <w:top w:type="dxa" w:w="80"/>
              <w:left w:type="dxa" w:w="100"/>
              <w:bottom w:type="dxa" w:w="80"/>
              <w:right w:type="dxa" w:w="100"/>
            </w:tcMar>
          </w:tcPr>
          <w:p>
            <w:r>
              <w:rPr>
                <w:b w:val="false"/>
                <w:bCs w:val="false"/>
              </w:rPr>
              <w:t xml:space="preserve">R6</w:t>
            </w:r>
          </w:p>
        </w:tc>
        <w:tc>
          <w:tcPr>
            <w:tcW w:type="dxa" w:w="8560"/>
            <w:tcMar>
              <w:top w:type="dxa" w:w="80"/>
              <w:left w:type="dxa" w:w="100"/>
              <w:bottom w:type="dxa" w:w="80"/>
              <w:right w:type="dxa" w:w="100"/>
            </w:tcMar>
          </w:tcPr>
          <w:p>
            <w:r>
              <w:rPr>
                <w:b w:val="false"/>
                <w:bCs w:val="false"/>
              </w:rPr>
              <w:t xml:space="preserve">Al crear un paquete, el administrador define sus fechas y su margen de operación (habitualmente 20 %, nunca negativo). El sistema calcula el precio por persona como la suma de los costos base de los destinos incluidos, más ese margen.</w:t>
            </w:r>
          </w:p>
        </w:tc>
      </w:tr>
      <w:tr>
        <w:tc>
          <w:tcPr>
            <w:tcW w:type="dxa" w:w="700"/>
            <w:tcMar>
              <w:top w:type="dxa" w:w="80"/>
              <w:left w:type="dxa" w:w="100"/>
              <w:bottom w:type="dxa" w:w="80"/>
              <w:right w:type="dxa" w:w="100"/>
            </w:tcMar>
          </w:tcPr>
          <w:p>
            <w:r>
              <w:rPr>
                <w:b w:val="false"/>
                <w:bCs w:val="false"/>
              </w:rPr>
              <w:t xml:space="preserve">R7</w:t>
            </w:r>
          </w:p>
        </w:tc>
        <w:tc>
          <w:tcPr>
            <w:tcW w:type="dxa" w:w="8560"/>
            <w:tcMar>
              <w:top w:type="dxa" w:w="80"/>
              <w:left w:type="dxa" w:w="100"/>
              <w:bottom w:type="dxa" w:w="80"/>
              <w:right w:type="dxa" w:w="100"/>
            </w:tcMar>
          </w:tcPr>
          <w:p>
            <w:r>
              <w:rPr>
                <w:b w:val="false"/>
                <w:bCs w:val="false"/>
              </w:rPr>
              <w:t xml:space="preserve">El precio queda fijado cuando el paquete se publica. Si después cambia el costo de un destino, los paquetes ya publicados conservan su precio.</w:t>
            </w:r>
          </w:p>
        </w:tc>
      </w:tr>
      <w:tr>
        <w:tc>
          <w:tcPr>
            <w:tcW w:type="dxa" w:w="700"/>
            <w:tcMar>
              <w:top w:type="dxa" w:w="80"/>
              <w:left w:type="dxa" w:w="100"/>
              <w:bottom w:type="dxa" w:w="80"/>
              <w:right w:type="dxa" w:w="100"/>
            </w:tcMar>
          </w:tcPr>
          <w:p>
            <w:r>
              <w:rPr>
                <w:b w:val="false"/>
                <w:bCs w:val="false"/>
              </w:rPr>
              <w:t xml:space="preserve">R8</w:t>
            </w:r>
          </w:p>
        </w:tc>
        <w:tc>
          <w:tcPr>
            <w:tcW w:type="dxa" w:w="8560"/>
            <w:tcMar>
              <w:top w:type="dxa" w:w="80"/>
              <w:left w:type="dxa" w:w="100"/>
              <w:bottom w:type="dxa" w:w="80"/>
              <w:right w:type="dxa" w:w="100"/>
            </w:tcMar>
          </w:tcPr>
          <w:p>
            <w:r>
              <w:rPr>
                <w:b w:val="false"/>
                <w:bCs w:val="false"/>
              </w:rPr>
              <w:t xml:space="preserve">Un destino que no forma parte de ningún paquete se elimina del catálogo. Si forma parte de alguno, no se elimina: se marca como no disponible y deja de ofrecerse para paquetes nuevos, conservando su contenido en los ya vendidos.</w:t>
            </w:r>
          </w:p>
        </w:tc>
      </w:tr>
      <w:tr>
        <w:tc>
          <w:tcPr>
            <w:tcW w:type="dxa" w:w="700"/>
            <w:tcMar>
              <w:top w:type="dxa" w:w="80"/>
              <w:left w:type="dxa" w:w="100"/>
              <w:bottom w:type="dxa" w:w="80"/>
              <w:right w:type="dxa" w:w="100"/>
            </w:tcMar>
          </w:tcPr>
          <w:p>
            <w:r>
              <w:rPr>
                <w:b w:val="false"/>
                <w:bCs w:val="false"/>
              </w:rPr>
              <w:t xml:space="preserve">R9</w:t>
            </w:r>
          </w:p>
        </w:tc>
        <w:tc>
          <w:tcPr>
            <w:tcW w:type="dxa" w:w="8560"/>
            <w:tcMar>
              <w:top w:type="dxa" w:w="80"/>
              <w:left w:type="dxa" w:w="100"/>
              <w:bottom w:type="dxa" w:w="80"/>
              <w:right w:type="dxa" w:w="100"/>
            </w:tcMar>
          </w:tcPr>
          <w:p>
            <w:r>
              <w:rPr>
                <w:b w:val="false"/>
                <w:bCs w:val="false"/>
              </w:rPr>
              <w:t xml:space="preserve">Un cliente se registra con nombre, RUT, correo electrónico, teléfono y contraseña. El correo identifica al cliente y no se repite.</w:t>
            </w:r>
          </w:p>
        </w:tc>
      </w:tr>
      <w:tr>
        <w:tc>
          <w:tcPr>
            <w:tcW w:type="dxa" w:w="700"/>
            <w:tcMar>
              <w:top w:type="dxa" w:w="80"/>
              <w:left w:type="dxa" w:w="100"/>
              <w:bottom w:type="dxa" w:w="80"/>
              <w:right w:type="dxa" w:w="100"/>
            </w:tcMar>
          </w:tcPr>
          <w:p>
            <w:r>
              <w:rPr>
                <w:b w:val="false"/>
                <w:bCs w:val="false"/>
              </w:rPr>
              <w:t xml:space="preserve">R10</w:t>
            </w:r>
          </w:p>
        </w:tc>
        <w:tc>
          <w:tcPr>
            <w:tcW w:type="dxa" w:w="8560"/>
            <w:tcMar>
              <w:top w:type="dxa" w:w="80"/>
              <w:left w:type="dxa" w:w="100"/>
              <w:bottom w:type="dxa" w:w="80"/>
              <w:right w:type="dxa" w:w="100"/>
            </w:tcMar>
          </w:tcPr>
          <w:p>
            <w:r>
              <w:rPr>
                <w:b w:val="false"/>
                <w:bCs w:val="false"/>
              </w:rPr>
              <w:t xml:space="preserve">La contraseña nunca se almacena tal como el cliente la escribió.</w:t>
            </w:r>
          </w:p>
        </w:tc>
      </w:tr>
      <w:tr>
        <w:tc>
          <w:tcPr>
            <w:tcW w:type="dxa" w:w="700"/>
            <w:tcMar>
              <w:top w:type="dxa" w:w="80"/>
              <w:left w:type="dxa" w:w="100"/>
              <w:bottom w:type="dxa" w:w="80"/>
              <w:right w:type="dxa" w:w="100"/>
            </w:tcMar>
          </w:tcPr>
          <w:p>
            <w:r>
              <w:rPr>
                <w:b w:val="false"/>
                <w:bCs w:val="false"/>
              </w:rPr>
              <w:t xml:space="preserve">R11</w:t>
            </w:r>
          </w:p>
        </w:tc>
        <w:tc>
          <w:tcPr>
            <w:tcW w:type="dxa" w:w="8560"/>
            <w:tcMar>
              <w:top w:type="dxa" w:w="80"/>
              <w:left w:type="dxa" w:w="100"/>
              <w:bottom w:type="dxa" w:w="80"/>
              <w:right w:type="dxa" w:w="100"/>
            </w:tcMar>
          </w:tcPr>
          <w:p>
            <w:r>
              <w:rPr>
                <w:b w:val="false"/>
                <w:bCs w:val="false"/>
              </w:rPr>
              <w:t xml:space="preserve">Solo un cliente autenticado puede reservar y consultar reservas, y cada cliente ve únicamente las suyas.</w:t>
            </w:r>
          </w:p>
        </w:tc>
      </w:tr>
      <w:tr>
        <w:tc>
          <w:tcPr>
            <w:tcW w:type="dxa" w:w="700"/>
            <w:tcMar>
              <w:top w:type="dxa" w:w="80"/>
              <w:left w:type="dxa" w:w="100"/>
              <w:bottom w:type="dxa" w:w="80"/>
              <w:right w:type="dxa" w:w="100"/>
            </w:tcMar>
          </w:tcPr>
          <w:p>
            <w:r>
              <w:rPr>
                <w:b w:val="false"/>
                <w:bCs w:val="false"/>
              </w:rPr>
              <w:t xml:space="preserve">R12</w:t>
            </w:r>
          </w:p>
        </w:tc>
        <w:tc>
          <w:tcPr>
            <w:tcW w:type="dxa" w:w="8560"/>
            <w:tcMar>
              <w:top w:type="dxa" w:w="80"/>
              <w:left w:type="dxa" w:w="100"/>
              <w:bottom w:type="dxa" w:w="80"/>
              <w:right w:type="dxa" w:w="100"/>
            </w:tcMar>
          </w:tcPr>
          <w:p>
            <w:r>
              <w:rPr>
                <w:b w:val="false"/>
                <w:bCs w:val="false"/>
              </w:rPr>
              <w:t xml:space="preserve">Una reserva corresponde a un cliente y a un paquete, y registra la fecha en que se emitió, la cantidad de personas y el total cobrado.</w:t>
            </w:r>
          </w:p>
        </w:tc>
      </w:tr>
      <w:tr>
        <w:tc>
          <w:tcPr>
            <w:tcW w:type="dxa" w:w="700"/>
            <w:tcMar>
              <w:top w:type="dxa" w:w="80"/>
              <w:left w:type="dxa" w:w="100"/>
              <w:bottom w:type="dxa" w:w="80"/>
              <w:right w:type="dxa" w:w="100"/>
            </w:tcMar>
          </w:tcPr>
          <w:p>
            <w:r>
              <w:rPr>
                <w:b w:val="false"/>
                <w:bCs w:val="false"/>
              </w:rPr>
              <w:t xml:space="preserve">R13</w:t>
            </w:r>
          </w:p>
        </w:tc>
        <w:tc>
          <w:tcPr>
            <w:tcW w:type="dxa" w:w="8560"/>
            <w:tcMar>
              <w:top w:type="dxa" w:w="80"/>
              <w:left w:type="dxa" w:w="100"/>
              <w:bottom w:type="dxa" w:w="80"/>
              <w:right w:type="dxa" w:w="100"/>
            </w:tcMar>
          </w:tcPr>
          <w:p>
            <w:r>
              <w:rPr>
                <w:b w:val="false"/>
                <w:bCs w:val="false"/>
              </w:rPr>
              <w:t xml:space="preserve">El total de una reserva se calcula al momento de reservar, multiplicando el precio del paquete por la cantidad de personas, y no vuelve a cambiar.</w:t>
            </w:r>
          </w:p>
        </w:tc>
      </w:tr>
      <w:tr>
        <w:tc>
          <w:tcPr>
            <w:tcW w:type="dxa" w:w="700"/>
            <w:tcMar>
              <w:top w:type="dxa" w:w="80"/>
              <w:left w:type="dxa" w:w="100"/>
              <w:bottom w:type="dxa" w:w="80"/>
              <w:right w:type="dxa" w:w="100"/>
            </w:tcMar>
          </w:tcPr>
          <w:p>
            <w:r>
              <w:rPr>
                <w:b w:val="false"/>
                <w:bCs w:val="false"/>
              </w:rPr>
              <w:t xml:space="preserve">R14</w:t>
            </w:r>
          </w:p>
        </w:tc>
        <w:tc>
          <w:tcPr>
            <w:tcW w:type="dxa" w:w="8560"/>
            <w:tcMar>
              <w:top w:type="dxa" w:w="80"/>
              <w:left w:type="dxa" w:w="100"/>
              <w:bottom w:type="dxa" w:w="80"/>
              <w:right w:type="dxa" w:w="100"/>
            </w:tcMar>
          </w:tcPr>
          <w:p>
            <w:r>
              <w:rPr>
                <w:b w:val="false"/>
                <w:bCs w:val="false"/>
              </w:rPr>
              <w:t xml:space="preserve">El cupo disponible de un paquete es su cupo máximo menos las personas ya reservadas. No se acepta una reserva que supere el cupo disponible.</w:t>
            </w:r>
          </w:p>
        </w:tc>
      </w:tr>
      <w:tr>
        <w:tc>
          <w:tcPr>
            <w:tcW w:type="dxa" w:w="700"/>
            <w:tcMar>
              <w:top w:type="dxa" w:w="80"/>
              <w:left w:type="dxa" w:w="100"/>
              <w:bottom w:type="dxa" w:w="80"/>
              <w:right w:type="dxa" w:w="100"/>
            </w:tcMar>
          </w:tcPr>
          <w:p>
            <w:r>
              <w:rPr>
                <w:b w:val="false"/>
                <w:bCs w:val="false"/>
              </w:rPr>
              <w:t xml:space="preserve">R15</w:t>
            </w:r>
          </w:p>
        </w:tc>
        <w:tc>
          <w:tcPr>
            <w:tcW w:type="dxa" w:w="8560"/>
            <w:tcMar>
              <w:top w:type="dxa" w:w="80"/>
              <w:left w:type="dxa" w:w="100"/>
              <w:bottom w:type="dxa" w:w="80"/>
              <w:right w:type="dxa" w:w="100"/>
            </w:tcMar>
          </w:tcPr>
          <w:p>
            <w:r>
              <w:rPr>
                <w:b w:val="false"/>
                <w:bCs w:val="false"/>
              </w:rPr>
              <w:t xml:space="preserve">No se acepta una reserva sobre un paquete cuya fecha de salida ya pasó.</w:t>
            </w:r>
          </w:p>
        </w:tc>
      </w:tr>
      <w:tr>
        <w:tc>
          <w:tcPr>
            <w:tcW w:type="dxa" w:w="700"/>
            <w:tcMar>
              <w:top w:type="dxa" w:w="80"/>
              <w:left w:type="dxa" w:w="100"/>
              <w:bottom w:type="dxa" w:w="80"/>
              <w:right w:type="dxa" w:w="100"/>
            </w:tcMar>
          </w:tcPr>
          <w:p>
            <w:r>
              <w:rPr>
                <w:b w:val="false"/>
                <w:bCs w:val="false"/>
              </w:rPr>
              <w:t xml:space="preserve">R16</w:t>
            </w:r>
          </w:p>
        </w:tc>
        <w:tc>
          <w:tcPr>
            <w:tcW w:type="dxa" w:w="8560"/>
            <w:tcMar>
              <w:top w:type="dxa" w:w="80"/>
              <w:left w:type="dxa" w:w="100"/>
              <w:bottom w:type="dxa" w:w="80"/>
              <w:right w:type="dxa" w:w="100"/>
            </w:tcMar>
          </w:tcPr>
          <w:p>
            <w:r>
              <w:rPr>
                <w:b w:val="false"/>
                <w:bCs w:val="false"/>
              </w:rPr>
              <w:t xml:space="preserve">La cantidad de personas de una reserva es al menos uno.</w:t>
            </w:r>
          </w:p>
        </w:tc>
      </w:tr>
      <w:tr>
        <w:tc>
          <w:tcPr>
            <w:tcW w:type="dxa" w:w="700"/>
            <w:tcMar>
              <w:top w:type="dxa" w:w="80"/>
              <w:left w:type="dxa" w:w="100"/>
              <w:bottom w:type="dxa" w:w="80"/>
              <w:right w:type="dxa" w:w="100"/>
            </w:tcMar>
          </w:tcPr>
          <w:p>
            <w:r>
              <w:rPr>
                <w:b w:val="false"/>
                <w:bCs w:val="false"/>
              </w:rPr>
              <w:t xml:space="preserve">R17</w:t>
            </w:r>
          </w:p>
        </w:tc>
        <w:tc>
          <w:tcPr>
            <w:tcW w:type="dxa" w:w="8560"/>
            <w:tcMar>
              <w:top w:type="dxa" w:w="80"/>
              <w:left w:type="dxa" w:w="100"/>
              <w:bottom w:type="dxa" w:w="80"/>
              <w:right w:type="dxa" w:w="100"/>
            </w:tcMar>
          </w:tcPr>
          <w:p>
            <w:r>
              <w:rPr>
                <w:b w:val="false"/>
                <w:bCs w:val="false"/>
              </w:rPr>
              <w:t xml:space="preserve">El RUT y el teléfono de un cliente son datos sensibles: no se muestran en listados ni en mensajes de error.</w:t>
            </w:r>
          </w:p>
        </w:tc>
      </w:tr>
    </w:tbl>
    <w:p>
      <w:r>
        <w:br w:type="page"/>
      </w:r>
    </w:p>
    <w:p>
      <w:pPr>
        <w:pStyle w:val="Heading1"/>
        <w:spacing w:after="160" w:before="360"/>
      </w:pPr>
      <w:r>
        <w:t xml:space="preserve">4. Alcance del proyecto</w:t>
      </w:r>
    </w:p>
    <w:p>
      <w:pPr>
        <w:pStyle w:val="Heading2"/>
        <w:spacing w:after="120" w:before="240"/>
      </w:pPr>
      <w:r>
        <w:t xml:space="preserve">Dentro del alcance</w:t>
      </w:r>
    </w:p>
    <w:p>
      <w:pPr>
        <w:pStyle w:val="ListParagraph"/>
        <w:numPr>
          <w:ilvl w:val="0"/>
          <w:numId w:val="2"/>
        </w:numPr>
        <w:spacing w:after="100"/>
      </w:pPr>
      <w:r>
        <w:t xml:space="preserve">Destinos: registrar, modificar, dejar no disponible y listar los del catálogo.</w:t>
      </w:r>
    </w:p>
    <w:p>
      <w:pPr>
        <w:pStyle w:val="ListParagraph"/>
        <w:numPr>
          <w:ilvl w:val="0"/>
          <w:numId w:val="2"/>
        </w:numPr>
        <w:spacing w:after="100"/>
      </w:pPr>
      <w:r>
        <w:t xml:space="preserve">Paquetes: crear combinando destinos, definir fechas y cupo, calcular el precio y consultar disponibilidad.</w:t>
      </w:r>
    </w:p>
    <w:p>
      <w:pPr>
        <w:pStyle w:val="ListParagraph"/>
        <w:numPr>
          <w:ilvl w:val="0"/>
          <w:numId w:val="2"/>
        </w:numPr>
        <w:spacing w:after="100"/>
      </w:pPr>
      <w:r>
        <w:t xml:space="preserve">Reservas: registro y autenticación de clientes, reservar un paquete, almacenar la reserva y consultar el historial propio.</w:t>
      </w:r>
    </w:p>
    <w:p>
      <w:pPr>
        <w:pStyle w:val="ListParagraph"/>
        <w:numPr>
          <w:ilvl w:val="0"/>
          <w:numId w:val="2"/>
        </w:numPr>
        <w:spacing w:after="100"/>
      </w:pPr>
      <w:r>
        <w:t xml:space="preserve">Seguridad del sistema: autenticación, validación de todo dato ingresado y protección de credenciales y datos sensibles.</w:t>
      </w:r>
    </w:p>
    <w:p>
      <w:pPr>
        <w:pStyle w:val="Heading2"/>
        <w:spacing w:after="120" w:before="240"/>
      </w:pPr>
      <w:r>
        <w:t xml:space="preserve">Fuera del alcance</w:t>
      </w:r>
    </w:p>
    <w:p>
      <w:pPr>
        <w:pStyle w:val="ListParagraph"/>
        <w:numPr>
          <w:ilvl w:val="0"/>
          <w:numId w:val="2"/>
        </w:numPr>
        <w:spacing w:after="100"/>
      </w:pPr>
      <w:r>
        <w:t xml:space="preserve">Pasarela de pago y verificación automática de transferencias.</w:t>
      </w:r>
    </w:p>
    <w:p>
      <w:pPr>
        <w:pStyle w:val="ListParagraph"/>
        <w:numPr>
          <w:ilvl w:val="0"/>
          <w:numId w:val="2"/>
        </w:numPr>
        <w:spacing w:after="100"/>
      </w:pPr>
      <w:r>
        <w:t xml:space="preserve">Facturación electrónica ante el SII.</w:t>
      </w:r>
    </w:p>
    <w:p>
      <w:pPr>
        <w:pStyle w:val="ListParagraph"/>
        <w:numPr>
          <w:ilvl w:val="0"/>
          <w:numId w:val="2"/>
        </w:numPr>
        <w:spacing w:after="100"/>
      </w:pPr>
      <w:r>
        <w:t xml:space="preserve">Aplicación para teléfonos.</w:t>
      </w:r>
    </w:p>
    <w:p>
      <w:pPr>
        <w:pStyle w:val="ListParagraph"/>
        <w:numPr>
          <w:ilvl w:val="0"/>
          <w:numId w:val="2"/>
        </w:numPr>
        <w:spacing w:after="100"/>
      </w:pPr>
      <w:r>
        <w:t xml:space="preserve">Integración con aerolíneas, hoteles u operadores externos.</w:t>
      </w:r>
    </w:p>
    <w:p>
      <w:pPr>
        <w:pStyle w:val="ListParagraph"/>
        <w:numPr>
          <w:ilvl w:val="0"/>
          <w:numId w:val="2"/>
        </w:numPr>
        <w:spacing w:after="100"/>
      </w:pPr>
      <w:r>
        <w:t xml:space="preserve">Envío de correos o mensajería al cliente.</w:t>
      </w:r>
    </w:p>
    <w:p>
      <w:pPr>
        <w:pStyle w:val="ListParagraph"/>
        <w:numPr>
          <w:ilvl w:val="0"/>
          <w:numId w:val="2"/>
        </w:numPr>
        <w:spacing w:after="100"/>
      </w:pPr>
      <w:r>
        <w:t xml:space="preserve">Informes de gestión para los socios.</w:t>
      </w:r>
    </w:p>
    <w:p>
      <w:pPr>
        <w:pStyle w:val="ListParagraph"/>
        <w:numPr>
          <w:ilvl w:val="0"/>
          <w:numId w:val="2"/>
        </w:numPr>
        <w:spacing w:after="100"/>
      </w:pPr>
      <w:r>
        <w:t xml:space="preserve">Contabilidad y remuneraciones.</w:t>
      </w:r>
    </w:p>
    <w:p>
      <w:pPr>
        <w:pStyle w:val="Heading1"/>
        <w:spacing w:after="160" w:before="360"/>
      </w:pPr>
      <w:r>
        <w:t xml:space="preserve">5. Vacíos del caso y supuestos</w:t>
      </w:r>
    </w:p>
    <w:p>
      <w:pPr>
        <w:spacing w:after="160"/>
      </w:pPr>
      <w:r>
        <w:t xml:space="preserve">El caso no entrega toda la información necesaria para implementar el sistema. Cuando un dato no estaba disponible, el criterio fue adoptar un supuesto explícito y fundamentarlo técnicamente, en vez de dejarlo implícito en el código. El detalle técnico de cada uno está en el Cambio correspondiente de VALIDACION_IA.md.</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2960"/>
      </w:tblGrid>
      <w:tr>
        <w:tc>
          <w:tcPr>
            <w:tcW w:type="dxa" w:w="2800"/>
            <w:shd w:fill="F2F2F2" w:val="clear"/>
            <w:tcMar>
              <w:top w:type="dxa" w:w="80"/>
              <w:left w:type="dxa" w:w="100"/>
              <w:bottom w:type="dxa" w:w="80"/>
              <w:right w:type="dxa" w:w="100"/>
            </w:tcMar>
          </w:tcPr>
          <w:p>
            <w:r>
              <w:rPr>
                <w:b/>
                <w:bCs/>
              </w:rPr>
              <w:t xml:space="preserve">Vacío del caso</w:t>
            </w:r>
          </w:p>
        </w:tc>
        <w:tc>
          <w:tcPr>
            <w:tcW w:type="dxa" w:w="3500"/>
            <w:shd w:fill="F2F2F2" w:val="clear"/>
            <w:tcMar>
              <w:top w:type="dxa" w:w="80"/>
              <w:left w:type="dxa" w:w="100"/>
              <w:bottom w:type="dxa" w:w="80"/>
              <w:right w:type="dxa" w:w="100"/>
            </w:tcMar>
          </w:tcPr>
          <w:p>
            <w:r>
              <w:rPr>
                <w:b/>
                <w:bCs/>
              </w:rPr>
              <w:t xml:space="preserve">Supuesto adoptado</w:t>
            </w:r>
          </w:p>
        </w:tc>
        <w:tc>
          <w:tcPr>
            <w:tcW w:type="dxa" w:w="2960"/>
            <w:shd w:fill="F2F2F2" w:val="clear"/>
            <w:tcMar>
              <w:top w:type="dxa" w:w="80"/>
              <w:left w:type="dxa" w:w="100"/>
              <w:bottom w:type="dxa" w:w="80"/>
              <w:right w:type="dxa" w:w="100"/>
            </w:tcMar>
          </w:tcPr>
          <w:p>
            <w:r>
              <w:rPr>
                <w:b/>
                <w:bCs/>
              </w:rPr>
              <w:t xml:space="preserve">Fundamento</w:t>
            </w:r>
          </w:p>
        </w:tc>
      </w:tr>
      <w:tr>
        <w:tc>
          <w:tcPr>
            <w:tcW w:type="dxa" w:w="2800"/>
            <w:tcMar>
              <w:top w:type="dxa" w:w="80"/>
              <w:left w:type="dxa" w:w="100"/>
              <w:bottom w:type="dxa" w:w="80"/>
              <w:right w:type="dxa" w:w="100"/>
            </w:tcMar>
          </w:tcPr>
          <w:p>
            <w:r>
              <w:rPr>
                <w:b w:val="false"/>
                <w:bCs w:val="false"/>
              </w:rPr>
              <w:t xml:space="preserve">¿Qué ocurre cuando un cliente desiste de una reserva?</w:t>
            </w:r>
          </w:p>
        </w:tc>
        <w:tc>
          <w:tcPr>
            <w:tcW w:type="dxa" w:w="3500"/>
            <w:tcMar>
              <w:top w:type="dxa" w:w="80"/>
              <w:left w:type="dxa" w:w="100"/>
              <w:bottom w:type="dxa" w:w="80"/>
              <w:right w:type="dxa" w:w="100"/>
            </w:tcMar>
          </w:tcPr>
          <w:p>
            <w:r>
              <w:rPr>
                <w:b w:val="false"/>
                <w:bCs w:val="false"/>
              </w:rPr>
              <w:t xml:space="preserve">No se implementa cancelación de reservas en esta versión.</w:t>
            </w:r>
          </w:p>
        </w:tc>
        <w:tc>
          <w:tcPr>
            <w:tcW w:type="dxa" w:w="2960"/>
            <w:tcMar>
              <w:top w:type="dxa" w:w="80"/>
              <w:left w:type="dxa" w:w="100"/>
              <w:bottom w:type="dxa" w:w="80"/>
              <w:right w:type="dxa" w:w="100"/>
            </w:tcMar>
          </w:tcPr>
          <w:p>
            <w:r>
              <w:rPr>
                <w:b w:val="false"/>
                <w:bCs w:val="false"/>
              </w:rPr>
              <w:t xml:space="preserve">El alcance (§4) define Reservas sin incluir cancelar.</w:t>
            </w:r>
          </w:p>
        </w:tc>
      </w:tr>
      <w:tr>
        <w:tc>
          <w:tcPr>
            <w:tcW w:type="dxa" w:w="2800"/>
            <w:tcMar>
              <w:top w:type="dxa" w:w="80"/>
              <w:left w:type="dxa" w:w="100"/>
              <w:bottom w:type="dxa" w:w="80"/>
              <w:right w:type="dxa" w:w="100"/>
            </w:tcMar>
          </w:tcPr>
          <w:p>
            <w:r>
              <w:rPr>
                <w:b w:val="false"/>
                <w:bCs w:val="false"/>
              </w:rPr>
              <w:t xml:space="preserve">¿Cómo se comporta un paquete cuando su "temporada" termina?</w:t>
            </w:r>
          </w:p>
        </w:tc>
        <w:tc>
          <w:tcPr>
            <w:tcW w:type="dxa" w:w="3500"/>
            <w:tcMar>
              <w:top w:type="dxa" w:w="80"/>
              <w:left w:type="dxa" w:w="100"/>
              <w:bottom w:type="dxa" w:w="80"/>
              <w:right w:type="dxa" w:w="100"/>
            </w:tcMar>
          </w:tcPr>
          <w:p>
            <w:r>
              <w:rPr>
                <w:b w:val="false"/>
                <w:bCs w:val="false"/>
              </w:rPr>
              <w:t xml:space="preserve">No existe un estado de "temporada terminada": R5 usa fecha_salida/fecha_regreso concretas, y R15 ya impide reservar un paquete con fecha_salida vencida.</w:t>
            </w:r>
          </w:p>
        </w:tc>
        <w:tc>
          <w:tcPr>
            <w:tcW w:type="dxa" w:w="2960"/>
            <w:tcMar>
              <w:top w:type="dxa" w:w="80"/>
              <w:left w:type="dxa" w:w="100"/>
              <w:bottom w:type="dxa" w:w="80"/>
              <w:right w:type="dxa" w:w="100"/>
            </w:tcMar>
          </w:tcPr>
          <w:p>
            <w:r>
              <w:rPr>
                <w:b w:val="false"/>
                <w:bCs w:val="false"/>
              </w:rPr>
              <w:t xml:space="preserve">R5, R15.</w:t>
            </w:r>
          </w:p>
        </w:tc>
      </w:tr>
      <w:tr>
        <w:tc>
          <w:tcPr>
            <w:tcW w:type="dxa" w:w="2800"/>
            <w:tcMar>
              <w:top w:type="dxa" w:w="80"/>
              <w:left w:type="dxa" w:w="100"/>
              <w:bottom w:type="dxa" w:w="80"/>
              <w:right w:type="dxa" w:w="100"/>
            </w:tcMar>
          </w:tcPr>
          <w:p>
            <w:r>
              <w:rPr>
                <w:b w:val="false"/>
                <w:bCs w:val="false"/>
              </w:rPr>
              <w:t xml:space="preserve">¿Quién puede modificar el catálogo?</w:t>
            </w:r>
          </w:p>
        </w:tc>
        <w:tc>
          <w:tcPr>
            <w:tcW w:type="dxa" w:w="3500"/>
            <w:tcMar>
              <w:top w:type="dxa" w:w="80"/>
              <w:left w:type="dxa" w:w="100"/>
              <w:bottom w:type="dxa" w:w="80"/>
              <w:right w:type="dxa" w:w="100"/>
            </w:tcMar>
          </w:tcPr>
          <w:p>
            <w:r>
              <w:rPr>
                <w:b w:val="false"/>
                <w:bCs w:val="false"/>
              </w:rPr>
              <w:t xml:space="preserve">Un único administrador (un solo socio a cargo, §1.3), autenticado aparte de los clientes. El catálogo de lectura sigue siendo público.</w:t>
            </w:r>
          </w:p>
        </w:tc>
        <w:tc>
          <w:tcPr>
            <w:tcW w:type="dxa" w:w="2960"/>
            <w:tcMar>
              <w:top w:type="dxa" w:w="80"/>
              <w:left w:type="dxa" w:w="100"/>
              <w:bottom w:type="dxa" w:w="80"/>
              <w:right w:type="dxa" w:w="100"/>
            </w:tcMar>
          </w:tcPr>
          <w:p>
            <w:r>
              <w:rPr>
                <w:b w:val="false"/>
                <w:bCs w:val="false"/>
              </w:rPr>
              <w:t xml:space="preserve">Rol de administrador (JWT).</w:t>
            </w:r>
          </w:p>
        </w:tc>
      </w:tr>
      <w:tr>
        <w:tc>
          <w:tcPr>
            <w:tcW w:type="dxa" w:w="2800"/>
            <w:tcMar>
              <w:top w:type="dxa" w:w="80"/>
              <w:left w:type="dxa" w:w="100"/>
              <w:bottom w:type="dxa" w:w="80"/>
              <w:right w:type="dxa" w:w="100"/>
            </w:tcMar>
          </w:tcPr>
          <w:p>
            <w:r>
              <w:rPr>
                <w:b w:val="false"/>
                <w:bCs w:val="false"/>
              </w:rPr>
              <w:t xml:space="preserve">¿Se puede reservar un paquete no publicado?</w:t>
            </w:r>
          </w:p>
        </w:tc>
        <w:tc>
          <w:tcPr>
            <w:tcW w:type="dxa" w:w="3500"/>
            <w:tcMar>
              <w:top w:type="dxa" w:w="80"/>
              <w:left w:type="dxa" w:w="100"/>
              <w:bottom w:type="dxa" w:w="80"/>
              <w:right w:type="dxa" w:w="100"/>
            </w:tcMar>
          </w:tcPr>
          <w:p>
            <w:r>
              <w:rPr>
                <w:b w:val="false"/>
                <w:bCs w:val="false"/>
              </w:rPr>
              <w:t xml:space="preserve">No: sin publicar, el precio aún no está fijado (R7) y es un borrador editable.</w:t>
            </w:r>
          </w:p>
        </w:tc>
        <w:tc>
          <w:tcPr>
            <w:tcW w:type="dxa" w:w="2960"/>
            <w:tcMar>
              <w:top w:type="dxa" w:w="80"/>
              <w:left w:type="dxa" w:w="100"/>
              <w:bottom w:type="dxa" w:w="80"/>
              <w:right w:type="dxa" w:w="100"/>
            </w:tcMar>
          </w:tcPr>
          <w:p>
            <w:r>
              <w:rPr>
                <w:b w:val="false"/>
                <w:bCs w:val="false"/>
              </w:rPr>
              <w:t xml:space="preserve">R7.</w:t>
            </w:r>
          </w:p>
        </w:tc>
      </w:tr>
      <w:tr>
        <w:tc>
          <w:tcPr>
            <w:tcW w:type="dxa" w:w="2800"/>
            <w:tcMar>
              <w:top w:type="dxa" w:w="80"/>
              <w:left w:type="dxa" w:w="100"/>
              <w:bottom w:type="dxa" w:w="80"/>
              <w:right w:type="dxa" w:w="100"/>
            </w:tcMar>
          </w:tcPr>
          <w:p>
            <w:r>
              <w:rPr>
                <w:b w:val="false"/>
                <w:bCs w:val="false"/>
              </w:rPr>
              <w:t xml:space="preserve">¿Se puede editar o eliminar un paquete ya creado?</w:t>
            </w:r>
          </w:p>
        </w:tc>
        <w:tc>
          <w:tcPr>
            <w:tcW w:type="dxa" w:w="3500"/>
            <w:tcMar>
              <w:top w:type="dxa" w:w="80"/>
              <w:left w:type="dxa" w:w="100"/>
              <w:bottom w:type="dxa" w:w="80"/>
              <w:right w:type="dxa" w:w="100"/>
            </w:tcMar>
          </w:tcPr>
          <w:p>
            <w:r>
              <w:rPr>
                <w:b w:val="false"/>
                <w:bCs w:val="false"/>
              </w:rPr>
              <w:t xml:space="preserve">No: el alcance (§4) para Paquetes no incluye modificar ni eliminar, solo crear, calcular precio y consultar disponibilidad.</w:t>
            </w:r>
          </w:p>
        </w:tc>
        <w:tc>
          <w:tcPr>
            <w:tcW w:type="dxa" w:w="2960"/>
            <w:tcMar>
              <w:top w:type="dxa" w:w="80"/>
              <w:left w:type="dxa" w:w="100"/>
              <w:bottom w:type="dxa" w:w="80"/>
              <w:right w:type="dxa" w:w="100"/>
            </w:tcMar>
          </w:tcPr>
          <w:p>
            <w:r>
              <w:rPr>
                <w:b w:val="false"/>
                <w:bCs w:val="false"/>
              </w:rPr>
              <w:t xml:space="preserve">Alcance §4.</w:t>
            </w:r>
          </w:p>
        </w:tc>
      </w:tr>
      <w:tr>
        <w:tc>
          <w:tcPr>
            <w:tcW w:type="dxa" w:w="2800"/>
            <w:tcMar>
              <w:top w:type="dxa" w:w="80"/>
              <w:left w:type="dxa" w:w="100"/>
              <w:bottom w:type="dxa" w:w="80"/>
              <w:right w:type="dxa" w:w="100"/>
            </w:tcMar>
          </w:tcPr>
          <w:p>
            <w:r>
              <w:rPr>
                <w:b w:val="false"/>
                <w:bCs w:val="false"/>
              </w:rPr>
              <w:t xml:space="preserve">¿Qué formato debe tener el RUT?</w:t>
            </w:r>
          </w:p>
        </w:tc>
        <w:tc>
          <w:tcPr>
            <w:tcW w:type="dxa" w:w="3500"/>
            <w:tcMar>
              <w:top w:type="dxa" w:w="80"/>
              <w:left w:type="dxa" w:w="100"/>
              <w:bottom w:type="dxa" w:w="80"/>
              <w:right w:type="dxa" w:w="100"/>
            </w:tcMar>
          </w:tcPr>
          <w:p>
            <w:r>
              <w:rPr>
                <w:b w:val="false"/>
                <w:bCs w:val="false"/>
              </w:rPr>
              <w:t xml:space="preserve">Se valida formato y dígito verificador con el algoritmo módulo 11 chileno.</w:t>
            </w:r>
          </w:p>
        </w:tc>
        <w:tc>
          <w:tcPr>
            <w:tcW w:type="dxa" w:w="2960"/>
            <w:tcMar>
              <w:top w:type="dxa" w:w="80"/>
              <w:left w:type="dxa" w:w="100"/>
              <w:bottom w:type="dxa" w:w="80"/>
              <w:right w:type="dxa" w:w="100"/>
            </w:tcMar>
          </w:tcPr>
          <w:p>
            <w:r>
              <w:rPr>
                <w:b w:val="false"/>
                <w:bCs w:val="false"/>
              </w:rPr>
              <w:t xml:space="preserve">R9.</w:t>
            </w:r>
          </w:p>
        </w:tc>
      </w:tr>
      <w:tr>
        <w:tc>
          <w:tcPr>
            <w:tcW w:type="dxa" w:w="2800"/>
            <w:tcMar>
              <w:top w:type="dxa" w:w="80"/>
              <w:left w:type="dxa" w:w="100"/>
              <w:bottom w:type="dxa" w:w="80"/>
              <w:right w:type="dxa" w:w="100"/>
            </w:tcMar>
          </w:tcPr>
          <w:p>
            <w:r>
              <w:rPr>
                <w:b w:val="false"/>
                <w:bCs w:val="false"/>
              </w:rPr>
              <w:t xml:space="preserve">¿El catálogo requiere sesión para consultarse?</w:t>
            </w:r>
          </w:p>
        </w:tc>
        <w:tc>
          <w:tcPr>
            <w:tcW w:type="dxa" w:w="3500"/>
            <w:tcMar>
              <w:top w:type="dxa" w:w="80"/>
              <w:left w:type="dxa" w:w="100"/>
              <w:bottom w:type="dxa" w:w="80"/>
              <w:right w:type="dxa" w:w="100"/>
            </w:tcMar>
          </w:tcPr>
          <w:p>
            <w:r>
              <w:rPr>
                <w:b w:val="false"/>
                <w:bCs w:val="false"/>
              </w:rPr>
              <w:t xml:space="preserve">No: el cliente consulta paquetes disponibles antes de registrarse (§1.3); solo reservar y ver el historial propio requieren sesión.</w:t>
            </w:r>
          </w:p>
        </w:tc>
        <w:tc>
          <w:tcPr>
            <w:tcW w:type="dxa" w:w="2960"/>
            <w:tcMar>
              <w:top w:type="dxa" w:w="80"/>
              <w:left w:type="dxa" w:w="100"/>
              <w:bottom w:type="dxa" w:w="80"/>
              <w:right w:type="dxa" w:w="100"/>
            </w:tcMar>
          </w:tcPr>
          <w:p>
            <w:r>
              <w:rPr>
                <w:b w:val="false"/>
                <w:bCs w:val="false"/>
              </w:rPr>
              <w:t xml:space="preserve">R11.</w:t>
            </w:r>
          </w:p>
        </w:tc>
      </w:tr>
    </w:tbl>
    <w:p>
      <w:r>
        <w:br w:type="page"/>
      </w:r>
    </w:p>
    <w:p>
      <w:pPr>
        <w:pStyle w:val="Heading1"/>
        <w:spacing w:after="160" w:before="360"/>
      </w:pPr>
      <w:r>
        <w:t xml:space="preserve">6. Arquitectura y tecnología</w:t>
      </w:r>
    </w:p>
    <w:p>
      <w:pPr>
        <w:spacing w:after="160"/>
      </w:pPr>
      <w:r>
        <w:t xml:space="preserve">Arquitectura de dos partes, separadas en carpetas propias dentro del repositorio: backend en backend/app/ (Python 3.10+, FastAPI, expuesto como API REST/JSON) y frontend en frontend/ (React + Vite, consumiendo el backend únicamente vía HTTP/JSON, sin acceso directo a la base de datos).</w:t>
      </w:r>
    </w:p>
    <w:p>
      <w:pPr>
        <w:spacing w:after="160"/>
      </w:pPr>
      <w:r>
        <w:t xml:space="preserve">Se eligió FastAPI sobre Flask porque valida automáticamente cada entrada con Pydantic (clave para las reglas R2, R5, R6, R16), genera documentación interactiva (/docs) útil para probar la API sin frontend, y su soporte async encaja con el modelo cliente-servidor separado del frontend.</w:t>
      </w:r>
    </w:p>
    <w:p>
      <w:pPr>
        <w:spacing w:after="160"/>
      </w:pPr>
      <w:r>
        <w:t xml:space="preserve">Persistencia con sqlite3 de la librería estándar: esquema de 5 tablas (destinos, paquetes, paquete_destinos, clientes, reservas) con sus claves foráneas y restricciones CHECK que expresan las reglas de negocio a nivel de columna. Autenticación con JWT y contraseñas hasheadas con bcrypt para cumplir R9-R11 y R17.</w:t>
      </w:r>
    </w:p>
    <w:p>
      <w:pPr>
        <w:spacing w:after="160"/>
      </w:pPr>
      <w:r>
        <w:t xml:space="preserve">Durante el desarrollo, backend y frontend corren como dos procesos separados (proxy de Vite hacia el backend). Para la entrega, el frontend se compila a backend/static/ y FastAPI lo sirve como archivos estáticos, quedando un solo servidor y un solo puerto.</w:t>
      </w:r>
    </w:p>
    <w:p>
      <w:pPr>
        <w:spacing w:after="160"/>
      </w:pPr>
      <w:r>
        <w:t xml:space="preserve">Roles y autorización: el JWT incluye un claim "rol" (cliente o admin). El cliente solo puede reservar y ver sus propias reservas (R11). El administrador es único (el caso describe un solo socio a cargo, §1.3), con credenciales por variable de entorno en vez de una tabla, y es el único que puede crear, editar o eliminar destinos y crear/publicar paquetes; el catálogo de lectura sigue siendo público.</w:t>
      </w:r>
    </w:p>
    <w:p>
      <w:pPr>
        <w:spacing w:after="160"/>
      </w:pPr>
      <w:r>
        <w:t xml:space="preserve">Calidad: 43 pruebas automatizadas (pytest + TestClient de FastAPI) cubren las 17 reglas de negocio, la separación de roles y una prueba de concurrencia (dos reservas simultáneas con threading.Thread) que confirma que no se puede sobrevender el cupo de un paquete, cada una contra una base SQLite temporal aislada. La creación de una reserva corre dentro de una transacción BEGIN IMMEDIATE para evitar esa condición de carrera en R14. El modelo UML de clases del dominio está documentado en docs/modelo-uml.md (diagrama Mermaid, renderizado directo en GitHub). El repositorio está conectado a SonarCloud (análisis automático en cada push): Quality Gate en OK, 0 bugs, 0 vulnerabilidades, 0 code smells y 0 security hotspots.</w:t>
      </w:r>
    </w:p>
    <w:p>
      <w:pPr>
        <w:pStyle w:val="Heading1"/>
        <w:spacing w:after="160" w:before="360"/>
      </w:pPr>
      <w:r>
        <w:t xml:space="preserve">7. Plan de trabajo por dominio</w:t>
      </w:r>
    </w:p>
    <w:p>
      <w:pPr>
        <w:spacing w:after="160"/>
      </w:pPr>
      <w:r>
        <w:t xml:space="preserve">El sistema se aborda en franjas verticales por dominio (cada una con su modelo, su parte de la API y su pantalla en React), para ir entregando funcionalidad completa y demostrable dominio por dominio:</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860"/>
      </w:tblGrid>
      <w:tr>
        <w:tc>
          <w:tcPr>
            <w:tcW w:type="dxa" w:w="2400"/>
            <w:shd w:fill="F2F2F2" w:val="clear"/>
            <w:tcMar>
              <w:top w:type="dxa" w:w="80"/>
              <w:left w:type="dxa" w:w="100"/>
              <w:bottom w:type="dxa" w:w="80"/>
              <w:right w:type="dxa" w:w="100"/>
            </w:tcMar>
          </w:tcPr>
          <w:p>
            <w:r>
              <w:rPr>
                <w:b/>
                <w:bCs/>
              </w:rPr>
              <w:t xml:space="preserve">Dominio</w:t>
            </w:r>
          </w:p>
        </w:tc>
        <w:tc>
          <w:tcPr>
            <w:tcW w:type="dxa" w:w="2000"/>
            <w:shd w:fill="F2F2F2" w:val="clear"/>
            <w:tcMar>
              <w:top w:type="dxa" w:w="80"/>
              <w:left w:type="dxa" w:w="100"/>
              <w:bottom w:type="dxa" w:w="80"/>
              <w:right w:type="dxa" w:w="100"/>
            </w:tcMar>
          </w:tcPr>
          <w:p>
            <w:r>
              <w:rPr>
                <w:b/>
                <w:bCs/>
              </w:rPr>
              <w:t xml:space="preserve">Reglas</w:t>
            </w:r>
          </w:p>
        </w:tc>
        <w:tc>
          <w:tcPr>
            <w:tcW w:type="dxa" w:w="4860"/>
            <w:shd w:fill="F2F2F2" w:val="clear"/>
            <w:tcMar>
              <w:top w:type="dxa" w:w="80"/>
              <w:left w:type="dxa" w:w="100"/>
              <w:bottom w:type="dxa" w:w="80"/>
              <w:right w:type="dxa" w:w="100"/>
            </w:tcMar>
          </w:tcPr>
          <w:p>
            <w:r>
              <w:rPr>
                <w:b/>
                <w:bCs/>
              </w:rPr>
              <w:t xml:space="preserve">Incluye</w:t>
            </w:r>
          </w:p>
        </w:tc>
      </w:tr>
      <w:tr>
        <w:tc>
          <w:tcPr>
            <w:tcW w:type="dxa" w:w="2400"/>
            <w:tcMar>
              <w:top w:type="dxa" w:w="80"/>
              <w:left w:type="dxa" w:w="100"/>
              <w:bottom w:type="dxa" w:w="80"/>
              <w:right w:type="dxa" w:w="100"/>
            </w:tcMar>
          </w:tcPr>
          <w:p>
            <w:r>
              <w:rPr>
                <w:b w:val="false"/>
                <w:bCs w:val="false"/>
              </w:rPr>
              <w:t xml:space="preserve">Destinos</w:t>
            </w:r>
          </w:p>
        </w:tc>
        <w:tc>
          <w:tcPr>
            <w:tcW w:type="dxa" w:w="2000"/>
            <w:tcMar>
              <w:top w:type="dxa" w:w="80"/>
              <w:left w:type="dxa" w:w="100"/>
              <w:bottom w:type="dxa" w:w="80"/>
              <w:right w:type="dxa" w:w="100"/>
            </w:tcMar>
          </w:tcPr>
          <w:p>
            <w:r>
              <w:rPr>
                <w:b w:val="false"/>
                <w:bCs w:val="false"/>
              </w:rPr>
              <w:t xml:space="preserve">R1, R2, R8</w:t>
            </w:r>
          </w:p>
        </w:tc>
        <w:tc>
          <w:tcPr>
            <w:tcW w:type="dxa" w:w="4860"/>
            <w:tcMar>
              <w:top w:type="dxa" w:w="80"/>
              <w:left w:type="dxa" w:w="100"/>
              <w:bottom w:type="dxa" w:w="80"/>
              <w:right w:type="dxa" w:w="100"/>
            </w:tcMar>
          </w:tcPr>
          <w:p>
            <w:r>
              <w:rPr>
                <w:b w:val="false"/>
                <w:bCs w:val="false"/>
              </w:rPr>
              <w:t xml:space="preserve">Modelo y CRUD de destinos, alta/baja lógica (no disponible), listado del catálogo (backend + pantalla React).</w:t>
            </w:r>
          </w:p>
        </w:tc>
      </w:tr>
      <w:tr>
        <w:tc>
          <w:tcPr>
            <w:tcW w:type="dxa" w:w="2400"/>
            <w:tcMar>
              <w:top w:type="dxa" w:w="80"/>
              <w:left w:type="dxa" w:w="100"/>
              <w:bottom w:type="dxa" w:w="80"/>
              <w:right w:type="dxa" w:w="100"/>
            </w:tcMar>
          </w:tcPr>
          <w:p>
            <w:r>
              <w:rPr>
                <w:b w:val="false"/>
                <w:bCs w:val="false"/>
              </w:rPr>
              <w:t xml:space="preserve">Paquetes</w:t>
            </w:r>
          </w:p>
        </w:tc>
        <w:tc>
          <w:tcPr>
            <w:tcW w:type="dxa" w:w="2000"/>
            <w:tcMar>
              <w:top w:type="dxa" w:w="80"/>
              <w:left w:type="dxa" w:w="100"/>
              <w:bottom w:type="dxa" w:w="80"/>
              <w:right w:type="dxa" w:w="100"/>
            </w:tcMar>
          </w:tcPr>
          <w:p>
            <w:r>
              <w:rPr>
                <w:b w:val="false"/>
                <w:bCs w:val="false"/>
              </w:rPr>
              <w:t xml:space="preserve">R3, R4, R5, R6, R7</w:t>
            </w:r>
          </w:p>
        </w:tc>
        <w:tc>
          <w:tcPr>
            <w:tcW w:type="dxa" w:w="4860"/>
            <w:tcMar>
              <w:top w:type="dxa" w:w="80"/>
              <w:left w:type="dxa" w:w="100"/>
              <w:bottom w:type="dxa" w:w="80"/>
              <w:right w:type="dxa" w:w="100"/>
            </w:tcMar>
          </w:tcPr>
          <w:p>
            <w:r>
              <w:rPr>
                <w:b w:val="false"/>
                <w:bCs w:val="false"/>
              </w:rPr>
              <w:t xml:space="preserve">Armado de paquetes combinando destinos, cálculo de precio con margen, fijación del precio al publicar, catálogo público de paquetes (backend + pantalla React).</w:t>
            </w:r>
          </w:p>
        </w:tc>
      </w:tr>
      <w:tr>
        <w:tc>
          <w:tcPr>
            <w:tcW w:type="dxa" w:w="2400"/>
            <w:tcMar>
              <w:top w:type="dxa" w:w="80"/>
              <w:left w:type="dxa" w:w="100"/>
              <w:bottom w:type="dxa" w:w="80"/>
              <w:right w:type="dxa" w:w="100"/>
            </w:tcMar>
          </w:tcPr>
          <w:p>
            <w:r>
              <w:rPr>
                <w:b w:val="false"/>
                <w:bCs w:val="false"/>
              </w:rPr>
              <w:t xml:space="preserve">Clientes y seguridad</w:t>
            </w:r>
          </w:p>
        </w:tc>
        <w:tc>
          <w:tcPr>
            <w:tcW w:type="dxa" w:w="2000"/>
            <w:tcMar>
              <w:top w:type="dxa" w:w="80"/>
              <w:left w:type="dxa" w:w="100"/>
              <w:bottom w:type="dxa" w:w="80"/>
              <w:right w:type="dxa" w:w="100"/>
            </w:tcMar>
          </w:tcPr>
          <w:p>
            <w:r>
              <w:rPr>
                <w:b w:val="false"/>
                <w:bCs w:val="false"/>
              </w:rPr>
              <w:t xml:space="preserve">R9, R10, R11, R17</w:t>
            </w:r>
          </w:p>
        </w:tc>
        <w:tc>
          <w:tcPr>
            <w:tcW w:type="dxa" w:w="4860"/>
            <w:tcMar>
              <w:top w:type="dxa" w:w="80"/>
              <w:left w:type="dxa" w:w="100"/>
              <w:bottom w:type="dxa" w:w="80"/>
              <w:right w:type="dxa" w:w="100"/>
            </w:tcMar>
          </w:tcPr>
          <w:p>
            <w:r>
              <w:rPr>
                <w:b w:val="false"/>
                <w:bCs w:val="false"/>
              </w:rPr>
              <w:t xml:space="preserve">Registro, login, hash de contraseñas, JWT, protección de RUT/teléfono en listados y errores (backend + pantallas de registro/login).</w:t>
            </w:r>
          </w:p>
        </w:tc>
      </w:tr>
      <w:tr>
        <w:tc>
          <w:tcPr>
            <w:tcW w:type="dxa" w:w="2400"/>
            <w:tcMar>
              <w:top w:type="dxa" w:w="80"/>
              <w:left w:type="dxa" w:w="100"/>
              <w:bottom w:type="dxa" w:w="80"/>
              <w:right w:type="dxa" w:w="100"/>
            </w:tcMar>
          </w:tcPr>
          <w:p>
            <w:r>
              <w:rPr>
                <w:b w:val="false"/>
                <w:bCs w:val="false"/>
              </w:rPr>
              <w:t xml:space="preserve">Reservas</w:t>
            </w:r>
          </w:p>
        </w:tc>
        <w:tc>
          <w:tcPr>
            <w:tcW w:type="dxa" w:w="2000"/>
            <w:tcMar>
              <w:top w:type="dxa" w:w="80"/>
              <w:left w:type="dxa" w:w="100"/>
              <w:bottom w:type="dxa" w:w="80"/>
              <w:right w:type="dxa" w:w="100"/>
            </w:tcMar>
          </w:tcPr>
          <w:p>
            <w:r>
              <w:rPr>
                <w:b w:val="false"/>
                <w:bCs w:val="false"/>
              </w:rPr>
              <w:t xml:space="preserve">R12, R13, R14, R15, R16</w:t>
            </w:r>
          </w:p>
        </w:tc>
        <w:tc>
          <w:tcPr>
            <w:tcW w:type="dxa" w:w="4860"/>
            <w:tcMar>
              <w:top w:type="dxa" w:w="80"/>
              <w:left w:type="dxa" w:w="100"/>
              <w:bottom w:type="dxa" w:w="80"/>
              <w:right w:type="dxa" w:w="100"/>
            </w:tcMar>
          </w:tcPr>
          <w:p>
            <w:r>
              <w:rPr>
                <w:b w:val="false"/>
                <w:bCs w:val="false"/>
              </w:rPr>
              <w:t xml:space="preserve">Reservar un paquete, cálculo del total, control de cupo y de fecha vencida, historial propio del cliente (backend + pantalla de reservas).</w:t>
            </w:r>
          </w:p>
        </w:tc>
      </w:tr>
    </w:tbl>
    <w:p>
      <w:pPr>
        <w:pStyle w:val="Heading1"/>
        <w:spacing w:after="160" w:before="360"/>
      </w:pPr>
      <w:r>
        <w:t xml:space="preserve">8. Estado actual y próximos pasos</w:t>
      </w:r>
    </w:p>
    <w:p>
      <w:pPr>
        <w:spacing w:after="160"/>
      </w:pPr>
      <w:r>
        <w:t xml:space="preserve">Los 4 dominios del plan de trabajo (§7) están implementados y probados de punta a punta: Destinos (R1, R2, R8), Paquetes (R3-R7), Clientes y seguridad (R9, R10, R11, R17) y Reservas (R12-R16), con las 17 reglas de negocio cubiertas. Además: rol de administrador separado del de cliente, 43 pruebas automatizadas (incluida una de concurrencia sobre el cupo de Reservas), modelo UML del dominio, despliegue en Render con auto-deploy, un frontend con navegación por pestañas y modo oscuro automático, y un análisis estático continuo con SonarCloud sin hallazgos abiertos (0 bugs, 0 vulnerabilidades, 0 code smells).</w:t>
      </w:r>
    </w:p>
    <w:p>
      <w:pPr>
        <w:spacing w:after="160"/>
      </w:pPr>
      <w:r>
        <w:t xml:space="preserve">Pendiente: ajustar la estructura de este informe cuando se conozca la guía oficial de evaluación; más pruebas de integración end-to-end desde el frontend, si el tiempo alcanza.</w:t>
      </w:r>
    </w:p>
    <w:p>
      <w:pPr>
        <w:pBdr>
          <w:left w:val="single" w:color="999999" w:sz="12" w:space="8"/>
        </w:pBdr>
        <w:spacing w:after="160"/>
      </w:pPr>
      <w:r>
        <w:rPr>
          <w:i/>
          <w:iCs/>
          <w:color w:val="555555"/>
        </w:rPr>
        <w:t xml:space="preserve">Cada avance de código queda registrado en detalle en VALIDACION_IA.md (objetivo, implementación, revisión técnica y validación).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2026-09-24T13:08:05.379Z</dcterms:created>
  <dcterms:modified xsi:type="dcterms:W3CDTF">2026-09-24T13:08:05.380Z</dcterms:modified>
</cp:coreProperties>
</file>

<file path=docProps/custom.xml><?xml version="1.0" encoding="utf-8"?>
<Properties xmlns="http://schemas.openxmlformats.org/officeDocument/2006/custom-properties" xmlns:vt="http://schemas.openxmlformats.org/officeDocument/2006/docPropsVTypes"/>
</file>