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基于深度学习物体检测车辆3维包围框生成：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6505" cy="2170430"/>
            <wp:effectExtent l="0" t="0" r="13335" b="8890"/>
            <wp:docPr id="8" name="图片 8" descr="8891d2af4090dcb6b8e4237fc1305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891d2af4090dcb6b8e4237fc1305e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捕捉到货车厢上顶盖平面作透视变换：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56435" cy="160972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643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5675" cy="1664335"/>
            <wp:effectExtent l="0" t="0" r="146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73100" cy="174688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32133" t="3400" r="32583" b="5200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采样机原点映射到运煤车平面定义相平面原点（采样机原点坐标分析，需要和厂家确认）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100" cy="76200"/>
            <wp:effectExtent l="0" t="0" r="0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62350" cy="2070735"/>
            <wp:effectExtent l="0" t="0" r="381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通过帧差法捕捉采样机头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989580" cy="1801495"/>
            <wp:effectExtent l="0" t="0" r="12700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机头接触点位置与命令位置对比，确认采样点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6980" cy="2290445"/>
            <wp:effectExtent l="0" t="0" r="254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如果不满足监督误差要求从后台向前端</w:t>
      </w:r>
      <w:bookmarkStart w:id="0" w:name="_GoBack"/>
      <w:bookmarkEnd w:id="0"/>
      <w:r>
        <w:rPr>
          <w:rFonts w:hint="eastAsia"/>
          <w:lang w:val="en-US" w:eastAsia="zh-CN"/>
        </w:rPr>
        <w:t>推送报警信号</w:t>
      </w:r>
    </w:p>
    <w:p>
      <w:r>
        <w:drawing>
          <wp:inline distT="0" distB="0" distL="114300" distR="114300">
            <wp:extent cx="4149090" cy="2954020"/>
            <wp:effectExtent l="0" t="0" r="1143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5D3850"/>
    <w:multiLevelType w:val="singleLevel"/>
    <w:tmpl w:val="875D385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F570E120"/>
    <w:multiLevelType w:val="singleLevel"/>
    <w:tmpl w:val="F570E12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B40525"/>
    <w:rsid w:val="7BB4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2020-07-19T10:38:00Z</dcterms:created>
  <dc:creator>Release</dc:creator>
  <cp:lastModifiedBy>Release</cp:lastModifiedBy>
  <dcterms:modified xsi:type="dcterms:W3CDTF">2020-07-19T10:55:26Z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