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pPr w:leftFromText="180" w:rightFromText="180" w:vertAnchor="text" w:horzAnchor="page" w:tblpX="1383" w:tblpY="-239"/>
        <w:tblOverlap w:val="never"/>
        <w:tblW w:w="9285" w:type="dxa"/>
        <w:tblInd w:w="0" w:type="dxa"/>
        <w:tblLayout w:type="fixed"/>
        <w:tblCellMar>
          <w:top w:w="0" w:type="dxa"/>
          <w:left w:w="70" w:type="dxa"/>
          <w:bottom w:w="0" w:type="dxa"/>
          <w:right w:w="70" w:type="dxa"/>
        </w:tblCellMar>
      </w:tblPr>
      <w:tblGrid>
        <w:gridCol w:w="9285"/>
      </w:tblGrid>
      <w:tr w14:paraId="57A6A506">
        <w:tblPrEx>
          <w:tblCellMar>
            <w:top w:w="0" w:type="dxa"/>
            <w:left w:w="70" w:type="dxa"/>
            <w:bottom w:w="0" w:type="dxa"/>
            <w:right w:w="70" w:type="dxa"/>
          </w:tblCellMar>
        </w:tblPrEx>
        <w:trPr>
          <w:cantSplit/>
          <w:trHeight w:val="3440" w:hRule="atLeast"/>
        </w:trPr>
        <w:tc>
          <w:tcPr>
            <w:tcW w:w="9285" w:type="dxa"/>
            <w:vAlign w:val="center"/>
          </w:tcPr>
          <w:p w14:paraId="1CF47F09">
            <w:pPr>
              <w:spacing w:before="360" w:after="360"/>
              <w:jc w:val="center"/>
              <w:rPr>
                <w:rFonts w:hint="eastAsia" w:ascii="宋体" w:hAnsi="宋体" w:eastAsia="宋体" w:cs="Arial"/>
                <w:b/>
                <w:bCs/>
                <w:color w:val="auto"/>
                <w:sz w:val="48"/>
                <w:szCs w:val="48"/>
                <w:lang w:val="de-DE" w:eastAsia="zh-CN" w:bidi="ar-SA"/>
              </w:rPr>
            </w:pPr>
          </w:p>
          <w:p w14:paraId="2D17D677">
            <w:pPr>
              <w:spacing w:before="360" w:after="360"/>
              <w:jc w:val="both"/>
              <w:rPr>
                <w:rFonts w:hint="eastAsia" w:ascii="宋体" w:hAnsi="宋体" w:eastAsia="宋体" w:cs="Arial"/>
                <w:b/>
                <w:bCs/>
                <w:color w:val="auto"/>
                <w:sz w:val="48"/>
                <w:szCs w:val="48"/>
                <w:lang w:val="de-DE" w:eastAsia="zh-CN" w:bidi="ar-SA"/>
              </w:rPr>
            </w:pPr>
          </w:p>
          <w:p w14:paraId="2B716376">
            <w:pPr>
              <w:spacing w:before="360" w:after="360"/>
              <w:jc w:val="both"/>
              <w:rPr>
                <w:rFonts w:hint="eastAsia" w:ascii="宋体" w:hAnsi="宋体" w:eastAsia="宋体" w:cs="Arial"/>
                <w:b/>
                <w:bCs/>
                <w:color w:val="auto"/>
                <w:sz w:val="48"/>
                <w:szCs w:val="48"/>
                <w:lang w:val="de-DE" w:eastAsia="zh-CN" w:bidi="ar-SA"/>
              </w:rPr>
            </w:pPr>
          </w:p>
          <w:p w14:paraId="022C6B17">
            <w:pPr>
              <w:spacing w:before="360" w:after="360"/>
              <w:jc w:val="center"/>
              <w:rPr>
                <w:rFonts w:ascii="宋体" w:hAnsi="宋体" w:eastAsia="宋体" w:cs="Arial"/>
                <w:b/>
                <w:bCs/>
                <w:color w:val="auto"/>
                <w:sz w:val="48"/>
                <w:szCs w:val="48"/>
                <w:lang w:val="en-US" w:eastAsia="zh-CN" w:bidi="ar-SA"/>
              </w:rPr>
            </w:pPr>
            <w:bookmarkStart w:id="0" w:name="_GoBack"/>
            <w:r>
              <w:rPr>
                <w:rFonts w:hint="eastAsia" w:ascii="宋体" w:hAnsi="宋体" w:eastAsia="宋体" w:cs="Arial"/>
                <w:b/>
                <w:bCs/>
                <w:color w:val="auto"/>
                <w:sz w:val="48"/>
                <w:szCs w:val="48"/>
                <w:lang w:val="en-US" w:eastAsia="zh-CN" w:bidi="ar-SA"/>
              </w:rPr>
              <w:t>脑肿瘤医学影像智能检测与分割系统</w:t>
            </w:r>
            <w:bookmarkEnd w:id="0"/>
            <w:r>
              <w:rPr>
                <w:rFonts w:hint="eastAsia" w:ascii="宋体" w:hAnsi="宋体" w:eastAsia="宋体" w:cs="Arial"/>
                <w:b/>
                <w:bCs/>
                <w:color w:val="auto"/>
                <w:sz w:val="48"/>
                <w:szCs w:val="48"/>
                <w:lang w:val="en-US" w:eastAsia="zh-CN" w:bidi="ar-SA"/>
              </w:rPr>
              <w:t xml:space="preserve"> V1.0 </w:t>
            </w:r>
          </w:p>
          <w:p w14:paraId="4214629B">
            <w:pPr>
              <w:numPr>
                <w:ilvl w:val="0"/>
                <w:numId w:val="7"/>
              </w:numPr>
              <w:spacing w:before="360" w:after="360"/>
              <w:ind w:left="720" w:hanging="360"/>
              <w:jc w:val="center"/>
              <w:rPr>
                <w:rFonts w:hint="eastAsia" w:ascii="宋体" w:hAnsi="宋体" w:eastAsia="宋体" w:cs="Arial"/>
                <w:b/>
                <w:bCs/>
                <w:color w:val="auto"/>
                <w:sz w:val="48"/>
                <w:szCs w:val="48"/>
                <w:lang w:val="en-US" w:eastAsia="zh-CN" w:bidi="ar-SA"/>
              </w:rPr>
            </w:pPr>
            <w:r>
              <w:rPr>
                <w:rFonts w:hint="eastAsia" w:ascii="宋体" w:hAnsi="宋体" w:eastAsia="宋体" w:cs="Arial"/>
                <w:b/>
                <w:bCs/>
                <w:color w:val="auto"/>
                <w:sz w:val="48"/>
                <w:szCs w:val="48"/>
                <w:lang w:val="en-US" w:eastAsia="zh-CN" w:bidi="ar-SA"/>
              </w:rPr>
              <w:t>使用说明</w:t>
            </w:r>
          </w:p>
          <w:p w14:paraId="4713C6B7">
            <w:pPr>
              <w:numPr>
                <w:ilvl w:val="0"/>
                <w:numId w:val="0"/>
              </w:numPr>
              <w:spacing w:before="360" w:after="360"/>
              <w:jc w:val="center"/>
              <w:rPr>
                <w:rFonts w:hint="eastAsia" w:ascii="宋体" w:hAnsi="宋体" w:eastAsia="宋体" w:cs="Arial"/>
                <w:b/>
                <w:bCs/>
                <w:color w:val="auto"/>
                <w:sz w:val="48"/>
                <w:szCs w:val="48"/>
                <w:lang w:val="en-US" w:eastAsia="zh-CN" w:bidi="ar-SA"/>
              </w:rPr>
            </w:pPr>
          </w:p>
          <w:p w14:paraId="0BC6196F">
            <w:pPr>
              <w:numPr>
                <w:ilvl w:val="0"/>
                <w:numId w:val="0"/>
              </w:numPr>
              <w:spacing w:before="360" w:after="360"/>
              <w:jc w:val="both"/>
              <w:rPr>
                <w:rFonts w:hint="eastAsia" w:ascii="宋体" w:hAnsi="宋体" w:eastAsia="宋体" w:cs="Arial"/>
                <w:b/>
                <w:bCs/>
                <w:color w:val="auto"/>
                <w:sz w:val="48"/>
                <w:szCs w:val="48"/>
                <w:lang w:val="en-US" w:eastAsia="zh-CN" w:bidi="ar-SA"/>
              </w:rPr>
            </w:pPr>
          </w:p>
          <w:p w14:paraId="22EC044D">
            <w:pPr>
              <w:numPr>
                <w:ilvl w:val="0"/>
                <w:numId w:val="0"/>
              </w:numPr>
              <w:spacing w:before="360" w:after="360"/>
              <w:jc w:val="center"/>
              <w:rPr>
                <w:rFonts w:hint="eastAsia" w:ascii="宋体" w:hAnsi="宋体" w:eastAsia="宋体" w:cs="Arial"/>
                <w:b/>
                <w:bCs/>
                <w:color w:val="auto"/>
                <w:sz w:val="48"/>
                <w:szCs w:val="48"/>
                <w:lang w:val="en-US" w:eastAsia="zh-CN" w:bidi="ar-SA"/>
              </w:rPr>
            </w:pPr>
          </w:p>
          <w:p w14:paraId="0C78E266">
            <w:pPr>
              <w:numPr>
                <w:ilvl w:val="0"/>
                <w:numId w:val="0"/>
              </w:numPr>
              <w:spacing w:before="360" w:after="360"/>
              <w:jc w:val="center"/>
              <w:rPr>
                <w:rFonts w:hint="eastAsia" w:ascii="宋体" w:hAnsi="宋体" w:eastAsia="宋体" w:cs="Arial"/>
                <w:b/>
                <w:bCs/>
                <w:color w:val="auto"/>
                <w:sz w:val="48"/>
                <w:szCs w:val="48"/>
                <w:lang w:val="en-US" w:eastAsia="zh-CN" w:bidi="ar-SA"/>
              </w:rPr>
            </w:pPr>
          </w:p>
          <w:p w14:paraId="73DD8244">
            <w:pPr>
              <w:numPr>
                <w:ilvl w:val="0"/>
                <w:numId w:val="0"/>
              </w:numPr>
              <w:spacing w:before="360" w:after="360"/>
              <w:jc w:val="both"/>
              <w:rPr>
                <w:rFonts w:hint="eastAsia" w:ascii="宋体" w:hAnsi="宋体" w:eastAsia="宋体" w:cs="Arial"/>
                <w:b/>
                <w:bCs/>
                <w:color w:val="auto"/>
                <w:sz w:val="48"/>
                <w:szCs w:val="48"/>
                <w:lang w:val="en-US" w:eastAsia="zh-CN" w:bidi="ar-SA"/>
              </w:rPr>
            </w:pPr>
          </w:p>
          <w:tbl>
            <w:tblPr>
              <w:tblStyle w:val="32"/>
              <w:tblpPr w:leftFromText="180" w:rightFromText="180" w:vertAnchor="text" w:horzAnchor="page" w:tblpX="61" w:tblpY="555"/>
              <w:tblOverlap w:val="never"/>
              <w:tblW w:w="914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70" w:type="dxa"/>
                <w:bottom w:w="0" w:type="dxa"/>
                <w:right w:w="70" w:type="dxa"/>
              </w:tblCellMar>
            </w:tblPr>
            <w:tblGrid>
              <w:gridCol w:w="2712"/>
              <w:gridCol w:w="6432"/>
            </w:tblGrid>
            <w:tr w14:paraId="1DACF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681E7F9F">
                  <w:pPr>
                    <w:spacing w:before="60" w:after="60"/>
                    <w:jc w:val="both"/>
                    <w:rPr>
                      <w:rFonts w:ascii="宋体" w:hAnsi="宋体" w:eastAsia="宋体" w:cs="Arial"/>
                      <w:color w:val="auto"/>
                      <w:sz w:val="21"/>
                      <w:szCs w:val="21"/>
                      <w:lang w:val="en-US" w:eastAsia="en-US" w:bidi="ar-SA"/>
                    </w:rPr>
                  </w:pPr>
                  <w:r>
                    <w:rPr>
                      <w:rFonts w:hint="eastAsia" w:ascii="宋体" w:hAnsi="宋体" w:eastAsia="宋体" w:cs="Arial"/>
                      <w:color w:val="auto"/>
                      <w:sz w:val="21"/>
                      <w:szCs w:val="21"/>
                      <w:lang w:val="en-US" w:eastAsia="zh-CN" w:bidi="ar-SA"/>
                    </w:rPr>
                    <w:t>版本</w:t>
                  </w:r>
                </w:p>
              </w:tc>
              <w:tc>
                <w:tcPr>
                  <w:tcW w:w="6432" w:type="dxa"/>
                  <w:tcBorders>
                    <w:tl2br w:val="nil"/>
                    <w:tr2bl w:val="nil"/>
                  </w:tcBorders>
                  <w:vAlign w:val="center"/>
                </w:tcPr>
                <w:p w14:paraId="36CFC5FC">
                  <w:pPr>
                    <w:spacing w:before="60" w:after="60"/>
                    <w:jc w:val="both"/>
                    <w:rPr>
                      <w:rFonts w:ascii="宋体" w:hAnsi="宋体" w:eastAsia="宋体" w:cs="Arial"/>
                      <w:color w:val="auto"/>
                      <w:sz w:val="21"/>
                      <w:szCs w:val="21"/>
                      <w:lang w:val="en-US" w:eastAsia="zh-HK" w:bidi="ar-SA"/>
                    </w:rPr>
                  </w:pPr>
                  <w:r>
                    <w:rPr>
                      <w:rFonts w:hint="eastAsia" w:ascii="宋体" w:hAnsi="宋体" w:eastAsia="宋体" w:cs="Arial"/>
                      <w:color w:val="auto"/>
                      <w:sz w:val="21"/>
                      <w:szCs w:val="21"/>
                      <w:lang w:val="en-US" w:eastAsia="zh-CN" w:bidi="ar-SA"/>
                    </w:rPr>
                    <w:t>1.</w:t>
                  </w:r>
                  <w:r>
                    <w:rPr>
                      <w:rFonts w:hint="eastAsia" w:ascii="宋体" w:hAnsi="宋体" w:eastAsia="宋体" w:cs="Arial"/>
                      <w:color w:val="auto"/>
                      <w:sz w:val="21"/>
                      <w:szCs w:val="21"/>
                      <w:lang w:val="en-US" w:eastAsia="zh-HK" w:bidi="ar-SA"/>
                    </w:rPr>
                    <w:t>0</w:t>
                  </w:r>
                </w:p>
              </w:tc>
            </w:tr>
            <w:tr w14:paraId="1071C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39C4CF61">
                  <w:pPr>
                    <w:spacing w:before="60" w:after="60"/>
                    <w:jc w:val="both"/>
                    <w:rPr>
                      <w:rFonts w:ascii="宋体" w:hAnsi="宋体" w:eastAsia="宋体" w:cs="Arial"/>
                      <w:color w:val="auto"/>
                      <w:sz w:val="21"/>
                      <w:szCs w:val="21"/>
                      <w:lang w:val="en-US" w:eastAsia="en-US" w:bidi="ar-SA"/>
                    </w:rPr>
                  </w:pPr>
                  <w:r>
                    <w:rPr>
                      <w:rFonts w:hint="eastAsia" w:ascii="宋体" w:hAnsi="宋体" w:eastAsia="宋体" w:cs="Arial"/>
                      <w:color w:val="auto"/>
                      <w:sz w:val="21"/>
                      <w:szCs w:val="21"/>
                      <w:lang w:val="en-US" w:eastAsia="zh-CN" w:bidi="ar-SA"/>
                    </w:rPr>
                    <w:t>文档状态</w:t>
                  </w:r>
                  <w:r>
                    <w:rPr>
                      <w:rFonts w:ascii="宋体" w:hAnsi="宋体" w:eastAsia="宋体" w:cs="Arial"/>
                      <w:color w:val="auto"/>
                      <w:sz w:val="21"/>
                      <w:szCs w:val="21"/>
                      <w:lang w:val="en-US" w:eastAsia="en-US" w:bidi="ar-SA"/>
                    </w:rPr>
                    <w:t>:</w:t>
                  </w:r>
                </w:p>
              </w:tc>
              <w:tc>
                <w:tcPr>
                  <w:tcW w:w="6432" w:type="dxa"/>
                  <w:tcBorders>
                    <w:tl2br w:val="nil"/>
                    <w:tr2bl w:val="nil"/>
                  </w:tcBorders>
                  <w:vAlign w:val="center"/>
                </w:tcPr>
                <w:p w14:paraId="368F81CA">
                  <w:pPr>
                    <w:spacing w:before="60" w:after="60"/>
                    <w:jc w:val="both"/>
                    <w:rPr>
                      <w:rFonts w:ascii="宋体" w:hAnsi="宋体" w:eastAsia="宋体" w:cs="Arial"/>
                      <w:color w:val="auto"/>
                      <w:sz w:val="21"/>
                      <w:szCs w:val="21"/>
                      <w:lang w:val="en-US" w:eastAsia="zh-CN" w:bidi="ar-SA"/>
                    </w:rPr>
                  </w:pPr>
                  <w:r>
                    <w:rPr>
                      <w:rFonts w:hint="eastAsia" w:ascii="宋体" w:hAnsi="宋体" w:eastAsia="宋体" w:cs="Arial"/>
                      <w:color w:val="auto"/>
                      <w:sz w:val="21"/>
                      <w:szCs w:val="21"/>
                      <w:lang w:val="en-US" w:eastAsia="zh-CN" w:bidi="ar-SA"/>
                    </w:rPr>
                    <w:t>编辑</w:t>
                  </w:r>
                </w:p>
              </w:tc>
            </w:tr>
            <w:tr w14:paraId="633BF0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18DE3480">
                  <w:pPr>
                    <w:spacing w:before="60" w:after="60"/>
                    <w:jc w:val="both"/>
                    <w:rPr>
                      <w:rFonts w:ascii="宋体" w:hAnsi="宋体" w:eastAsia="宋体" w:cs="Arial"/>
                      <w:color w:val="auto"/>
                      <w:sz w:val="21"/>
                      <w:szCs w:val="21"/>
                      <w:lang w:val="en-US" w:eastAsia="en-US" w:bidi="ar-SA"/>
                    </w:rPr>
                  </w:pPr>
                  <w:r>
                    <w:rPr>
                      <w:rFonts w:hint="eastAsia" w:ascii="宋体" w:hAnsi="宋体" w:eastAsia="宋体" w:cs="Arial"/>
                      <w:color w:val="auto"/>
                      <w:sz w:val="21"/>
                      <w:szCs w:val="21"/>
                      <w:lang w:val="en-US" w:eastAsia="zh-CN" w:bidi="ar-SA"/>
                    </w:rPr>
                    <w:t>作者</w:t>
                  </w:r>
                  <w:r>
                    <w:rPr>
                      <w:rFonts w:ascii="宋体" w:hAnsi="宋体" w:eastAsia="宋体" w:cs="Arial"/>
                      <w:color w:val="auto"/>
                      <w:sz w:val="21"/>
                      <w:szCs w:val="21"/>
                      <w:lang w:val="en-US" w:eastAsia="en-US" w:bidi="ar-SA"/>
                    </w:rPr>
                    <w:t>:</w:t>
                  </w:r>
                </w:p>
              </w:tc>
              <w:tc>
                <w:tcPr>
                  <w:tcW w:w="6432" w:type="dxa"/>
                  <w:tcBorders>
                    <w:tl2br w:val="nil"/>
                    <w:tr2bl w:val="nil"/>
                  </w:tcBorders>
                  <w:vAlign w:val="center"/>
                </w:tcPr>
                <w:p w14:paraId="7EB7A7E8">
                  <w:pPr>
                    <w:spacing w:before="60" w:after="60"/>
                    <w:jc w:val="both"/>
                    <w:rPr>
                      <w:rFonts w:hint="default" w:ascii="宋体" w:hAnsi="宋体" w:eastAsia="宋体" w:cs="Arial"/>
                      <w:color w:val="auto"/>
                      <w:sz w:val="21"/>
                      <w:szCs w:val="21"/>
                      <w:lang w:val="en-US" w:eastAsia="zh-CN" w:bidi="ar-SA"/>
                    </w:rPr>
                  </w:pPr>
                  <w:r>
                    <w:rPr>
                      <w:rFonts w:hint="eastAsia" w:ascii="宋体" w:hAnsi="宋体" w:eastAsia="宋体" w:cs="Arial"/>
                      <w:color w:val="auto"/>
                      <w:sz w:val="21"/>
                      <w:szCs w:val="21"/>
                      <w:lang w:val="en-US" w:eastAsia="zh-CN" w:bidi="ar-SA"/>
                    </w:rPr>
                    <w:t>李升阳</w:t>
                  </w:r>
                </w:p>
              </w:tc>
            </w:tr>
            <w:tr w14:paraId="6E295F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05EFE2D2">
                  <w:pPr>
                    <w:spacing w:before="60" w:after="60"/>
                    <w:jc w:val="both"/>
                    <w:rPr>
                      <w:rFonts w:ascii="宋体" w:hAnsi="宋体" w:eastAsia="宋体" w:cs="Arial"/>
                      <w:color w:val="auto"/>
                      <w:sz w:val="21"/>
                      <w:szCs w:val="21"/>
                      <w:lang w:val="en-US" w:eastAsia="en-US" w:bidi="ar-SA"/>
                    </w:rPr>
                  </w:pPr>
                  <w:r>
                    <w:rPr>
                      <w:rFonts w:hint="eastAsia" w:ascii="宋体" w:hAnsi="宋体" w:eastAsia="宋体" w:cs="Arial"/>
                      <w:color w:val="auto"/>
                      <w:sz w:val="21"/>
                      <w:szCs w:val="21"/>
                      <w:lang w:val="en-US" w:eastAsia="zh-CN" w:bidi="ar-SA"/>
                    </w:rPr>
                    <w:t>负责人</w:t>
                  </w:r>
                  <w:r>
                    <w:rPr>
                      <w:rFonts w:ascii="宋体" w:hAnsi="宋体" w:eastAsia="宋体" w:cs="Arial"/>
                      <w:color w:val="auto"/>
                      <w:sz w:val="21"/>
                      <w:szCs w:val="21"/>
                      <w:lang w:val="en-US" w:eastAsia="en-US" w:bidi="ar-SA"/>
                    </w:rPr>
                    <w:t>:</w:t>
                  </w:r>
                </w:p>
              </w:tc>
              <w:tc>
                <w:tcPr>
                  <w:tcW w:w="6432" w:type="dxa"/>
                  <w:tcBorders>
                    <w:tl2br w:val="nil"/>
                    <w:tr2bl w:val="nil"/>
                  </w:tcBorders>
                  <w:vAlign w:val="center"/>
                </w:tcPr>
                <w:p w14:paraId="12CB527F">
                  <w:pPr>
                    <w:spacing w:before="60" w:after="60"/>
                    <w:jc w:val="both"/>
                    <w:rPr>
                      <w:rFonts w:hint="default" w:ascii="宋体" w:hAnsi="宋体" w:eastAsia="宋体" w:cs="Arial"/>
                      <w:color w:val="auto"/>
                      <w:sz w:val="21"/>
                      <w:szCs w:val="21"/>
                      <w:lang w:val="en-US" w:eastAsia="zh-CN" w:bidi="ar-SA"/>
                    </w:rPr>
                  </w:pPr>
                  <w:r>
                    <w:rPr>
                      <w:rFonts w:hint="eastAsia" w:ascii="宋体" w:hAnsi="宋体" w:eastAsia="宋体" w:cs="Arial"/>
                      <w:color w:val="auto"/>
                      <w:sz w:val="21"/>
                      <w:szCs w:val="21"/>
                      <w:lang w:val="en-US" w:eastAsia="zh-CN" w:bidi="ar-SA"/>
                    </w:rPr>
                    <w:t>李升阳</w:t>
                  </w:r>
                </w:p>
              </w:tc>
            </w:tr>
            <w:tr w14:paraId="569833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515EECBF">
                  <w:pPr>
                    <w:spacing w:before="60" w:after="60"/>
                    <w:jc w:val="both"/>
                    <w:rPr>
                      <w:rFonts w:ascii="宋体" w:hAnsi="宋体" w:eastAsia="宋体" w:cs="Arial"/>
                      <w:color w:val="auto"/>
                      <w:sz w:val="21"/>
                      <w:szCs w:val="21"/>
                      <w:lang w:val="en-US" w:eastAsia="en-US" w:bidi="ar-SA"/>
                    </w:rPr>
                  </w:pPr>
                  <w:r>
                    <w:rPr>
                      <w:rFonts w:hint="eastAsia" w:ascii="宋体" w:hAnsi="宋体" w:eastAsia="宋体" w:cs="Arial"/>
                      <w:color w:val="auto"/>
                      <w:sz w:val="21"/>
                      <w:szCs w:val="21"/>
                      <w:lang w:val="en-US" w:eastAsia="zh-CN" w:bidi="ar-SA"/>
                    </w:rPr>
                    <w:t>创建日期</w:t>
                  </w:r>
                  <w:r>
                    <w:rPr>
                      <w:rFonts w:ascii="宋体" w:hAnsi="宋体" w:eastAsia="宋体" w:cs="Arial"/>
                      <w:color w:val="auto"/>
                      <w:sz w:val="21"/>
                      <w:szCs w:val="21"/>
                      <w:lang w:val="en-US" w:eastAsia="en-US" w:bidi="ar-SA"/>
                    </w:rPr>
                    <w:t>:</w:t>
                  </w:r>
                </w:p>
              </w:tc>
              <w:tc>
                <w:tcPr>
                  <w:tcW w:w="6432" w:type="dxa"/>
                  <w:tcBorders>
                    <w:tl2br w:val="nil"/>
                    <w:tr2bl w:val="nil"/>
                  </w:tcBorders>
                  <w:vAlign w:val="center"/>
                </w:tcPr>
                <w:p w14:paraId="7CAC4839">
                  <w:pPr>
                    <w:spacing w:before="60" w:after="60"/>
                    <w:jc w:val="both"/>
                    <w:rPr>
                      <w:rFonts w:ascii="宋体" w:hAnsi="宋体" w:eastAsia="宋体" w:cs="Arial"/>
                      <w:color w:val="auto"/>
                      <w:sz w:val="21"/>
                      <w:szCs w:val="21"/>
                      <w:lang w:val="en-US" w:eastAsia="zh-CN" w:bidi="ar-SA"/>
                    </w:rPr>
                  </w:pPr>
                  <w:r>
                    <w:rPr>
                      <w:rFonts w:hint="eastAsia" w:ascii="宋体" w:hAnsi="宋体" w:eastAsia="宋体" w:cs="Arial"/>
                      <w:color w:val="auto"/>
                      <w:sz w:val="21"/>
                      <w:szCs w:val="21"/>
                      <w:lang w:val="en-US" w:eastAsia="zh-CN" w:bidi="ar-SA"/>
                    </w:rPr>
                    <w:t>2025年12月5日</w:t>
                  </w:r>
                </w:p>
              </w:tc>
            </w:tr>
            <w:tr w14:paraId="4FF74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70" w:type="dxa"/>
                  <w:bottom w:w="0" w:type="dxa"/>
                  <w:right w:w="70" w:type="dxa"/>
                </w:tblCellMar>
              </w:tblPrEx>
              <w:trPr>
                <w:cantSplit/>
                <w:trHeight w:val="511" w:hRule="atLeast"/>
              </w:trPr>
              <w:tc>
                <w:tcPr>
                  <w:tcW w:w="2712" w:type="dxa"/>
                  <w:tcBorders>
                    <w:tl2br w:val="nil"/>
                    <w:tr2bl w:val="nil"/>
                  </w:tcBorders>
                  <w:vAlign w:val="center"/>
                </w:tcPr>
                <w:p w14:paraId="6F836B27">
                  <w:pPr>
                    <w:widowControl w:val="0"/>
                    <w:spacing w:before="120" w:after="120" w:line="24" w:lineRule="atLeast"/>
                    <w:jc w:val="both"/>
                    <w:rPr>
                      <w:rFonts w:ascii="宋体" w:hAnsi="宋体" w:eastAsia="宋体" w:cs="Arial"/>
                      <w:color w:val="auto"/>
                      <w:kern w:val="0"/>
                      <w:sz w:val="21"/>
                      <w:szCs w:val="21"/>
                      <w:lang w:val="en-US" w:eastAsia="en-US"/>
                    </w:rPr>
                  </w:pPr>
                  <w:r>
                    <w:rPr>
                      <w:rFonts w:hint="eastAsia" w:ascii="宋体" w:hAnsi="宋体" w:eastAsia="宋体" w:cs="Arial"/>
                      <w:color w:val="auto"/>
                      <w:kern w:val="0"/>
                      <w:sz w:val="21"/>
                      <w:szCs w:val="21"/>
                      <w:lang w:val="en-US" w:eastAsia="zh-CN"/>
                    </w:rPr>
                    <w:t>更新日期</w:t>
                  </w:r>
                  <w:r>
                    <w:rPr>
                      <w:rFonts w:ascii="宋体" w:hAnsi="宋体" w:eastAsia="宋体" w:cs="Arial"/>
                      <w:color w:val="auto"/>
                      <w:kern w:val="0"/>
                      <w:sz w:val="21"/>
                      <w:szCs w:val="21"/>
                      <w:lang w:val="en-US" w:eastAsia="en-US"/>
                    </w:rPr>
                    <w:t>:</w:t>
                  </w:r>
                </w:p>
              </w:tc>
              <w:tc>
                <w:tcPr>
                  <w:tcW w:w="6432" w:type="dxa"/>
                  <w:tcBorders>
                    <w:tl2br w:val="nil"/>
                    <w:tr2bl w:val="nil"/>
                  </w:tcBorders>
                  <w:vAlign w:val="center"/>
                </w:tcPr>
                <w:p w14:paraId="33A260D8">
                  <w:pPr>
                    <w:spacing w:before="60" w:after="60"/>
                    <w:jc w:val="both"/>
                    <w:rPr>
                      <w:rFonts w:ascii="宋体" w:hAnsi="宋体" w:eastAsia="宋体" w:cs="Arial"/>
                      <w:color w:val="auto"/>
                      <w:sz w:val="21"/>
                      <w:szCs w:val="21"/>
                      <w:lang w:val="en-US" w:eastAsia="zh-CN" w:bidi="ar-SA"/>
                    </w:rPr>
                  </w:pPr>
                  <w:r>
                    <w:rPr>
                      <w:rFonts w:hint="eastAsia" w:ascii="宋体" w:hAnsi="宋体" w:eastAsia="宋体" w:cs="Arial"/>
                      <w:color w:val="auto"/>
                      <w:sz w:val="21"/>
                      <w:szCs w:val="21"/>
                      <w:lang w:val="en-US" w:eastAsia="zh-CN" w:bidi="ar-SA"/>
                    </w:rPr>
                    <w:t>2025年12月5日</w:t>
                  </w:r>
                </w:p>
              </w:tc>
            </w:tr>
          </w:tbl>
          <w:p w14:paraId="2E16B5FB">
            <w:pPr>
              <w:numPr>
                <w:ilvl w:val="0"/>
                <w:numId w:val="0"/>
              </w:numPr>
              <w:spacing w:before="360" w:after="360"/>
              <w:jc w:val="both"/>
              <w:rPr>
                <w:rFonts w:hint="eastAsia" w:ascii="宋体" w:hAnsi="宋体" w:eastAsia="宋体" w:cs="Arial"/>
                <w:b/>
                <w:bCs/>
                <w:color w:val="auto"/>
                <w:sz w:val="48"/>
                <w:szCs w:val="48"/>
                <w:lang w:val="en-US" w:eastAsia="zh-HK" w:bidi="ar-SA"/>
              </w:rPr>
            </w:pPr>
          </w:p>
          <w:p w14:paraId="10FDA65B">
            <w:pPr>
              <w:numPr>
                <w:ilvl w:val="0"/>
                <w:numId w:val="0"/>
              </w:numPr>
              <w:spacing w:before="360" w:after="360"/>
              <w:jc w:val="center"/>
              <w:rPr>
                <w:rFonts w:hint="eastAsia" w:ascii="宋体" w:hAnsi="宋体" w:eastAsia="宋体" w:cs="Arial"/>
                <w:b/>
                <w:bCs/>
                <w:color w:val="auto"/>
                <w:sz w:val="48"/>
                <w:szCs w:val="48"/>
                <w:lang w:val="en-US" w:eastAsia="zh-HK" w:bidi="ar-SA"/>
              </w:rPr>
            </w:pPr>
          </w:p>
          <w:p w14:paraId="2AB850AD">
            <w:pPr>
              <w:numPr>
                <w:ilvl w:val="0"/>
                <w:numId w:val="0"/>
              </w:numPr>
              <w:spacing w:before="360" w:after="360"/>
              <w:jc w:val="both"/>
              <w:rPr>
                <w:rFonts w:hint="eastAsia" w:ascii="宋体" w:hAnsi="宋体" w:eastAsia="宋体" w:cs="Arial"/>
                <w:b/>
                <w:bCs/>
                <w:color w:val="auto"/>
                <w:sz w:val="48"/>
                <w:szCs w:val="48"/>
                <w:lang w:val="en-US" w:eastAsia="zh-HK" w:bidi="ar-SA"/>
              </w:rPr>
            </w:pPr>
          </w:p>
          <w:p w14:paraId="7CE07048">
            <w:pPr>
              <w:numPr>
                <w:ilvl w:val="0"/>
                <w:numId w:val="0"/>
              </w:numPr>
              <w:spacing w:before="360" w:after="360"/>
              <w:jc w:val="both"/>
              <w:rPr>
                <w:rFonts w:hint="eastAsia" w:ascii="宋体" w:hAnsi="宋体" w:eastAsia="宋体" w:cs="Arial"/>
                <w:b/>
                <w:bCs/>
                <w:color w:val="auto"/>
                <w:sz w:val="48"/>
                <w:szCs w:val="48"/>
                <w:lang w:val="en-US" w:eastAsia="zh-HK" w:bidi="ar-SA"/>
              </w:rPr>
            </w:pPr>
          </w:p>
          <w:p w14:paraId="3C5B556D">
            <w:pPr>
              <w:numPr>
                <w:ilvl w:val="0"/>
                <w:numId w:val="0"/>
              </w:numPr>
              <w:spacing w:before="360" w:after="360"/>
              <w:jc w:val="both"/>
              <w:rPr>
                <w:rFonts w:hint="eastAsia" w:ascii="宋体" w:hAnsi="宋体" w:eastAsia="宋体" w:cs="Arial"/>
                <w:b/>
                <w:bCs/>
                <w:color w:val="auto"/>
                <w:sz w:val="48"/>
                <w:szCs w:val="48"/>
                <w:lang w:val="en-US" w:eastAsia="zh-HK" w:bidi="ar-SA"/>
              </w:rPr>
            </w:pPr>
          </w:p>
          <w:p w14:paraId="3BDDC561">
            <w:pPr>
              <w:numPr>
                <w:ilvl w:val="0"/>
                <w:numId w:val="0"/>
              </w:numPr>
              <w:spacing w:before="360" w:after="360"/>
              <w:jc w:val="both"/>
              <w:rPr>
                <w:rFonts w:hint="eastAsia" w:ascii="宋体" w:hAnsi="宋体" w:eastAsia="宋体" w:cs="Arial"/>
                <w:b/>
                <w:bCs/>
                <w:color w:val="auto"/>
                <w:sz w:val="48"/>
                <w:szCs w:val="48"/>
                <w:lang w:val="en-US" w:eastAsia="zh-HK" w:bidi="ar-SA"/>
              </w:rPr>
            </w:pPr>
          </w:p>
          <w:p w14:paraId="6A1A807B">
            <w:pPr>
              <w:numPr>
                <w:ilvl w:val="0"/>
                <w:numId w:val="0"/>
              </w:numPr>
              <w:spacing w:before="360" w:after="360"/>
              <w:jc w:val="both"/>
              <w:rPr>
                <w:rFonts w:hint="eastAsia" w:ascii="宋体" w:hAnsi="宋体" w:eastAsia="宋体" w:cs="Arial"/>
                <w:b/>
                <w:bCs/>
                <w:color w:val="auto"/>
                <w:sz w:val="48"/>
                <w:szCs w:val="48"/>
                <w:lang w:val="en-US" w:eastAsia="zh-HK" w:bidi="ar-SA"/>
              </w:rPr>
            </w:pPr>
          </w:p>
          <w:p w14:paraId="6ACC28FD">
            <w:pPr>
              <w:numPr>
                <w:ilvl w:val="0"/>
                <w:numId w:val="0"/>
              </w:numPr>
              <w:spacing w:before="360" w:after="360"/>
              <w:jc w:val="both"/>
              <w:rPr>
                <w:rFonts w:hint="eastAsia" w:ascii="宋体" w:hAnsi="宋体" w:eastAsia="宋体" w:cs="Arial"/>
                <w:b/>
                <w:bCs/>
                <w:color w:val="auto"/>
                <w:sz w:val="48"/>
                <w:szCs w:val="48"/>
                <w:lang w:val="en-US" w:eastAsia="zh-HK" w:bidi="ar-SA"/>
              </w:rPr>
            </w:pPr>
          </w:p>
          <w:p w14:paraId="7950091E">
            <w:pPr>
              <w:numPr>
                <w:ilvl w:val="0"/>
                <w:numId w:val="0"/>
              </w:numPr>
              <w:spacing w:before="360" w:after="360"/>
              <w:jc w:val="both"/>
              <w:rPr>
                <w:rFonts w:hint="eastAsia" w:ascii="宋体" w:hAnsi="宋体" w:eastAsia="宋体" w:cs="Arial"/>
                <w:b/>
                <w:bCs/>
                <w:color w:val="auto"/>
                <w:sz w:val="48"/>
                <w:szCs w:val="48"/>
                <w:lang w:val="en-US" w:eastAsia="zh-HK" w:bidi="ar-SA"/>
              </w:rPr>
            </w:pPr>
          </w:p>
          <w:p w14:paraId="1BAFD22F">
            <w:pPr>
              <w:numPr>
                <w:ilvl w:val="0"/>
                <w:numId w:val="0"/>
              </w:numPr>
              <w:spacing w:before="360" w:after="360"/>
              <w:jc w:val="both"/>
              <w:rPr>
                <w:rFonts w:hint="eastAsia" w:ascii="宋体" w:hAnsi="宋体" w:eastAsia="宋体" w:cs="Arial"/>
                <w:b/>
                <w:bCs/>
                <w:color w:val="auto"/>
                <w:sz w:val="48"/>
                <w:szCs w:val="48"/>
                <w:lang w:val="en-US" w:eastAsia="zh-HK" w:bidi="ar-SA"/>
              </w:rPr>
            </w:pPr>
          </w:p>
          <w:p w14:paraId="0EC8A824">
            <w:pPr>
              <w:numPr>
                <w:ilvl w:val="0"/>
                <w:numId w:val="0"/>
              </w:numPr>
              <w:spacing w:before="360" w:after="360"/>
              <w:jc w:val="both"/>
              <w:rPr>
                <w:rFonts w:hint="eastAsia" w:ascii="宋体" w:hAnsi="宋体" w:eastAsia="宋体" w:cs="Arial"/>
                <w:b/>
                <w:bCs/>
                <w:color w:val="auto"/>
                <w:sz w:val="48"/>
                <w:szCs w:val="48"/>
                <w:lang w:val="en-US" w:eastAsia="zh-HK" w:bidi="ar-SA"/>
              </w:rPr>
            </w:pPr>
          </w:p>
          <w:p w14:paraId="78B448EB">
            <w:pPr>
              <w:numPr>
                <w:ilvl w:val="0"/>
                <w:numId w:val="0"/>
              </w:numPr>
              <w:spacing w:before="360" w:after="360"/>
              <w:jc w:val="both"/>
              <w:rPr>
                <w:rFonts w:hint="eastAsia" w:ascii="宋体" w:hAnsi="宋体" w:eastAsia="宋体" w:cs="Arial"/>
                <w:b/>
                <w:bCs/>
                <w:color w:val="auto"/>
                <w:sz w:val="48"/>
                <w:szCs w:val="48"/>
                <w:lang w:val="en-US" w:eastAsia="zh-HK" w:bidi="ar-SA"/>
              </w:rPr>
            </w:pPr>
          </w:p>
          <w:p w14:paraId="75B2EEBA">
            <w:pPr>
              <w:numPr>
                <w:ilvl w:val="0"/>
                <w:numId w:val="0"/>
              </w:numPr>
              <w:spacing w:before="360" w:after="360"/>
              <w:jc w:val="both"/>
              <w:rPr>
                <w:rFonts w:hint="eastAsia" w:ascii="宋体" w:hAnsi="宋体" w:eastAsia="宋体" w:cs="Arial"/>
                <w:b/>
                <w:bCs/>
                <w:color w:val="auto"/>
                <w:sz w:val="48"/>
                <w:szCs w:val="48"/>
                <w:lang w:val="en-US" w:eastAsia="zh-HK" w:bidi="ar-SA"/>
              </w:rPr>
            </w:pPr>
          </w:p>
          <w:p w14:paraId="072D601E">
            <w:pPr>
              <w:numPr>
                <w:ilvl w:val="0"/>
                <w:numId w:val="0"/>
              </w:numPr>
              <w:spacing w:before="360" w:after="360"/>
              <w:jc w:val="both"/>
              <w:rPr>
                <w:rFonts w:hint="eastAsia" w:ascii="宋体" w:hAnsi="宋体" w:eastAsia="宋体" w:cs="Arial"/>
                <w:b/>
                <w:bCs/>
                <w:color w:val="auto"/>
                <w:sz w:val="48"/>
                <w:szCs w:val="48"/>
                <w:lang w:val="en-US" w:eastAsia="zh-HK" w:bidi="ar-SA"/>
              </w:rPr>
            </w:pPr>
          </w:p>
          <w:p w14:paraId="25AF3770">
            <w:pPr>
              <w:numPr>
                <w:ilvl w:val="0"/>
                <w:numId w:val="0"/>
              </w:numPr>
              <w:spacing w:before="360" w:after="360"/>
              <w:jc w:val="both"/>
              <w:rPr>
                <w:rFonts w:hint="eastAsia" w:ascii="宋体" w:hAnsi="宋体" w:eastAsia="宋体" w:cs="Arial"/>
                <w:b/>
                <w:bCs/>
                <w:color w:val="auto"/>
                <w:sz w:val="48"/>
                <w:szCs w:val="48"/>
                <w:lang w:val="en-US" w:eastAsia="zh-HK" w:bidi="ar-SA"/>
              </w:rPr>
            </w:pPr>
          </w:p>
          <w:p w14:paraId="28954572">
            <w:pPr>
              <w:numPr>
                <w:ilvl w:val="0"/>
                <w:numId w:val="0"/>
              </w:numPr>
              <w:spacing w:before="360" w:after="360"/>
              <w:jc w:val="both"/>
              <w:rPr>
                <w:rFonts w:hint="eastAsia" w:ascii="宋体" w:hAnsi="宋体" w:eastAsia="宋体" w:cs="Arial"/>
                <w:b/>
                <w:bCs/>
                <w:color w:val="auto"/>
                <w:sz w:val="48"/>
                <w:szCs w:val="48"/>
                <w:lang w:val="en-US" w:eastAsia="zh-HK" w:bidi="ar-SA"/>
              </w:rPr>
            </w:pPr>
          </w:p>
          <w:p w14:paraId="67F5CA82">
            <w:pPr>
              <w:numPr>
                <w:ilvl w:val="0"/>
                <w:numId w:val="0"/>
              </w:numPr>
              <w:spacing w:before="360" w:after="360"/>
              <w:jc w:val="both"/>
              <w:rPr>
                <w:rFonts w:hint="eastAsia" w:ascii="宋体" w:hAnsi="宋体" w:eastAsia="宋体" w:cs="Arial"/>
                <w:b/>
                <w:bCs/>
                <w:color w:val="auto"/>
                <w:sz w:val="48"/>
                <w:szCs w:val="48"/>
                <w:lang w:val="en-US" w:eastAsia="zh-HK" w:bidi="ar-SA"/>
              </w:rPr>
            </w:pPr>
          </w:p>
          <w:p w14:paraId="6EDCE06E">
            <w:pPr>
              <w:numPr>
                <w:ilvl w:val="0"/>
                <w:numId w:val="0"/>
              </w:numPr>
              <w:spacing w:before="360" w:after="360"/>
              <w:jc w:val="both"/>
              <w:rPr>
                <w:rFonts w:hint="eastAsia" w:ascii="宋体" w:hAnsi="宋体" w:eastAsia="宋体" w:cs="Arial"/>
                <w:b/>
                <w:bCs/>
                <w:color w:val="auto"/>
                <w:sz w:val="48"/>
                <w:szCs w:val="48"/>
                <w:lang w:val="en-US" w:eastAsia="zh-HK" w:bidi="ar-SA"/>
              </w:rPr>
            </w:pPr>
          </w:p>
          <w:p w14:paraId="2A377C0C">
            <w:pPr>
              <w:numPr>
                <w:ilvl w:val="0"/>
                <w:numId w:val="0"/>
              </w:numPr>
              <w:spacing w:before="360" w:after="360"/>
              <w:jc w:val="both"/>
              <w:rPr>
                <w:rFonts w:hint="eastAsia" w:ascii="宋体" w:hAnsi="宋体" w:eastAsia="宋体" w:cs="Arial"/>
                <w:b/>
                <w:bCs/>
                <w:color w:val="auto"/>
                <w:sz w:val="48"/>
                <w:szCs w:val="48"/>
                <w:lang w:val="en-US" w:eastAsia="zh-HK" w:bidi="ar-SA"/>
              </w:rPr>
            </w:pPr>
          </w:p>
          <w:p w14:paraId="69711360">
            <w:pPr>
              <w:numPr>
                <w:ilvl w:val="0"/>
                <w:numId w:val="0"/>
              </w:numPr>
              <w:spacing w:before="360" w:after="360"/>
              <w:jc w:val="both"/>
              <w:rPr>
                <w:rFonts w:hint="eastAsia" w:ascii="宋体" w:hAnsi="宋体" w:eastAsia="宋体" w:cs="Arial"/>
                <w:b/>
                <w:bCs/>
                <w:color w:val="auto"/>
                <w:sz w:val="48"/>
                <w:szCs w:val="48"/>
                <w:lang w:val="en-US" w:eastAsia="zh-HK" w:bidi="ar-SA"/>
              </w:rPr>
            </w:pPr>
          </w:p>
          <w:p w14:paraId="7F3F8B02">
            <w:pPr>
              <w:numPr>
                <w:ilvl w:val="0"/>
                <w:numId w:val="0"/>
              </w:numPr>
              <w:spacing w:before="360" w:after="360"/>
              <w:jc w:val="both"/>
              <w:rPr>
                <w:rFonts w:hint="eastAsia" w:ascii="宋体" w:hAnsi="宋体" w:eastAsia="宋体" w:cs="Arial"/>
                <w:b/>
                <w:bCs/>
                <w:color w:val="auto"/>
                <w:sz w:val="48"/>
                <w:szCs w:val="48"/>
                <w:lang w:val="en-US" w:eastAsia="zh-HK" w:bidi="ar-SA"/>
              </w:rPr>
            </w:pPr>
          </w:p>
          <w:p w14:paraId="29988635">
            <w:pPr>
              <w:numPr>
                <w:ilvl w:val="0"/>
                <w:numId w:val="0"/>
              </w:numPr>
              <w:spacing w:before="360" w:after="360"/>
              <w:jc w:val="both"/>
              <w:rPr>
                <w:rFonts w:hint="eastAsia" w:ascii="宋体" w:hAnsi="宋体" w:eastAsia="宋体" w:cs="Arial"/>
                <w:b/>
                <w:bCs/>
                <w:color w:val="auto"/>
                <w:sz w:val="48"/>
                <w:szCs w:val="48"/>
                <w:lang w:val="en-US" w:eastAsia="zh-HK" w:bidi="ar-SA"/>
              </w:rPr>
            </w:pPr>
          </w:p>
        </w:tc>
      </w:tr>
    </w:tbl>
    <w:p w14:paraId="266A7039">
      <w:r>
        <w:rPr>
          <w:rFonts w:ascii="黑体" w:hAnsi="黑体" w:eastAsia="黑体"/>
          <w:b/>
          <w:sz w:val="32"/>
        </w:rPr>
        <w:t>目录</w:t>
      </w:r>
    </w:p>
    <w:p w14:paraId="3F2FC37B">
      <w:pPr>
        <w:ind w:firstLine="480"/>
      </w:pPr>
      <w:r>
        <w:rPr>
          <w:rFonts w:ascii="宋体" w:hAnsi="宋体" w:eastAsia="宋体"/>
          <w:sz w:val="24"/>
        </w:rPr>
        <w:t>1 简介</w:t>
      </w:r>
    </w:p>
    <w:p w14:paraId="5BD115B1">
      <w:pPr>
        <w:ind w:firstLine="480"/>
      </w:pPr>
      <w:r>
        <w:rPr>
          <w:rFonts w:ascii="宋体" w:hAnsi="宋体" w:eastAsia="宋体"/>
          <w:sz w:val="24"/>
        </w:rPr>
        <w:t xml:space="preserve">  1.1 编写目的</w:t>
      </w:r>
    </w:p>
    <w:p w14:paraId="104E3438">
      <w:pPr>
        <w:ind w:firstLine="480"/>
      </w:pPr>
      <w:r>
        <w:rPr>
          <w:rFonts w:ascii="宋体" w:hAnsi="宋体" w:eastAsia="宋体"/>
          <w:sz w:val="24"/>
        </w:rPr>
        <w:t xml:space="preserve">  1.2 使用对象</w:t>
      </w:r>
    </w:p>
    <w:p w14:paraId="745A189F">
      <w:pPr>
        <w:ind w:firstLine="480"/>
      </w:pPr>
      <w:r>
        <w:rPr>
          <w:rFonts w:ascii="宋体" w:hAnsi="宋体" w:eastAsia="宋体"/>
          <w:sz w:val="24"/>
        </w:rPr>
        <w:t xml:space="preserve">  1.3 产品范围</w:t>
      </w:r>
    </w:p>
    <w:p w14:paraId="3FC65768">
      <w:pPr>
        <w:ind w:firstLine="480"/>
      </w:pPr>
      <w:r>
        <w:rPr>
          <w:rFonts w:ascii="宋体" w:hAnsi="宋体" w:eastAsia="宋体"/>
          <w:sz w:val="24"/>
        </w:rPr>
        <w:t xml:space="preserve">  1.4 适用与非适用边界</w:t>
      </w:r>
    </w:p>
    <w:p w14:paraId="1D3DF825">
      <w:pPr>
        <w:ind w:firstLine="480"/>
      </w:pPr>
      <w:r>
        <w:rPr>
          <w:rFonts w:ascii="宋体" w:hAnsi="宋体" w:eastAsia="宋体"/>
          <w:sz w:val="24"/>
        </w:rPr>
        <w:t xml:space="preserve">  1.5 典型应用场景</w:t>
      </w:r>
    </w:p>
    <w:p w14:paraId="52521B00">
      <w:pPr>
        <w:ind w:firstLine="480"/>
      </w:pPr>
      <w:r>
        <w:rPr>
          <w:rFonts w:ascii="宋体" w:hAnsi="宋体" w:eastAsia="宋体"/>
          <w:sz w:val="24"/>
        </w:rPr>
        <w:t>2 产品概述</w:t>
      </w:r>
    </w:p>
    <w:p w14:paraId="5B8660EB">
      <w:pPr>
        <w:ind w:firstLine="480"/>
      </w:pPr>
      <w:r>
        <w:rPr>
          <w:rFonts w:ascii="宋体" w:hAnsi="宋体" w:eastAsia="宋体"/>
          <w:sz w:val="24"/>
        </w:rPr>
        <w:t xml:space="preserve">  2.1 总体框架</w:t>
      </w:r>
    </w:p>
    <w:p w14:paraId="07D195E7">
      <w:pPr>
        <w:ind w:firstLine="480"/>
      </w:pPr>
      <w:r>
        <w:rPr>
          <w:rFonts w:ascii="宋体" w:hAnsi="宋体" w:eastAsia="宋体"/>
          <w:sz w:val="24"/>
        </w:rPr>
        <w:t xml:space="preserve">  2.2 系统架构</w:t>
      </w:r>
    </w:p>
    <w:p w14:paraId="2E544745">
      <w:pPr>
        <w:ind w:firstLine="480"/>
      </w:pPr>
      <w:r>
        <w:rPr>
          <w:rFonts w:ascii="宋体" w:hAnsi="宋体" w:eastAsia="宋体"/>
          <w:sz w:val="24"/>
        </w:rPr>
        <w:t xml:space="preserve">  2.3 模块描述</w:t>
      </w:r>
    </w:p>
    <w:p w14:paraId="4F910428">
      <w:pPr>
        <w:ind w:firstLine="480"/>
      </w:pPr>
      <w:r>
        <w:rPr>
          <w:rFonts w:ascii="宋体" w:hAnsi="宋体" w:eastAsia="宋体"/>
          <w:sz w:val="24"/>
        </w:rPr>
        <w:t>3 使用说明</w:t>
      </w:r>
    </w:p>
    <w:p w14:paraId="4490D638">
      <w:r>
        <w:br w:type="page"/>
      </w:r>
    </w:p>
    <w:p w14:paraId="642F16BA">
      <w:r>
        <w:rPr>
          <w:rFonts w:ascii="黑体" w:hAnsi="黑体" w:eastAsia="黑体"/>
          <w:b/>
          <w:sz w:val="32"/>
        </w:rPr>
        <w:t>1 简介</w:t>
      </w:r>
    </w:p>
    <w:p w14:paraId="7C0F9926">
      <w:r>
        <w:rPr>
          <w:rFonts w:ascii="黑体" w:hAnsi="黑体" w:eastAsia="黑体"/>
          <w:b/>
          <w:sz w:val="28"/>
        </w:rPr>
        <w:t>1.1 编写目的</w:t>
      </w:r>
    </w:p>
    <w:p w14:paraId="4573861D">
      <w:pPr>
        <w:ind w:firstLine="480"/>
      </w:pPr>
      <w:r>
        <w:rPr>
          <w:rFonts w:ascii="宋体" w:hAnsi="宋体" w:eastAsia="宋体"/>
          <w:sz w:val="24"/>
        </w:rPr>
        <w:t>本设计说明报告用于软件著作权登记材料编制，描述“脑肿瘤检测系统”的产品定位、总体框架、系统架构、核心模块、接口与使用方式。报告从工程实现角度说明软件的组成、数据流与关键处理逻辑，便于第三方理解软件实现范围与工作原理。</w:t>
      </w:r>
    </w:p>
    <w:p w14:paraId="605D3E38">
      <w:r>
        <w:rPr>
          <w:rFonts w:ascii="黑体" w:hAnsi="黑体" w:eastAsia="黑体"/>
          <w:b/>
          <w:sz w:val="28"/>
        </w:rPr>
        <w:t>1.2 使用对象</w:t>
      </w:r>
    </w:p>
    <w:p w14:paraId="680B98BD">
      <w:pPr>
        <w:ind w:firstLine="480"/>
      </w:pPr>
      <w:r>
        <w:rPr>
          <w:rFonts w:ascii="宋体" w:hAnsi="宋体" w:eastAsia="宋体"/>
          <w:sz w:val="24"/>
        </w:rPr>
        <w:t>本系统面向以下使用对象：</w:t>
      </w:r>
    </w:p>
    <w:p w14:paraId="45B5F954">
      <w:pPr>
        <w:pStyle w:val="16"/>
      </w:pPr>
      <w:r>
        <w:rPr>
          <w:rFonts w:ascii="宋体" w:hAnsi="宋体" w:eastAsia="宋体"/>
          <w:sz w:val="24"/>
        </w:rPr>
        <w:t>医学影像AI辅助诊断研究人员：用于科研验证与算法对比。</w:t>
      </w:r>
    </w:p>
    <w:p w14:paraId="785C4EF1">
      <w:pPr>
        <w:pStyle w:val="16"/>
      </w:pPr>
      <w:r>
        <w:rPr>
          <w:rFonts w:ascii="宋体" w:hAnsi="宋体" w:eastAsia="宋体"/>
          <w:sz w:val="24"/>
        </w:rPr>
        <w:t>医疗信息化/工程技术人员：用于部署、集成与功能验证。</w:t>
      </w:r>
    </w:p>
    <w:p w14:paraId="1A82BF7F">
      <w:pPr>
        <w:pStyle w:val="16"/>
      </w:pPr>
      <w:r>
        <w:rPr>
          <w:rFonts w:ascii="宋体" w:hAnsi="宋体" w:eastAsia="宋体"/>
          <w:sz w:val="24"/>
        </w:rPr>
        <w:t>教学与竞赛使用者：用于课程实验、模型推理演示与批量评测。</w:t>
      </w:r>
    </w:p>
    <w:p w14:paraId="393DE00B">
      <w:pPr>
        <w:pStyle w:val="16"/>
      </w:pPr>
      <w:r>
        <w:rPr>
          <w:rFonts w:ascii="宋体" w:hAnsi="宋体" w:eastAsia="宋体"/>
          <w:sz w:val="24"/>
        </w:rPr>
        <w:t>非专业终端用户：通过浏览器界面上传影像，查看推理与可视化结果。</w:t>
      </w:r>
    </w:p>
    <w:p w14:paraId="01F98B5F">
      <w:r>
        <w:rPr>
          <w:rFonts w:ascii="黑体" w:hAnsi="黑体" w:eastAsia="黑体"/>
          <w:b/>
          <w:sz w:val="28"/>
        </w:rPr>
        <w:t>1.3 产品范围</w:t>
      </w:r>
    </w:p>
    <w:p w14:paraId="423FF043">
      <w:pPr>
        <w:ind w:firstLine="480"/>
      </w:pPr>
      <w:r>
        <w:rPr>
          <w:rFonts w:ascii="宋体" w:hAnsi="宋体" w:eastAsia="宋体"/>
          <w:sz w:val="24"/>
        </w:rPr>
        <w:t>系统提供从影像上传、模型推理到结果展示的一体化流程，范围包括：</w:t>
      </w:r>
    </w:p>
    <w:p w14:paraId="0A47910D">
      <w:pPr>
        <w:pStyle w:val="16"/>
      </w:pPr>
      <w:r>
        <w:rPr>
          <w:rFonts w:ascii="宋体" w:hAnsi="宋体" w:eastAsia="宋体"/>
          <w:sz w:val="24"/>
        </w:rPr>
        <w:t>Web交互：浏览器端上传单张医学影像，查看预测结论、置信度与可视化图。</w:t>
      </w:r>
    </w:p>
    <w:p w14:paraId="3252B7B6">
      <w:pPr>
        <w:pStyle w:val="16"/>
      </w:pPr>
      <w:r>
        <w:rPr>
          <w:rFonts w:ascii="宋体" w:hAnsi="宋体" w:eastAsia="宋体"/>
          <w:sz w:val="24"/>
        </w:rPr>
        <w:t>检测推理：对影像进行肿瘤存在性判断与定位，输出分类与边界框。</w:t>
      </w:r>
    </w:p>
    <w:p w14:paraId="2A4D60ED">
      <w:pPr>
        <w:pStyle w:val="16"/>
      </w:pPr>
      <w:r>
        <w:rPr>
          <w:rFonts w:ascii="宋体" w:hAnsi="宋体" w:eastAsia="宋体"/>
          <w:sz w:val="24"/>
        </w:rPr>
        <w:t>分割推理：分割模型输出肿瘤区域掩码（可选）。</w:t>
      </w:r>
    </w:p>
    <w:p w14:paraId="005D8633">
      <w:pPr>
        <w:pStyle w:val="16"/>
      </w:pPr>
      <w:r>
        <w:rPr>
          <w:rFonts w:ascii="宋体" w:hAnsi="宋体" w:eastAsia="宋体"/>
          <w:sz w:val="24"/>
        </w:rPr>
        <w:t>结果导出：支持导出检测结果（Web端JSON、批处理CSV）。</w:t>
      </w:r>
    </w:p>
    <w:p w14:paraId="6F3AC2CF">
      <w:pPr>
        <w:pStyle w:val="16"/>
      </w:pPr>
      <w:r>
        <w:rPr>
          <w:rFonts w:ascii="宋体" w:hAnsi="宋体" w:eastAsia="宋体"/>
          <w:sz w:val="24"/>
        </w:rPr>
        <w:t>批量处理：对目录内图像批量推理并输出报告与可视化结果。</w:t>
      </w:r>
    </w:p>
    <w:p w14:paraId="59BFC247">
      <w:pPr>
        <w:pStyle w:val="16"/>
      </w:pPr>
      <w:r>
        <w:rPr>
          <w:rFonts w:ascii="宋体" w:hAnsi="宋体" w:eastAsia="宋体"/>
          <w:sz w:val="24"/>
        </w:rPr>
        <w:t>启动自检：检查Python版本、依赖包、模型文件与目录结构。</w:t>
      </w:r>
    </w:p>
    <w:p w14:paraId="45443BBC">
      <w:r>
        <w:rPr>
          <w:rFonts w:ascii="黑体" w:hAnsi="黑体" w:eastAsia="黑体"/>
          <w:b/>
          <w:sz w:val="28"/>
        </w:rPr>
        <w:t>1.4 适用与非适用边界</w:t>
      </w:r>
    </w:p>
    <w:p w14:paraId="4EDC9F9F">
      <w:pPr>
        <w:ind w:firstLine="480"/>
      </w:pPr>
      <w:r>
        <w:rPr>
          <w:rFonts w:ascii="宋体" w:hAnsi="宋体" w:eastAsia="宋体"/>
          <w:sz w:val="24"/>
        </w:rPr>
        <w:t>适用边界：</w:t>
      </w:r>
    </w:p>
    <w:p w14:paraId="651107A7">
      <w:pPr>
        <w:pStyle w:val="16"/>
      </w:pPr>
      <w:r>
        <w:rPr>
          <w:rFonts w:ascii="宋体" w:hAnsi="宋体" w:eastAsia="宋体"/>
          <w:sz w:val="24"/>
        </w:rPr>
        <w:t>适用于在本地计算机或工作站上进行医学影像肿瘤筛查的科研验证与演示。</w:t>
      </w:r>
    </w:p>
    <w:p w14:paraId="5E2A2A81">
      <w:pPr>
        <w:pStyle w:val="16"/>
      </w:pPr>
      <w:r>
        <w:rPr>
          <w:rFonts w:ascii="宋体" w:hAnsi="宋体" w:eastAsia="宋体"/>
          <w:sz w:val="24"/>
        </w:rPr>
        <w:t>适用于单机或局域网环境部署，通过HTTP接口提供推理服务。</w:t>
      </w:r>
    </w:p>
    <w:p w14:paraId="4794C57A">
      <w:pPr>
        <w:pStyle w:val="16"/>
      </w:pPr>
      <w:r>
        <w:rPr>
          <w:rFonts w:ascii="宋体" w:hAnsi="宋体" w:eastAsia="宋体"/>
          <w:sz w:val="24"/>
        </w:rPr>
        <w:t>适用于常见图像格式（PNG、JPG/JPEG、BMP、TIF/TIFF）的二维影像输入。</w:t>
      </w:r>
    </w:p>
    <w:p w14:paraId="5982A667">
      <w:pPr>
        <w:ind w:firstLine="480"/>
      </w:pPr>
      <w:r>
        <w:rPr>
          <w:rFonts w:ascii="宋体" w:hAnsi="宋体" w:eastAsia="宋体"/>
          <w:sz w:val="24"/>
        </w:rPr>
        <w:t>非适用边界：</w:t>
      </w:r>
    </w:p>
    <w:p w14:paraId="298AAAB3">
      <w:pPr>
        <w:pStyle w:val="16"/>
      </w:pPr>
      <w:r>
        <w:rPr>
          <w:rFonts w:ascii="宋体" w:hAnsi="宋体" w:eastAsia="宋体"/>
          <w:sz w:val="24"/>
        </w:rPr>
        <w:t>系统输出仅供参考，不替代医师诊断或临床确诊。</w:t>
      </w:r>
    </w:p>
    <w:p w14:paraId="3E6CCEA4">
      <w:pPr>
        <w:pStyle w:val="16"/>
      </w:pPr>
      <w:r>
        <w:rPr>
          <w:rFonts w:ascii="宋体" w:hAnsi="宋体" w:eastAsia="宋体"/>
          <w:sz w:val="24"/>
        </w:rPr>
        <w:t>不包含生产级用户权限、审计、电子病历集成与数据治理能力。</w:t>
      </w:r>
    </w:p>
    <w:p w14:paraId="32B38A4A">
      <w:pPr>
        <w:pStyle w:val="16"/>
      </w:pPr>
      <w:r>
        <w:rPr>
          <w:rFonts w:ascii="宋体" w:hAnsi="宋体" w:eastAsia="宋体"/>
          <w:sz w:val="24"/>
        </w:rPr>
        <w:t>不提供完整DICOM全流程（标签解析、序列管理、脱敏）能力。</w:t>
      </w:r>
    </w:p>
    <w:p w14:paraId="605C856D">
      <w:r>
        <w:rPr>
          <w:rFonts w:ascii="黑体" w:hAnsi="黑体" w:eastAsia="黑体"/>
          <w:b/>
          <w:sz w:val="28"/>
        </w:rPr>
        <w:t>1.5 典型应用场景</w:t>
      </w:r>
    </w:p>
    <w:p w14:paraId="24DBCDC2">
      <w:pPr>
        <w:pStyle w:val="16"/>
      </w:pPr>
      <w:r>
        <w:rPr>
          <w:rFonts w:ascii="宋体" w:hAnsi="宋体" w:eastAsia="宋体"/>
          <w:sz w:val="24"/>
        </w:rPr>
        <w:t>教学演示：通过浏览器上传样例影像，展示AI推理与可视化结果。</w:t>
      </w:r>
    </w:p>
    <w:p w14:paraId="47F843A5">
      <w:pPr>
        <w:pStyle w:val="16"/>
      </w:pPr>
      <w:r>
        <w:rPr>
          <w:rFonts w:ascii="宋体" w:hAnsi="宋体" w:eastAsia="宋体"/>
          <w:sz w:val="24"/>
        </w:rPr>
        <w:t>算法验证：更换模型权重后快速验证推理效果与接口字段一致性。</w:t>
      </w:r>
    </w:p>
    <w:p w14:paraId="51D88BD2">
      <w:pPr>
        <w:pStyle w:val="16"/>
      </w:pPr>
      <w:r>
        <w:rPr>
          <w:rFonts w:ascii="宋体" w:hAnsi="宋体" w:eastAsia="宋体"/>
          <w:sz w:val="24"/>
        </w:rPr>
        <w:t>批量评测：对目录影像执行批处理，生成CSV报告与可视化产物。</w:t>
      </w:r>
    </w:p>
    <w:p w14:paraId="5785EA4C">
      <w:pPr>
        <w:pStyle w:val="16"/>
      </w:pPr>
      <w:r>
        <w:rPr>
          <w:rFonts w:ascii="宋体" w:hAnsi="宋体" w:eastAsia="宋体"/>
          <w:sz w:val="24"/>
        </w:rPr>
        <w:t>工程集成：第三方系统通过REST接口调用检测服务并获取JSON结果。</w:t>
      </w:r>
    </w:p>
    <w:p w14:paraId="7434DEF6">
      <w:r>
        <w:br w:type="page"/>
      </w:r>
    </w:p>
    <w:p w14:paraId="66A430CB">
      <w:r>
        <w:rPr>
          <w:rFonts w:ascii="黑体" w:hAnsi="黑体" w:eastAsia="黑体"/>
          <w:b/>
          <w:sz w:val="32"/>
        </w:rPr>
        <w:t>2 产品概述</w:t>
      </w:r>
    </w:p>
    <w:p w14:paraId="210299FD">
      <w:r>
        <w:rPr>
          <w:rFonts w:ascii="黑体" w:hAnsi="黑体" w:eastAsia="黑体"/>
          <w:b/>
          <w:sz w:val="28"/>
        </w:rPr>
        <w:t>2.1 总体框架</w:t>
      </w:r>
    </w:p>
    <w:p w14:paraId="292DD57C">
      <w:pPr>
        <w:ind w:firstLine="480"/>
      </w:pPr>
      <w:r>
        <w:rPr>
          <w:rFonts w:ascii="宋体" w:hAnsi="宋体" w:eastAsia="宋体"/>
          <w:sz w:val="24"/>
        </w:rPr>
        <w:t>系统总体采用“前端展示 + 后端服务 + 模型推理”的三层框架。前端负责文件选择、上传与结果可视化展示；后端基于Flask提供HTTP接口与页面渲染，完成文件校验、推理调度、结果组织与返回；推理层调用训练好的检测/分割模型权重，输出分类/定位/掩码等结果并生成可视化图。</w:t>
      </w:r>
    </w:p>
    <w:p w14:paraId="49296E60">
      <w:pPr>
        <w:ind w:firstLine="480"/>
      </w:pPr>
      <w:r>
        <w:rPr>
          <w:rFonts w:ascii="宋体" w:hAnsi="宋体" w:eastAsia="宋体"/>
          <w:sz w:val="24"/>
        </w:rPr>
        <w:t>关键数据对象包括：上传影像文件、预测标签、概率/置信度、可视化图像（Base64编码）、边界框与分割掩码等。</w:t>
      </w:r>
    </w:p>
    <w:p w14:paraId="1B3D5EA0">
      <w:r>
        <w:rPr>
          <w:rFonts w:ascii="黑体" w:hAnsi="黑体" w:eastAsia="黑体"/>
          <w:b/>
          <w:sz w:val="28"/>
        </w:rPr>
        <w:t>2.2 系统架构</w:t>
      </w:r>
    </w:p>
    <w:p w14:paraId="38EA4F36">
      <w:pPr>
        <w:ind w:firstLine="480"/>
      </w:pPr>
      <w:r>
        <w:rPr>
          <w:rFonts w:ascii="宋体" w:hAnsi="宋体" w:eastAsia="宋体"/>
          <w:sz w:val="24"/>
        </w:rPr>
        <w:t>从逻辑架构角度，系统划分为表示层、服务层、算法层与数据层：</w:t>
      </w:r>
    </w:p>
    <w:p w14:paraId="1062825C">
      <w:pPr>
        <w:pStyle w:val="16"/>
      </w:pPr>
      <w:r>
        <w:rPr>
          <w:rFonts w:ascii="宋体" w:hAnsi="宋体" w:eastAsia="宋体"/>
          <w:sz w:val="24"/>
        </w:rPr>
        <w:t>表示层（Web UI）：HTML/CSS/JavaScript页面，负责交互与结果展示。</w:t>
      </w:r>
    </w:p>
    <w:p w14:paraId="3417153F">
      <w:pPr>
        <w:pStyle w:val="16"/>
      </w:pPr>
      <w:r>
        <w:rPr>
          <w:rFonts w:ascii="宋体" w:hAnsi="宋体" w:eastAsia="宋体"/>
          <w:sz w:val="24"/>
        </w:rPr>
        <w:t>服务层（Flask API）：路由控制、上传管理、参数校验、统一JSON响应。</w:t>
      </w:r>
    </w:p>
    <w:p w14:paraId="2150049E">
      <w:pPr>
        <w:pStyle w:val="16"/>
      </w:pPr>
      <w:r>
        <w:rPr>
          <w:rFonts w:ascii="宋体" w:hAnsi="宋体" w:eastAsia="宋体"/>
          <w:sz w:val="24"/>
        </w:rPr>
        <w:t>算法层（推理引擎）：加载模型权重，执行检测/分割推理与后处理。</w:t>
      </w:r>
    </w:p>
    <w:p w14:paraId="69EA6669">
      <w:pPr>
        <w:pStyle w:val="16"/>
      </w:pPr>
      <w:r>
        <w:rPr>
          <w:rFonts w:ascii="宋体" w:hAnsi="宋体" w:eastAsia="宋体"/>
          <w:sz w:val="24"/>
        </w:rPr>
        <w:t>数据层（文件系统）：模型文件、上传文件、结果文件、批处理输出与可视化产物。</w:t>
      </w:r>
    </w:p>
    <w:p w14:paraId="2A37DC70">
      <w:pPr>
        <w:ind w:firstLine="480"/>
      </w:pPr>
      <w:r>
        <w:rPr>
          <w:rFonts w:ascii="宋体" w:hAnsi="宋体" w:eastAsia="宋体"/>
          <w:sz w:val="24"/>
        </w:rPr>
        <w:t>典型调用链如下：</w:t>
      </w:r>
    </w:p>
    <w:p w14:paraId="74092EA2">
      <w:pPr>
        <w:ind w:left="480"/>
      </w:pPr>
      <w:r>
        <w:rPr>
          <w:rFonts w:ascii="Consolas" w:hAnsi="Consolas" w:eastAsia="Consolas"/>
          <w:sz w:val="20"/>
        </w:rPr>
        <w:t>浏览器 -&gt; POST /api/detect (multipart/form-data: file)</w:t>
      </w:r>
    </w:p>
    <w:p w14:paraId="61FB8DF5">
      <w:pPr>
        <w:ind w:left="480"/>
      </w:pPr>
      <w:r>
        <w:rPr>
          <w:rFonts w:ascii="Consolas" w:hAnsi="Consolas" w:eastAsia="Consolas"/>
          <w:sz w:val="20"/>
        </w:rPr>
        <w:t xml:space="preserve">  Flask 保存 uploads/ 临时文件</w:t>
      </w:r>
    </w:p>
    <w:p w14:paraId="508793CA">
      <w:pPr>
        <w:ind w:left="480"/>
      </w:pPr>
      <w:r>
        <w:rPr>
          <w:rFonts w:ascii="Consolas" w:hAnsi="Consolas" w:eastAsia="Consolas"/>
          <w:sz w:val="20"/>
        </w:rPr>
        <w:t xml:space="preserve">  推理模块加载模型并执行预测</w:t>
      </w:r>
    </w:p>
    <w:p w14:paraId="1D874145">
      <w:pPr>
        <w:ind w:left="480"/>
      </w:pPr>
      <w:r>
        <w:rPr>
          <w:rFonts w:ascii="Consolas" w:hAnsi="Consolas" w:eastAsia="Consolas"/>
          <w:sz w:val="20"/>
        </w:rPr>
        <w:t xml:space="preserve">  可视化模块生成 bbox/热力图/掩码（按结果）</w:t>
      </w:r>
    </w:p>
    <w:p w14:paraId="2F07B6BB">
      <w:pPr>
        <w:ind w:left="480"/>
      </w:pPr>
      <w:r>
        <w:rPr>
          <w:rFonts w:ascii="Consolas" w:hAnsi="Consolas" w:eastAsia="Consolas"/>
          <w:sz w:val="20"/>
        </w:rPr>
        <w:t>Flask -&gt; JSON 响应（含 base64 图片与结构化字段） -&gt; 浏览器渲染</w:t>
      </w:r>
    </w:p>
    <w:p w14:paraId="00CECEE0">
      <w:pPr>
        <w:jc w:val="center"/>
      </w:pPr>
    </w:p>
    <w:p w14:paraId="1FCE862A">
      <w:r>
        <w:drawing>
          <wp:inline distT="0" distB="0" distL="114300" distR="114300">
            <wp:extent cx="6035040" cy="293243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035040" cy="2932498"/>
                    </a:xfrm>
                    <a:prstGeom prst="rect">
                      <a:avLst/>
                    </a:prstGeom>
                  </pic:spPr>
                </pic:pic>
              </a:graphicData>
            </a:graphic>
          </wp:inline>
        </w:drawing>
      </w:r>
    </w:p>
    <w:p w14:paraId="07D4DF3C">
      <w:pPr>
        <w:jc w:val="center"/>
      </w:pPr>
      <w:r>
        <w:rPr>
          <w:rFonts w:ascii="宋体" w:hAnsi="宋体" w:eastAsia="宋体"/>
          <w:sz w:val="22"/>
        </w:rPr>
        <w:t>图2-1 系统总体架构图</w:t>
      </w:r>
    </w:p>
    <w:p w14:paraId="2802EF20">
      <w:pPr>
        <w:jc w:val="center"/>
      </w:pPr>
    </w:p>
    <w:p w14:paraId="0824CC36">
      <w:r>
        <w:drawing>
          <wp:inline distT="0" distB="0" distL="114300" distR="114300">
            <wp:extent cx="6035040" cy="3170555"/>
            <wp:effectExtent l="0" t="0" r="0" b="146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6035040" cy="3171155"/>
                    </a:xfrm>
                    <a:prstGeom prst="rect">
                      <a:avLst/>
                    </a:prstGeom>
                  </pic:spPr>
                </pic:pic>
              </a:graphicData>
            </a:graphic>
          </wp:inline>
        </w:drawing>
      </w:r>
    </w:p>
    <w:p w14:paraId="4F821860">
      <w:pPr>
        <w:jc w:val="center"/>
      </w:pPr>
      <w:r>
        <w:rPr>
          <w:rFonts w:ascii="宋体" w:hAnsi="宋体" w:eastAsia="宋体"/>
          <w:sz w:val="22"/>
        </w:rPr>
        <w:t>图2-2 关键模块与架构分解图</w:t>
      </w:r>
    </w:p>
    <w:p w14:paraId="2212D9C3">
      <w:r>
        <w:rPr>
          <w:rFonts w:ascii="黑体" w:hAnsi="黑体" w:eastAsia="黑体"/>
          <w:b/>
          <w:sz w:val="28"/>
        </w:rPr>
        <w:t>2.3 模块描述</w:t>
      </w:r>
    </w:p>
    <w:p w14:paraId="7F9B520B">
      <w:r>
        <w:rPr>
          <w:rFonts w:ascii="黑体" w:hAnsi="黑体" w:eastAsia="黑体"/>
          <w:b/>
          <w:sz w:val="24"/>
        </w:rPr>
        <w:t>2.3.1 Web交互模块</w:t>
      </w:r>
    </w:p>
    <w:p w14:paraId="47EC88E1">
      <w:pPr>
        <w:ind w:firstLine="480"/>
      </w:pPr>
      <w:r>
        <w:rPr>
          <w:rFonts w:ascii="宋体" w:hAnsi="宋体" w:eastAsia="宋体"/>
          <w:sz w:val="24"/>
        </w:rPr>
        <w:t>模块职责：提供网页界面，支持拖拽/选择上传影像，展示预测结果、置信度与可视化图，支持结果导出。</w:t>
      </w:r>
    </w:p>
    <w:p w14:paraId="2E375BF0">
      <w:pPr>
        <w:ind w:firstLine="480"/>
      </w:pPr>
      <w:r>
        <w:rPr>
          <w:rFonts w:ascii="宋体" w:hAnsi="宋体" w:eastAsia="宋体"/>
          <w:sz w:val="24"/>
        </w:rPr>
        <w:t>对应实现：templates/index.html（页面与脚本），通过fetch调用后端接口。</w:t>
      </w:r>
    </w:p>
    <w:p w14:paraId="5E0954DA">
      <w:r>
        <w:rPr>
          <w:rFonts w:ascii="黑体" w:hAnsi="黑体" w:eastAsia="黑体"/>
          <w:b/>
          <w:sz w:val="24"/>
        </w:rPr>
        <w:t>2.3.2 后端服务模块</w:t>
      </w:r>
    </w:p>
    <w:p w14:paraId="4A1FC913">
      <w:pPr>
        <w:ind w:firstLine="480"/>
      </w:pPr>
      <w:r>
        <w:rPr>
          <w:rFonts w:ascii="宋体" w:hAnsi="宋体" w:eastAsia="宋体"/>
          <w:sz w:val="24"/>
        </w:rPr>
        <w:t>模块职责：提供HTTP路由、文件校验与保存、推理调度、结果封装与错误处理。</w:t>
      </w:r>
    </w:p>
    <w:p w14:paraId="4B35BF01">
      <w:pPr>
        <w:ind w:firstLine="480"/>
      </w:pPr>
      <w:r>
        <w:rPr>
          <w:rFonts w:ascii="宋体" w:hAnsi="宋体" w:eastAsia="宋体"/>
          <w:sz w:val="24"/>
        </w:rPr>
        <w:t>对应实现：app.py。主要接口包括：/、/api/detect、/api/batch_detect、/api/model_info。</w:t>
      </w:r>
    </w:p>
    <w:p w14:paraId="20C03AAD">
      <w:pPr>
        <w:ind w:firstLine="480"/>
      </w:pPr>
      <w:r>
        <w:rPr>
          <w:rFonts w:ascii="宋体" w:hAnsi="宋体" w:eastAsia="宋体"/>
          <w:sz w:val="24"/>
        </w:rPr>
        <w:t>关键约束：限制文件大小（默认16MB）、限制文件扩展名、使用安全文件名，避免不安全路径访问。</w:t>
      </w:r>
    </w:p>
    <w:p w14:paraId="4963BDC2">
      <w:r>
        <w:rPr>
          <w:rFonts w:ascii="黑体" w:hAnsi="黑体" w:eastAsia="黑体"/>
          <w:b/>
          <w:sz w:val="24"/>
        </w:rPr>
        <w:t>2.3.3 检测推理模块</w:t>
      </w:r>
    </w:p>
    <w:p w14:paraId="57CB4569">
      <w:pPr>
        <w:ind w:firstLine="480"/>
      </w:pPr>
      <w:r>
        <w:rPr>
          <w:rFonts w:ascii="宋体" w:hAnsi="宋体" w:eastAsia="宋体"/>
          <w:sz w:val="24"/>
        </w:rPr>
        <w:t>模块职责：对输入影像进行肿瘤检测，输出预测标签与置信度，并在需要时输出定位信息。</w:t>
      </w:r>
    </w:p>
    <w:p w14:paraId="447958E4">
      <w:pPr>
        <w:ind w:firstLine="480"/>
      </w:pPr>
      <w:r>
        <w:rPr>
          <w:rFonts w:ascii="宋体" w:hAnsi="宋体" w:eastAsia="宋体"/>
          <w:sz w:val="24"/>
        </w:rPr>
        <w:t>对应实现：app.py中的推理逻辑，以及src/inference.py的批处理推理逻辑。</w:t>
      </w:r>
    </w:p>
    <w:p w14:paraId="2575AB13">
      <w:pPr>
        <w:pStyle w:val="16"/>
      </w:pPr>
      <w:r>
        <w:rPr>
          <w:rFonts w:ascii="宋体" w:hAnsi="宋体" w:eastAsia="宋体"/>
          <w:sz w:val="24"/>
        </w:rPr>
        <w:t>预处理：RGB转换、尺寸缩放、ImageNet均值方差归一化。</w:t>
      </w:r>
    </w:p>
    <w:p w14:paraId="705DA8C3">
      <w:pPr>
        <w:pStyle w:val="16"/>
      </w:pPr>
      <w:r>
        <w:rPr>
          <w:rFonts w:ascii="宋体" w:hAnsi="宋体" w:eastAsia="宋体"/>
          <w:sz w:val="24"/>
        </w:rPr>
        <w:t>TTA：翻转与小角度旋转生成多视图，取平均概率提升稳健性。</w:t>
      </w:r>
    </w:p>
    <w:p w14:paraId="38665506">
      <w:pPr>
        <w:pStyle w:val="16"/>
      </w:pPr>
      <w:r>
        <w:rPr>
          <w:rFonts w:ascii="宋体" w:hAnsi="宋体" w:eastAsia="宋体"/>
          <w:sz w:val="24"/>
        </w:rPr>
        <w:t>阈值判定：默认0.5；批处理支持读取meta.json中的阈值。</w:t>
      </w:r>
    </w:p>
    <w:p w14:paraId="48113800">
      <w:r>
        <w:rPr>
          <w:rFonts w:ascii="黑体" w:hAnsi="黑体" w:eastAsia="黑体"/>
          <w:b/>
          <w:sz w:val="24"/>
        </w:rPr>
        <w:t>2.3.4 可视化与后处理模块</w:t>
      </w:r>
    </w:p>
    <w:p w14:paraId="11FC9D70">
      <w:pPr>
        <w:ind w:firstLine="480"/>
      </w:pPr>
      <w:r>
        <w:rPr>
          <w:rFonts w:ascii="宋体" w:hAnsi="宋体" w:eastAsia="宋体"/>
          <w:sz w:val="24"/>
        </w:rPr>
        <w:t>模块职责：提供模型解释性呈现，包括热力图、掩码与边界框等。</w:t>
      </w:r>
    </w:p>
    <w:p w14:paraId="5CF47462">
      <w:pPr>
        <w:ind w:firstLine="480"/>
      </w:pPr>
      <w:r>
        <w:rPr>
          <w:rFonts w:ascii="宋体" w:hAnsi="宋体" w:eastAsia="宋体"/>
          <w:sz w:val="24"/>
        </w:rPr>
        <w:t>对应实现：src/cam.py（Grad-CAM、cam_to_mask、mask_to_bbox等），app.py负责编码并返回前端。</w:t>
      </w:r>
    </w:p>
    <w:p w14:paraId="258E1B5E">
      <w:r>
        <w:rPr>
          <w:rFonts w:ascii="黑体" w:hAnsi="黑体" w:eastAsia="黑体"/>
          <w:b/>
          <w:sz w:val="24"/>
        </w:rPr>
        <w:t>2.3.5 分割推理模块</w:t>
      </w:r>
    </w:p>
    <w:p w14:paraId="171BFD18">
      <w:pPr>
        <w:ind w:firstLine="480"/>
      </w:pPr>
      <w:r>
        <w:rPr>
          <w:rFonts w:ascii="宋体" w:hAnsi="宋体" w:eastAsia="宋体"/>
          <w:sz w:val="24"/>
        </w:rPr>
        <w:t>模块职责：对疑似肿瘤影像执行实例分割，输出肿瘤区域掩码与定位框（可选）。</w:t>
      </w:r>
    </w:p>
    <w:p w14:paraId="21951BEC">
      <w:pPr>
        <w:ind w:firstLine="480"/>
      </w:pPr>
      <w:r>
        <w:rPr>
          <w:rFonts w:ascii="宋体" w:hAnsi="宋体" w:eastAsia="宋体"/>
          <w:sz w:val="24"/>
        </w:rPr>
        <w:t>对应实现：src/yolov8_wrapper.py，基于ultralytics YOLO加载seg_best.pt并执行predict。</w:t>
      </w:r>
    </w:p>
    <w:p w14:paraId="0E27C0C9">
      <w:pPr>
        <w:pStyle w:val="16"/>
      </w:pPr>
      <w:r>
        <w:rPr>
          <w:rFonts w:ascii="宋体" w:hAnsi="宋体" w:eastAsia="宋体"/>
          <w:sz w:val="24"/>
        </w:rPr>
        <w:t>默认推理参数：imgsz=1024，conf=0.35，iou=0.5，max_det=3。</w:t>
      </w:r>
    </w:p>
    <w:p w14:paraId="3A35480A">
      <w:r>
        <w:rPr>
          <w:rFonts w:ascii="黑体" w:hAnsi="黑体" w:eastAsia="黑体"/>
          <w:b/>
          <w:sz w:val="24"/>
        </w:rPr>
        <w:t>2.3.6 批量处理模块</w:t>
      </w:r>
    </w:p>
    <w:p w14:paraId="4C0CC043">
      <w:pPr>
        <w:ind w:firstLine="480"/>
      </w:pPr>
      <w:r>
        <w:rPr>
          <w:rFonts w:ascii="宋体" w:hAnsi="宋体" w:eastAsia="宋体"/>
          <w:sz w:val="24"/>
        </w:rPr>
        <w:t>模块职责：对指定目录批量推理并生成CSV报告，可选输出可视化文件。</w:t>
      </w:r>
    </w:p>
    <w:p w14:paraId="53FA41BE">
      <w:pPr>
        <w:ind w:firstLine="480"/>
      </w:pPr>
      <w:r>
        <w:rPr>
          <w:rFonts w:ascii="宋体" w:hAnsi="宋体" w:eastAsia="宋体"/>
          <w:sz w:val="24"/>
        </w:rPr>
        <w:t>对应实现：batch_process.py调用src/inference.py的run方法。</w:t>
      </w:r>
    </w:p>
    <w:p w14:paraId="17747F6F">
      <w:r>
        <w:rPr>
          <w:rFonts w:ascii="黑体" w:hAnsi="黑体" w:eastAsia="黑体"/>
          <w:b/>
          <w:sz w:val="24"/>
        </w:rPr>
        <w:t>2.3.7 配置与启动自检模块</w:t>
      </w:r>
    </w:p>
    <w:p w14:paraId="09A4994C">
      <w:pPr>
        <w:ind w:firstLine="480"/>
      </w:pPr>
      <w:r>
        <w:rPr>
          <w:rFonts w:ascii="宋体" w:hAnsi="宋体" w:eastAsia="宋体"/>
          <w:sz w:val="24"/>
        </w:rPr>
        <w:t>模块职责：管理路径、阈值、端口等配置，并在启动时完成环境自检。</w:t>
      </w:r>
    </w:p>
    <w:p w14:paraId="791EA769">
      <w:pPr>
        <w:ind w:firstLine="480"/>
      </w:pPr>
      <w:r>
        <w:rPr>
          <w:rFonts w:ascii="宋体" w:hAnsi="宋体" w:eastAsia="宋体"/>
          <w:sz w:val="24"/>
        </w:rPr>
        <w:t>对应实现：config.py提供配置常量；run.py检查版本/依赖/模型文件/目录后启动Flask服务。</w:t>
      </w:r>
    </w:p>
    <w:p w14:paraId="5766116F">
      <w:r>
        <w:rPr>
          <w:rFonts w:ascii="黑体" w:hAnsi="黑体" w:eastAsia="黑体"/>
          <w:b/>
          <w:sz w:val="24"/>
        </w:rPr>
        <w:t>2.3.8 模型训练模块（离线）</w:t>
      </w:r>
    </w:p>
    <w:p w14:paraId="2AFEDDBC">
      <w:pPr>
        <w:ind w:firstLine="480"/>
      </w:pPr>
      <w:r>
        <w:rPr>
          <w:rFonts w:ascii="宋体" w:hAnsi="宋体" w:eastAsia="宋体"/>
          <w:sz w:val="24"/>
        </w:rPr>
        <w:t>模块职责：用于离线训练检测模型并导出权重文件，供在线推理服务加载。</w:t>
      </w:r>
    </w:p>
    <w:p w14:paraId="55072F64">
      <w:pPr>
        <w:ind w:firstLine="480"/>
      </w:pPr>
      <w:r>
        <w:rPr>
          <w:rFonts w:ascii="宋体" w:hAnsi="宋体" w:eastAsia="宋体"/>
          <w:sz w:val="24"/>
        </w:rPr>
        <w:t>对应实现：src/train.py、src/dataset.py、src/utils.py。</w:t>
      </w:r>
    </w:p>
    <w:p w14:paraId="5FA02BBA">
      <w:pPr>
        <w:ind w:firstLine="480"/>
      </w:pPr>
      <w:r>
        <w:rPr>
          <w:rFonts w:ascii="宋体" w:hAnsi="宋体" w:eastAsia="宋体"/>
          <w:sz w:val="24"/>
        </w:rPr>
        <w:t>训练数据与标注约定：通过文件名/目录规则自动推断二分类标签，示例规则为：文件名以Y开头表示阳性(1)，以N开头或包含no/normal表示阴性(0)。</w:t>
      </w:r>
    </w:p>
    <w:p w14:paraId="2A72F732">
      <w:pPr>
        <w:ind w:firstLine="480"/>
      </w:pPr>
      <w:r>
        <w:rPr>
          <w:rFonts w:ascii="宋体" w:hAnsi="宋体" w:eastAsia="宋体"/>
          <w:sz w:val="24"/>
        </w:rPr>
        <w:t>数据增强与预处理：训练阶段包含随机水平/垂直翻转、±10°旋转、亮度对比度抖动；验证阶段仅缩放与归一化。</w:t>
      </w:r>
    </w:p>
    <w:p w14:paraId="289DEAE8">
      <w:pPr>
        <w:ind w:firstLine="480"/>
      </w:pPr>
      <w:r>
        <w:rPr>
          <w:rFonts w:ascii="宋体" w:hAnsi="宋体" w:eastAsia="宋体"/>
          <w:sz w:val="24"/>
        </w:rPr>
        <w:t>训练策略：采用分层K折交叉验证(StratifiedKFold)保证正负样本比例稳定；每折训练采用两阶段优化，先冻结骨干网络仅训练分类头(AdamW, lr=1e-3)，再解冻全网络进行微调(骨干lr=1e-4，head lr=5e-4)，并使用余弦退火调度器。为处理类别不平衡，损失函数支持pos_weight加权。每轮在验证集计算概率并搜索最佳阈值(best_threshold)，以获得最佳准确率对应的权重快照。</w:t>
      </w:r>
    </w:p>
    <w:p w14:paraId="30A2F32D">
      <w:pPr>
        <w:ind w:firstLine="480"/>
      </w:pPr>
      <w:r>
        <w:rPr>
          <w:rFonts w:ascii="宋体" w:hAnsi="宋体" w:eastAsia="宋体"/>
          <w:sz w:val="24"/>
        </w:rPr>
        <w:t>训练产物：每折保存best_{model}_fold{idx}.pt，最终选择最佳折导出best.pt，并生成meta.json记录模型名与阈值。</w:t>
      </w:r>
    </w:p>
    <w:p w14:paraId="7384BC94">
      <w:pPr>
        <w:jc w:val="center"/>
      </w:pPr>
    </w:p>
    <w:p w14:paraId="5C9CFD4F">
      <w:r>
        <w:drawing>
          <wp:inline distT="0" distB="0" distL="114300" distR="114300">
            <wp:extent cx="6035040" cy="293243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6035040" cy="2932498"/>
                    </a:xfrm>
                    <a:prstGeom prst="rect">
                      <a:avLst/>
                    </a:prstGeom>
                  </pic:spPr>
                </pic:pic>
              </a:graphicData>
            </a:graphic>
          </wp:inline>
        </w:drawing>
      </w:r>
    </w:p>
    <w:p w14:paraId="50D088BA">
      <w:pPr>
        <w:jc w:val="center"/>
      </w:pPr>
      <w:r>
        <w:rPr>
          <w:rFonts w:ascii="宋体" w:hAnsi="宋体" w:eastAsia="宋体"/>
          <w:sz w:val="22"/>
        </w:rPr>
        <w:t>图2-3 检测模型训练流程图</w:t>
      </w:r>
    </w:p>
    <w:p w14:paraId="59878754">
      <w:r>
        <w:br w:type="page"/>
      </w:r>
    </w:p>
    <w:p w14:paraId="74C6B54E">
      <w:r>
        <w:rPr>
          <w:rFonts w:ascii="黑体" w:hAnsi="黑体" w:eastAsia="黑体"/>
          <w:b/>
          <w:sz w:val="32"/>
        </w:rPr>
        <w:t>3 使用说明</w:t>
      </w:r>
    </w:p>
    <w:p w14:paraId="63D2346D">
      <w:r>
        <w:rPr>
          <w:rFonts w:ascii="黑体" w:hAnsi="黑体" w:eastAsia="黑体"/>
          <w:b/>
          <w:sz w:val="28"/>
        </w:rPr>
        <w:t>3.1 运行环境</w:t>
      </w:r>
    </w:p>
    <w:p w14:paraId="7C12B588">
      <w:pPr>
        <w:ind w:firstLine="480"/>
      </w:pPr>
      <w:r>
        <w:rPr>
          <w:rFonts w:ascii="宋体" w:hAnsi="宋体" w:eastAsia="宋体"/>
          <w:sz w:val="24"/>
        </w:rPr>
        <w:t>建议运行环境：Windows/Linux，Python 3.7及以上；支持CPU或GPU推理。</w:t>
      </w:r>
    </w:p>
    <w:p w14:paraId="6ED9BA82">
      <w:pPr>
        <w:ind w:firstLine="480"/>
      </w:pPr>
      <w:r>
        <w:rPr>
          <w:rFonts w:ascii="宋体" w:hAnsi="宋体" w:eastAsia="宋体"/>
          <w:sz w:val="24"/>
        </w:rPr>
        <w:t>核心依赖：torch、torchvision、flask、flask-cors、Pillow、opencv-python、ultralytics、timm、numpy等。</w:t>
      </w:r>
    </w:p>
    <w:p w14:paraId="4563F14F">
      <w:r>
        <w:rPr>
          <w:rFonts w:ascii="黑体" w:hAnsi="黑体" w:eastAsia="黑体"/>
          <w:b/>
          <w:sz w:val="28"/>
        </w:rPr>
        <w:t>3.2 部署与启动</w:t>
      </w:r>
    </w:p>
    <w:p w14:paraId="152F8493">
      <w:pPr>
        <w:ind w:firstLine="480"/>
      </w:pPr>
      <w:r>
        <w:rPr>
          <w:rFonts w:ascii="宋体" w:hAnsi="宋体" w:eastAsia="宋体"/>
          <w:sz w:val="24"/>
        </w:rPr>
        <w:t>步骤如下：</w:t>
      </w:r>
    </w:p>
    <w:p w14:paraId="633B144D">
      <w:pPr>
        <w:pStyle w:val="16"/>
      </w:pPr>
      <w:r>
        <w:rPr>
          <w:rFonts w:ascii="宋体" w:hAnsi="宋体" w:eastAsia="宋体"/>
          <w:sz w:val="24"/>
        </w:rPr>
        <w:t>进入项目根目录。</w:t>
      </w:r>
    </w:p>
    <w:p w14:paraId="7B6BA743">
      <w:pPr>
        <w:pStyle w:val="16"/>
      </w:pPr>
      <w:r>
        <w:rPr>
          <w:rFonts w:ascii="宋体" w:hAnsi="宋体" w:eastAsia="宋体"/>
          <w:sz w:val="24"/>
        </w:rPr>
        <w:t>安装依赖：pip install -r requirements.txt。</w:t>
      </w:r>
    </w:p>
    <w:p w14:paraId="096E3C6F">
      <w:pPr>
        <w:pStyle w:val="16"/>
      </w:pPr>
      <w:r>
        <w:rPr>
          <w:rFonts w:ascii="宋体" w:hAnsi="宋体" w:eastAsia="宋体"/>
          <w:sz w:val="24"/>
        </w:rPr>
        <w:t>确认模型文件存在：models/det_best.pt、models/seg_best.pt。</w:t>
      </w:r>
    </w:p>
    <w:p w14:paraId="58BE4C21">
      <w:pPr>
        <w:pStyle w:val="16"/>
      </w:pPr>
      <w:r>
        <w:rPr>
          <w:rFonts w:ascii="宋体" w:hAnsi="宋体" w:eastAsia="宋体"/>
          <w:sz w:val="24"/>
        </w:rPr>
        <w:t>启动服务：python run.py（或直接运行python app.py）。</w:t>
      </w:r>
    </w:p>
    <w:p w14:paraId="1731583E">
      <w:pPr>
        <w:ind w:firstLine="480"/>
      </w:pPr>
      <w:r>
        <w:rPr>
          <w:rFonts w:ascii="宋体" w:hAnsi="宋体" w:eastAsia="宋体"/>
          <w:sz w:val="24"/>
        </w:rPr>
        <w:t>启动成功后在浏览器访问：http://localhost:5000。</w:t>
      </w:r>
    </w:p>
    <w:p w14:paraId="287181F7">
      <w:pPr>
        <w:ind w:left="480"/>
      </w:pPr>
      <w:r>
        <w:rPr>
          <w:rFonts w:ascii="Consolas" w:hAnsi="Consolas" w:eastAsia="Consolas"/>
          <w:sz w:val="20"/>
        </w:rPr>
        <w:t>python run.py</w:t>
      </w:r>
    </w:p>
    <w:p w14:paraId="1EDB5E26">
      <w:pPr>
        <w:ind w:left="480"/>
      </w:pPr>
      <w:r>
        <w:rPr>
          <w:rFonts w:ascii="Consolas" w:hAnsi="Consolas" w:eastAsia="Consolas"/>
          <w:sz w:val="20"/>
        </w:rPr>
        <w:t>浏览器打开 http://localhost:5000</w:t>
      </w:r>
    </w:p>
    <w:p w14:paraId="2885A777">
      <w:r>
        <w:rPr>
          <w:rFonts w:ascii="黑体" w:hAnsi="黑体" w:eastAsia="黑体"/>
          <w:b/>
          <w:sz w:val="28"/>
        </w:rPr>
        <w:t>3.3 Web端使用</w:t>
      </w:r>
    </w:p>
    <w:p w14:paraId="65ACA52C">
      <w:pPr>
        <w:pStyle w:val="16"/>
      </w:pPr>
      <w:r>
        <w:rPr>
          <w:rFonts w:ascii="宋体" w:hAnsi="宋体" w:eastAsia="宋体"/>
          <w:sz w:val="24"/>
        </w:rPr>
        <w:t>点击选择文件或拖拽影像到上传区域。</w:t>
      </w:r>
    </w:p>
    <w:p w14:paraId="5DF07912">
      <w:pPr>
        <w:pStyle w:val="16"/>
      </w:pPr>
      <w:r>
        <w:rPr>
          <w:rFonts w:ascii="宋体" w:hAnsi="宋体" w:eastAsia="宋体"/>
          <w:sz w:val="24"/>
        </w:rPr>
        <w:t>系统自动上传并调用检测接口，显示检测结论与置信度。</w:t>
      </w:r>
    </w:p>
    <w:p w14:paraId="176F923B">
      <w:pPr>
        <w:pStyle w:val="16"/>
      </w:pPr>
      <w:r>
        <w:rPr>
          <w:rFonts w:ascii="宋体" w:hAnsi="宋体" w:eastAsia="宋体"/>
          <w:sz w:val="24"/>
        </w:rPr>
        <w:t>当检测到肿瘤时，页面额外展示边界框图（以及热力图/掩码图，如已生成）。</w:t>
      </w:r>
    </w:p>
    <w:p w14:paraId="2B8BC501">
      <w:pPr>
        <w:pStyle w:val="16"/>
      </w:pPr>
      <w:r>
        <w:rPr>
          <w:rFonts w:ascii="宋体" w:hAnsi="宋体" w:eastAsia="宋体"/>
          <w:sz w:val="24"/>
        </w:rPr>
        <w:t>可通过导出功能下载检测结果JSON。</w:t>
      </w:r>
    </w:p>
    <w:p w14:paraId="5074A6E5">
      <w:r>
        <w:rPr>
          <w:rFonts w:ascii="黑体" w:hAnsi="黑体" w:eastAsia="黑体"/>
          <w:b/>
          <w:sz w:val="28"/>
        </w:rPr>
        <w:t>3.4 API接口说明</w:t>
      </w:r>
    </w:p>
    <w:p w14:paraId="5C2CEE1B">
      <w:pPr>
        <w:ind w:firstLine="480"/>
      </w:pPr>
      <w:r>
        <w:rPr>
          <w:rFonts w:ascii="宋体" w:hAnsi="宋体" w:eastAsia="宋体"/>
          <w:sz w:val="24"/>
        </w:rPr>
        <w:t>（1）单张图像检测接口</w:t>
      </w:r>
    </w:p>
    <w:p w14:paraId="15EC2976">
      <w:pPr>
        <w:pStyle w:val="16"/>
      </w:pPr>
      <w:r>
        <w:rPr>
          <w:rFonts w:ascii="宋体" w:hAnsi="宋体" w:eastAsia="宋体"/>
          <w:sz w:val="24"/>
        </w:rPr>
        <w:t>URL：POST /api/detect</w:t>
      </w:r>
    </w:p>
    <w:p w14:paraId="6B1440B8">
      <w:pPr>
        <w:pStyle w:val="16"/>
      </w:pPr>
      <w:r>
        <w:rPr>
          <w:rFonts w:ascii="宋体" w:hAnsi="宋体" w:eastAsia="宋体"/>
          <w:sz w:val="24"/>
        </w:rPr>
        <w:t>请求：multipart/form-data，字段file为图像文件</w:t>
      </w:r>
    </w:p>
    <w:p w14:paraId="2728107C">
      <w:pPr>
        <w:pStyle w:val="16"/>
      </w:pPr>
      <w:r>
        <w:rPr>
          <w:rFonts w:ascii="宋体" w:hAnsi="宋体" w:eastAsia="宋体"/>
          <w:sz w:val="24"/>
        </w:rPr>
        <w:t>响应：JSON，包含prediction、confidence、probability、original_image等字段</w:t>
      </w:r>
    </w:p>
    <w:p w14:paraId="70717236">
      <w:pPr>
        <w:ind w:left="480"/>
      </w:pPr>
      <w:r>
        <w:rPr>
          <w:rFonts w:ascii="Consolas" w:hAnsi="Consolas" w:eastAsia="Consolas"/>
          <w:sz w:val="20"/>
        </w:rPr>
        <w:t>示例响应字段（节选）：</w:t>
      </w:r>
    </w:p>
    <w:p w14:paraId="1E465CAA">
      <w:pPr>
        <w:ind w:left="480"/>
      </w:pPr>
      <w:r>
        <w:rPr>
          <w:rFonts w:ascii="Consolas" w:hAnsi="Consolas" w:eastAsia="Consolas"/>
          <w:sz w:val="20"/>
        </w:rPr>
        <w:t>{</w:t>
      </w:r>
    </w:p>
    <w:p w14:paraId="1DF16339">
      <w:pPr>
        <w:ind w:left="480"/>
      </w:pPr>
      <w:r>
        <w:rPr>
          <w:rFonts w:ascii="Consolas" w:hAnsi="Consolas" w:eastAsia="Consolas"/>
          <w:sz w:val="20"/>
        </w:rPr>
        <w:t xml:space="preserve">  "filename": "image.jpg",</w:t>
      </w:r>
    </w:p>
    <w:p w14:paraId="6B02886B">
      <w:pPr>
        <w:ind w:left="480"/>
      </w:pPr>
      <w:r>
        <w:rPr>
          <w:rFonts w:ascii="Consolas" w:hAnsi="Consolas" w:eastAsia="Consolas"/>
          <w:sz w:val="20"/>
        </w:rPr>
        <w:t xml:space="preserve">  "prediction": "tumor_detected" | "no_tumor",</w:t>
      </w:r>
    </w:p>
    <w:p w14:paraId="23F4560D">
      <w:pPr>
        <w:ind w:left="480"/>
      </w:pPr>
      <w:r>
        <w:rPr>
          <w:rFonts w:ascii="Consolas" w:hAnsi="Consolas" w:eastAsia="Consolas"/>
          <w:sz w:val="20"/>
        </w:rPr>
        <w:t xml:space="preserve">  "confidence": 0.95,</w:t>
      </w:r>
    </w:p>
    <w:p w14:paraId="636CC78F">
      <w:pPr>
        <w:ind w:left="480"/>
      </w:pPr>
      <w:r>
        <w:rPr>
          <w:rFonts w:ascii="Consolas" w:hAnsi="Consolas" w:eastAsia="Consolas"/>
          <w:sz w:val="20"/>
        </w:rPr>
        <w:t xml:space="preserve">  "probability": 0.82,</w:t>
      </w:r>
    </w:p>
    <w:p w14:paraId="590999F4">
      <w:pPr>
        <w:ind w:left="480"/>
      </w:pPr>
      <w:r>
        <w:rPr>
          <w:rFonts w:ascii="Consolas" w:hAnsi="Consolas" w:eastAsia="Consolas"/>
          <w:sz w:val="20"/>
        </w:rPr>
        <w:t xml:space="preserve">  "original_image": "&lt;base64&gt;",</w:t>
      </w:r>
    </w:p>
    <w:p w14:paraId="00F09BDE">
      <w:pPr>
        <w:ind w:left="480"/>
      </w:pPr>
      <w:r>
        <w:rPr>
          <w:rFonts w:ascii="Consolas" w:hAnsi="Consolas" w:eastAsia="Consolas"/>
          <w:sz w:val="20"/>
        </w:rPr>
        <w:t xml:space="preserve">  "bbox_image": "&lt;base64&gt;",</w:t>
      </w:r>
    </w:p>
    <w:p w14:paraId="28E4246D">
      <w:pPr>
        <w:ind w:left="480"/>
      </w:pPr>
      <w:r>
        <w:rPr>
          <w:rFonts w:ascii="Consolas" w:hAnsi="Consolas" w:eastAsia="Consolas"/>
          <w:sz w:val="20"/>
        </w:rPr>
        <w:t xml:space="preserve">  "bbox": [x1, y1, x2, y2]</w:t>
      </w:r>
    </w:p>
    <w:p w14:paraId="7E5A4274">
      <w:pPr>
        <w:ind w:left="480"/>
      </w:pPr>
      <w:r>
        <w:rPr>
          <w:rFonts w:ascii="Consolas" w:hAnsi="Consolas" w:eastAsia="Consolas"/>
          <w:sz w:val="20"/>
        </w:rPr>
        <w:t>}</w:t>
      </w:r>
    </w:p>
    <w:p w14:paraId="4D77B1CF">
      <w:pPr>
        <w:ind w:firstLine="480"/>
      </w:pPr>
      <w:r>
        <w:rPr>
          <w:rFonts w:ascii="宋体" w:hAnsi="宋体" w:eastAsia="宋体"/>
          <w:sz w:val="24"/>
        </w:rPr>
        <w:t>（2）批量检测接口</w:t>
      </w:r>
    </w:p>
    <w:p w14:paraId="3C8A1712">
      <w:pPr>
        <w:pStyle w:val="16"/>
      </w:pPr>
      <w:r>
        <w:rPr>
          <w:rFonts w:ascii="宋体" w:hAnsi="宋体" w:eastAsia="宋体"/>
          <w:sz w:val="24"/>
        </w:rPr>
        <w:t>URL：POST /api/batch_detect</w:t>
      </w:r>
    </w:p>
    <w:p w14:paraId="19AE6DD6">
      <w:pPr>
        <w:pStyle w:val="16"/>
      </w:pPr>
      <w:r>
        <w:rPr>
          <w:rFonts w:ascii="宋体" w:hAnsi="宋体" w:eastAsia="宋体"/>
          <w:sz w:val="24"/>
        </w:rPr>
        <w:t>请求：application/json，字段image_paths为图像路径数组</w:t>
      </w:r>
    </w:p>
    <w:p w14:paraId="24925ECC">
      <w:pPr>
        <w:pStyle w:val="16"/>
      </w:pPr>
      <w:r>
        <w:rPr>
          <w:rFonts w:ascii="宋体" w:hAnsi="宋体" w:eastAsia="宋体"/>
          <w:sz w:val="24"/>
        </w:rPr>
        <w:t>响应：JSON，字段results为逐图结果列表</w:t>
      </w:r>
    </w:p>
    <w:p w14:paraId="72B6F2E7">
      <w:pPr>
        <w:ind w:firstLine="480"/>
      </w:pPr>
      <w:r>
        <w:rPr>
          <w:rFonts w:ascii="宋体" w:hAnsi="宋体" w:eastAsia="宋体"/>
          <w:sz w:val="24"/>
        </w:rPr>
        <w:t>（3）模型信息接口</w:t>
      </w:r>
    </w:p>
    <w:p w14:paraId="21F4C14D">
      <w:pPr>
        <w:pStyle w:val="16"/>
      </w:pPr>
      <w:r>
        <w:rPr>
          <w:rFonts w:ascii="宋体" w:hAnsi="宋体" w:eastAsia="宋体"/>
          <w:sz w:val="24"/>
        </w:rPr>
        <w:t>URL：GET /api/model_info</w:t>
      </w:r>
    </w:p>
    <w:p w14:paraId="04FD67C5">
      <w:pPr>
        <w:pStyle w:val="16"/>
      </w:pPr>
      <w:r>
        <w:rPr>
          <w:rFonts w:ascii="宋体" w:hAnsi="宋体" w:eastAsia="宋体"/>
          <w:sz w:val="24"/>
        </w:rPr>
        <w:t>响应：JSON，包含device、模型加载状态与模型类型信息</w:t>
      </w:r>
    </w:p>
    <w:p w14:paraId="331BD477">
      <w:r>
        <w:rPr>
          <w:rFonts w:ascii="黑体" w:hAnsi="黑体" w:eastAsia="黑体"/>
          <w:b/>
          <w:sz w:val="28"/>
        </w:rPr>
        <w:t>3.5 批量处理</w:t>
      </w:r>
    </w:p>
    <w:p w14:paraId="1A83A598">
      <w:pPr>
        <w:ind w:firstLine="480"/>
      </w:pPr>
      <w:r>
        <w:rPr>
          <w:rFonts w:ascii="宋体" w:hAnsi="宋体" w:eastAsia="宋体"/>
          <w:sz w:val="24"/>
        </w:rPr>
        <w:t>可使用命令行脚本对目录内影像进行批量推理并生成报告，例如：</w:t>
      </w:r>
    </w:p>
    <w:p w14:paraId="573E2D5A">
      <w:pPr>
        <w:ind w:left="480"/>
      </w:pPr>
      <w:r>
        <w:rPr>
          <w:rFonts w:ascii="Consolas" w:hAnsi="Consolas" w:eastAsia="Consolas"/>
          <w:sz w:val="20"/>
        </w:rPr>
        <w:t>python batch_process.py --input 测试数据集 --output 批量结果 --model both --report</w:t>
      </w:r>
    </w:p>
    <w:p w14:paraId="560FBD5F">
      <w:r>
        <w:rPr>
          <w:rFonts w:ascii="黑体" w:hAnsi="黑体" w:eastAsia="黑体"/>
          <w:b/>
          <w:sz w:val="28"/>
        </w:rPr>
        <w:t>3.6 训练复现实例（可选）</w:t>
      </w:r>
    </w:p>
    <w:p w14:paraId="3B2C1361">
      <w:pPr>
        <w:ind w:firstLine="480"/>
      </w:pPr>
      <w:r>
        <w:rPr>
          <w:rFonts w:ascii="宋体" w:hAnsi="宋体" w:eastAsia="宋体"/>
          <w:sz w:val="24"/>
        </w:rPr>
        <w:t>如需复现检测模型训练，可使用训练脚本，示例命令：</w:t>
      </w:r>
    </w:p>
    <w:p w14:paraId="5569E7EE">
      <w:pPr>
        <w:ind w:left="480"/>
      </w:pPr>
      <w:r>
        <w:rPr>
          <w:rFonts w:ascii="Consolas" w:hAnsi="Consolas" w:eastAsia="Consolas"/>
          <w:sz w:val="20"/>
        </w:rPr>
        <w:t>python -m src.train --data "训练数据目录" --out "./weights" --model efficientnetv2_s --img-size 224 --folds 5</w:t>
      </w:r>
    </w:p>
    <w:p w14:paraId="31985ADD">
      <w:pPr>
        <w:ind w:firstLine="480"/>
      </w:pPr>
      <w:r>
        <w:rPr>
          <w:rFonts w:ascii="宋体" w:hAnsi="宋体" w:eastAsia="宋体"/>
          <w:sz w:val="24"/>
        </w:rPr>
        <w:t>训练完成后将best.pt拷贝/重命名为models/det_best.pt即可被推理服务加载。</w:t>
      </w:r>
    </w:p>
    <w:p w14:paraId="2D1688C6">
      <w:r>
        <w:rPr>
          <w:rFonts w:ascii="黑体" w:hAnsi="黑体" w:eastAsia="黑体"/>
          <w:b/>
          <w:sz w:val="28"/>
        </w:rPr>
        <w:t>3.7 输出文件与目录说明</w:t>
      </w:r>
    </w:p>
    <w:p w14:paraId="05B542EF">
      <w:pPr>
        <w:pStyle w:val="16"/>
      </w:pPr>
      <w:r>
        <w:rPr>
          <w:rFonts w:ascii="宋体" w:hAnsi="宋体" w:eastAsia="宋体"/>
          <w:sz w:val="24"/>
        </w:rPr>
        <w:t>models/：模型权重文件（det_best.pt、seg_best.pt）。</w:t>
      </w:r>
    </w:p>
    <w:p w14:paraId="5F779CF8">
      <w:pPr>
        <w:pStyle w:val="16"/>
      </w:pPr>
      <w:r>
        <w:rPr>
          <w:rFonts w:ascii="宋体" w:hAnsi="宋体" w:eastAsia="宋体"/>
          <w:sz w:val="24"/>
        </w:rPr>
        <w:t>uploads/：Web上传的临时文件目录。</w:t>
      </w:r>
    </w:p>
    <w:p w14:paraId="606301E6">
      <w:pPr>
        <w:pStyle w:val="16"/>
      </w:pPr>
      <w:r>
        <w:rPr>
          <w:rFonts w:ascii="宋体" w:hAnsi="宋体" w:eastAsia="宋体"/>
          <w:sz w:val="24"/>
        </w:rPr>
        <w:t>results/：Web服务输出与下载目录。</w:t>
      </w:r>
    </w:p>
    <w:p w14:paraId="1FB3A690">
      <w:pPr>
        <w:pStyle w:val="16"/>
      </w:pPr>
      <w:r>
        <w:rPr>
          <w:rFonts w:ascii="宋体" w:hAnsi="宋体" w:eastAsia="宋体"/>
          <w:sz w:val="24"/>
        </w:rPr>
        <w:t>输出结果/：批处理可视化与CSV输出目录。</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Courier New">
    <w:panose1 w:val="02070309020205020404"/>
    <w:charset w:val="00"/>
    <w:family w:val="auto"/>
    <w:pitch w:val="default"/>
    <w:sig w:usb0="E0002EFF" w:usb1="C0007843" w:usb2="00000009" w:usb3="00000000" w:csb0="400001FF" w:csb1="FFFF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Kozuka Mincho Pr6N R">
    <w:panose1 w:val="02020400000000000000"/>
    <w:charset w:val="80"/>
    <w:family w:val="auto"/>
    <w:pitch w:val="default"/>
    <w:sig w:usb0="000002D7" w:usb1="2AC73C11" w:usb2="00000012"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4A4334F9"/>
    <w:multiLevelType w:val="multilevel"/>
    <w:tmpl w:val="4A4334F9"/>
    <w:lvl w:ilvl="0" w:tentative="0">
      <w:start w:val="5"/>
      <w:numFmt w:val="bullet"/>
      <w:lvlText w:val="-"/>
      <w:lvlJc w:val="left"/>
      <w:pPr>
        <w:ind w:left="720" w:hanging="360"/>
      </w:pPr>
      <w:rPr>
        <w:rFonts w:hint="default" w:ascii="Arial" w:hAnsi="Arial" w:eastAsia="PMingLiU" w:cs="Arial"/>
        <w:sz w:val="48"/>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86F4AA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2856</Words>
  <Characters>4279</Characters>
  <Lines>0</Lines>
  <Paragraphs>0</Paragraphs>
  <TotalTime>1</TotalTime>
  <ScaleCrop>false</ScaleCrop>
  <LinksUpToDate>false</LinksUpToDate>
  <CharactersWithSpaces>4425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深海不蓝#</cp:lastModifiedBy>
  <dcterms:modified xsi:type="dcterms:W3CDTF">2025-12-18T12:49:46Z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eyJoZGlkIjoiNzg4MjZlNGFlNDM0NTJmYTI0MDgzZmU1MTA5YWYzZDMiLCJ1c2VySWQiOiI3NjYwOTkxNjAifQ==</vt:lpwstr>
  </property>
  <property fmtid="{D5CDD505-2E9C-101B-9397-08002B2CF9AE}" pid="3" name="KSOProductBuildVer">
    <vt:lpwstr>2052-12.1.0.24034</vt:lpwstr>
  </property>
  <property fmtid="{D5CDD505-2E9C-101B-9397-08002B2CF9AE}" pid="4" name="ICV">
    <vt:lpwstr>602E5C0AB3244C068C6757B40EF2280D_12</vt:lpwstr>
  </property>
</Properties>
</file>