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Specification Document: Market Trends Analyzer V2</w:t>
      </w:r>
    </w:p>
    <w:p>
      <w:pPr>
        <w:jc w:val="center"/>
      </w:pPr>
      <w:r>
        <w:rPr>
          <w:rFonts w:ascii="Calibri" w:hAnsi="Calibri"/>
          <w:i/>
          <w:color w:val="4B5563"/>
          <w:sz w:val="26"/>
        </w:rPr>
        <w:t>AI-Driven Research Intelligence &amp; 5-Slide Presentation Deck Generator</w:t>
      </w:r>
    </w:p>
    <w:p/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1. Overview</w:t>
      </w:r>
    </w:p>
    <w:p>
      <w:pPr>
        <w:spacing w:after="80"/>
      </w:pPr>
      <w:r>
        <w:rPr>
          <w:rFonts w:ascii="Calibri" w:hAnsi="Calibri"/>
          <w:sz w:val="22"/>
        </w:rPr>
        <w:t>The Market Trends Analyzer V2 is an AI-powered analytical system designed to research, analyze, and synthesize market intelligence into a professional 5-slide presentation deck based on user-provided industry and market segment inputs.</w:t>
      </w:r>
    </w:p>
    <w:p>
      <w:pPr>
        <w:spacing w:after="80"/>
      </w:pPr>
      <w:r>
        <w:rPr>
          <w:rFonts w:ascii="Calibri" w:hAnsi="Calibri"/>
          <w:sz w:val="22"/>
        </w:rPr>
        <w:t>The system integrates dynamic real-time data lookup aligned with Finviz Market Capitalization Rankings to ensure precise competitive leadership data across major industry sectors.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2. Role &amp; Persona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Role Title: </w:t>
      </w:r>
      <w:r>
        <w:rPr>
          <w:rFonts w:ascii="Calibri" w:hAnsi="Calibri"/>
          <w:sz w:val="22"/>
        </w:rPr>
        <w:t>Experienced Marketing Professional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System Persona: </w:t>
      </w:r>
      <w:r>
        <w:rPr>
          <w:rFonts w:ascii="Calibri" w:hAnsi="Calibri"/>
          <w:sz w:val="22"/>
        </w:rPr>
        <w:t>Acts as a seasoned marketing strategist capable of in-depth research across industry verticals, identifying growth drivers, competitive dynamics, product differentiators, and compliance frameworks.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3. Input Requirements</w:t>
      </w:r>
    </w:p>
    <w:p>
      <w:pPr>
        <w:spacing w:after="80"/>
      </w:pPr>
      <w:r>
        <w:rPr>
          <w:rFonts w:ascii="Calibri" w:hAnsi="Calibri"/>
          <w:sz w:val="22"/>
        </w:rPr>
        <w:t>The application accepts two mandatory inputs from the user: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Input Field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Required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Example Inputs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Industry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Healthcare, Consumer Cyclical, Technology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The target high-level industry vertical.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Market Segment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Drug Manufacturers - General, Auto Manufacturers, Semiconductor Equipment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The specific market sub-segment.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4. Market Data Resolution Strategy</w:t>
      </w:r>
    </w:p>
    <w:p>
      <w:pPr>
        <w:spacing w:after="80"/>
      </w:pPr>
      <w:r>
        <w:rPr>
          <w:rFonts w:ascii="Calibri" w:hAnsi="Calibri"/>
          <w:sz w:val="22"/>
        </w:rPr>
        <w:t>The system resolves market leaders and market capitalization using a multi-tiered architecture with exact phrase and regex word boundary matching: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Finviz Live Web Scraper: </w:t>
      </w:r>
      <w:r>
        <w:rPr>
          <w:rFonts w:ascii="Calibri" w:hAnsi="Calibri"/>
          <w:sz w:val="22"/>
        </w:rPr>
        <w:t>Parses Finviz stock screener endpoints sorted by market cap (o=-marketcap).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Curated Sector Knowledge Base: </w:t>
      </w:r>
      <w:r>
        <w:rPr>
          <w:rFonts w:ascii="Calibri" w:hAnsi="Calibri"/>
          <w:sz w:val="22"/>
        </w:rPr>
        <w:t>Provides high-fidelity fallbacks when offline or matching pre-mapped industry verticals: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Healthcare / Drug Manufacturers General: </w:t>
      </w:r>
      <w:r>
        <w:rPr>
          <w:rFonts w:ascii="Calibri" w:hAnsi="Calibri"/>
          <w:sz w:val="22"/>
        </w:rPr>
        <w:t>Eli Lilly &amp; Co (LLY), Johnson &amp; Johnson (JNJ), AbbVie Inc (ABBV), Merck &amp; Co (MRK), Novartis AG (NVS).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Consumer Cyclical / Auto Manufacturers: </w:t>
      </w:r>
      <w:r>
        <w:rPr>
          <w:rFonts w:ascii="Calibri" w:hAnsi="Calibri"/>
          <w:sz w:val="22"/>
        </w:rPr>
        <w:t>Tesla (TSLA), Toyota (TM), General Motors (GM), Ferrari (RACE), Ford Motor (F).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Semiconductor Equipment &amp; Materials: </w:t>
      </w:r>
      <w:r>
        <w:rPr>
          <w:rFonts w:ascii="Calibri" w:hAnsi="Calibri"/>
          <w:sz w:val="22"/>
        </w:rPr>
        <w:t>ASML Holding (ASML), Applied Materials (AMAT), Lam Research (LRCX), KLA Corporation (KLAC).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Semiconductors: </w:t>
      </w:r>
      <w:r>
        <w:rPr>
          <w:rFonts w:ascii="Calibri" w:hAnsi="Calibri"/>
          <w:sz w:val="22"/>
        </w:rPr>
        <w:t>NVIDIA (NVDA), Taiwan Semiconductor (TSMC), Broadcom (AVGO).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Cloud Computing: </w:t>
      </w:r>
      <w:r>
        <w:rPr>
          <w:rFonts w:ascii="Calibri" w:hAnsi="Calibri"/>
          <w:sz w:val="22"/>
        </w:rPr>
        <w:t>Amazon AWS, Microsoft Azure, Google Cloud.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5. Research Scope &amp; Deliverables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Market Trends &amp; Customer Preferences: </w:t>
      </w:r>
      <w:r>
        <w:rPr>
          <w:rFonts w:ascii="Calibri" w:hAnsi="Calibri"/>
          <w:sz w:val="22"/>
        </w:rPr>
        <w:t>Macro and micro trends shaping the segment (e.g., GLP-1 obesity therapies, Immuno-Oncology ADCs, Software-Defined Vehicles, EUV Lithography) and key purchasing drivers/TCO metrics.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Market Sizing &amp; Share: </w:t>
      </w:r>
      <w:r>
        <w:rPr>
          <w:rFonts w:ascii="Calibri" w:hAnsi="Calibri"/>
          <w:sz w:val="22"/>
        </w:rPr>
        <w:t>Total Market Segment Size in USD ($) for the previous year and market share breakdown for Top 3 to 5 Finviz Market Cap Providers.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3. Product Characteristics &amp; Differentiators: </w:t>
      </w:r>
      <w:r>
        <w:rPr>
          <w:rFonts w:ascii="Calibri" w:hAnsi="Calibri"/>
          <w:sz w:val="22"/>
        </w:rPr>
        <w:t>Key features making leading products exciting (e.g., Lilly Mounjaro/Zepbound weight loss efficacy, JNJ Darzalex, Merck Keytruda, Tesla FSD, ASML 13.5nm EUV source) and competitive moats.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4. Regulatory &amp; Compliance Specifications: </w:t>
      </w:r>
      <w:r>
        <w:rPr>
          <w:rFonts w:ascii="Calibri" w:hAnsi="Calibri"/>
          <w:sz w:val="22"/>
        </w:rPr>
        <w:t>Mandatory government laws (FDA NDA/BLA approvals, EMA Centralised Authorization, NHTSA FMVSS, BIS Export Controls), industry standards (cGMP, ICH regulations, ISO 26262, SEMI S2/S8, SOC 2 Type II), and segment-specific specs (Cold-chain 2°C to 8°C, FDA 21 CFR Part 11, HIPAA/GDPR PHI privacy).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6. Technology Stack &amp; Environment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Backend: </w:t>
      </w:r>
      <w:r>
        <w:rPr>
          <w:rFonts w:ascii="Calibri" w:hAnsi="Calibri"/>
          <w:sz w:val="22"/>
        </w:rPr>
        <w:t>Python (Flask + Requests + BeautifulSoup/Regex Web Scraper with Word-Boundary Matchers)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Frontend: </w:t>
      </w:r>
      <w:r>
        <w:rPr>
          <w:rFonts w:ascii="Calibri" w:hAnsi="Calibri"/>
          <w:sz w:val="22"/>
        </w:rPr>
        <w:t>Web Interface (HTML5, Vanilla CSS3, JavaScript ES6)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Output Format: </w:t>
      </w:r>
      <w:r>
        <w:rPr>
          <w:rFonts w:ascii="Calibri" w:hAnsi="Calibri"/>
          <w:sz w:val="22"/>
        </w:rPr>
        <w:t>Interactive Web Slide Deck with PDF Export capability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7. Output Presentation Specification</w:t>
      </w:r>
    </w:p>
    <w:p>
      <w:pPr>
        <w:spacing w:after="80"/>
      </w:pPr>
      <w:r>
        <w:rPr>
          <w:rFonts w:ascii="Calibri" w:hAnsi="Calibri"/>
          <w:sz w:val="22"/>
        </w:rPr>
        <w:t>The output is structured as a Professional 5-Slide Presentation Deck: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1: Executive Summary &amp; Market Sizing — </w:t>
      </w:r>
      <w:r>
        <w:rPr>
          <w:rFonts w:ascii="Calibri" w:hAnsi="Calibri"/>
          <w:sz w:val="22"/>
        </w:rPr>
        <w:t>Overview of Industry &amp; Market Segment, Total Market Size ($ Last Year) &amp; YoY Growth.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2: Market Trends &amp; Customer Preferences — </w:t>
      </w:r>
      <w:r>
        <w:rPr>
          <w:rFonts w:ascii="Calibri" w:hAnsi="Calibri"/>
          <w:sz w:val="22"/>
        </w:rPr>
        <w:t>Current market trends, shift drivers, and core customer favorability factors.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3: Competitive Landscape &amp; Market Share — </w:t>
      </w:r>
      <w:r>
        <w:rPr>
          <w:rFonts w:ascii="Calibri" w:hAnsi="Calibri"/>
          <w:sz w:val="22"/>
        </w:rPr>
        <w:t>Top 3 to 5 Finviz market cap leading products/providers with tickers (e.g., LLY, JNJ, ABBV, MRK, NVS).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4: Product Excitement &amp; Differentiating Factors — </w:t>
      </w:r>
      <w:r>
        <w:rPr>
          <w:rFonts w:ascii="Calibri" w:hAnsi="Calibri"/>
          <w:sz w:val="22"/>
        </w:rPr>
        <w:t>Characteristics making top products exciting and unique competitive differentiators.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5: Compliance Framework &amp; Industry Specifications — </w:t>
      </w:r>
      <w:r>
        <w:rPr>
          <w:rFonts w:ascii="Calibri" w:hAnsi="Calibri"/>
          <w:sz w:val="22"/>
        </w:rPr>
        <w:t>Mandatory government compliance laws, industry standards, and segment-specific specs.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8. UI &amp; Interaction Features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Reset Button: </w:t>
      </w:r>
      <w:r>
        <w:rPr>
          <w:rFonts w:ascii="Calibri" w:hAnsi="Calibri"/>
          <w:sz w:val="22"/>
        </w:rPr>
        <w:t>Exports current 5-slide output deck as PDF, purges backend/frontend caches and session state, and resets the screen and input fields for a new research session.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