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  <w:sz w:val="40"/>
        </w:rPr>
        <w:t>Specification: AI-Powered Power Quality Monitoring (PQM) Commodity Deep Dive &amp; Executive Deck Generator</w:t>
      </w:r>
    </w:p>
    <w:p>
      <w:r>
        <w:rPr>
          <w:i/>
        </w:rPr>
        <w:t>Author: Lalit Sabnani | Version: 2.0 | Last Updated: 2026-10-10</w:t>
      </w:r>
    </w:p>
    <w:p>
      <w:pPr>
        <w:pStyle w:val="Heading1"/>
      </w:pPr>
      <w:r>
        <w:t>1. System Overview &amp; Architecture</w:t>
      </w:r>
    </w:p>
    <w:p>
      <w:r>
        <w:t>This document specifies an AI-driven presentation pipeline featuring a Python Backend (FastAPI), a Critic Agent Verification loop, an Interactive WebUI Frontend, and an Automated Archival System. It automates the generation, factual verification, executive review (1-10 scale), iterative refinement, and multi-format export (PDF/PPTX) of a 13-slide executive presentation deck on Power Quality Monitoring (PQM) solutions.</w:t>
      </w:r>
    </w:p>
    <w:p>
      <w:pPr>
        <w:pStyle w:val="Heading1"/>
      </w:pPr>
      <w:r>
        <w:t>2. Core Features &amp; Capabilities</w:t>
      </w:r>
    </w:p>
    <w:p>
      <w:pPr>
        <w:pStyle w:val="Heading2"/>
      </w:pPr>
      <w:r>
        <w:t>2.1 Concise Narrative &amp; Visual Design Standards</w:t>
      </w:r>
    </w:p>
    <w:p>
      <w:r>
        <w:t>• Punchy Executive Copy: Replaces dense paragraphs with concise 1–2 sentence executive overviews.</w:t>
        <w:br/>
        <w:t>• High-Impact Metric Cards: Displays 3 quantitative metric callout cards per slide (e.g. 99.9999% Uptime, .4M Risk/hr, 16 Weeks,  Budget, .8M ROI).</w:t>
        <w:br/>
        <w:t>• Sharp Takeaways: Formats key takeaways into 6–12 word action-oriented bullet statements.</w:t>
        <w:br/>
        <w:t>• Single-Line Footer Metadata: Displays: PQM # • PQM_Executive_Deck • Author: Lalit Sabnani • Date • Verified Sources.</w:t>
      </w:r>
    </w:p>
    <w:p>
      <w:pPr>
        <w:pStyle w:val="Heading2"/>
      </w:pPr>
      <w:r>
        <w:t>2.2 User Problem Input &amp; Multi-Problem Archival Lifecycle</w:t>
      </w:r>
    </w:p>
    <w:p>
      <w:r>
        <w:t>• Dynamic Problem Statement Capture: Ingests new problem prompts or target scopes via POST /api/problem/ingest.</w:t>
        <w:br/>
        <w:t>• Scope Re-Aligner: Automatically updates presentation objectives and re-synthesizes slide titles, takeaways, and metrics.</w:t>
        <w:br/>
        <w:t>• Multi-Problem Archival (Another Problem?): When user triggers POST /api/problem/reset-next, automatically archives current deck outputs to versioned files (output/PQM_Executive_Deck_YYYYMMDD_HHMMSS.pptx &amp; .pdf), clears slide approval cache in PQM_Commodity_Study.json, and prompts for next problem input.</w:t>
      </w:r>
    </w:p>
    <w:p>
      <w:pPr>
        <w:pStyle w:val="Heading2"/>
      </w:pPr>
      <w:r>
        <w:t>2.3 Python AI Backend &amp; Critic Agent Verification</w:t>
      </w:r>
    </w:p>
    <w:p>
      <w:r>
        <w:t>• AI Generator: Synthesizes structured 13-slide PQM study data covering market trends, suppliers (Eaton, Schneider, SEL, Janitza, Powerside), products, selection criteria, TCO, and execution roadmaps.</w:t>
        <w:br/>
        <w:t>• Critic Agent Live Link Verification: Performs live HTTP GET/HEAD checks (httpx) to verify URL reachability (HTTP 200 OK) and cross-checks technical standards (IEC 61000-4-30 Class A, IEEE 1159, SEMI F47, IEC 62443, Modbus, IEC 61850).</w:t>
        <w:br/>
        <w:t>• Iterative Revision Engine: Processes executive scores (1–10). Ratings &lt; 9 trigger automated AI slide revisions logged in Revision_Log.md.</w:t>
      </w:r>
    </w:p>
    <w:p>
      <w:pPr>
        <w:pStyle w:val="Heading1"/>
      </w:pPr>
      <w:r>
        <w:t>3. 13-Slide Executive Deck Structure &amp; Critic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Slide #</w:t>
            </w:r>
          </w:p>
        </w:tc>
        <w:tc>
          <w:tcPr>
            <w:tcW w:type="dxa" w:w="2484"/>
          </w:tcPr>
          <w:p>
            <w:r>
              <w:t>Slide Title</w:t>
            </w:r>
          </w:p>
        </w:tc>
        <w:tc>
          <w:tcPr>
            <w:tcW w:type="dxa" w:w="2484"/>
          </w:tcPr>
          <w:p>
            <w:r>
              <w:t>Technical Content Focus</w:t>
            </w:r>
          </w:p>
        </w:tc>
        <w:tc>
          <w:tcPr>
            <w:tcW w:type="dxa" w:w="2484"/>
          </w:tcPr>
          <w:p>
            <w:r>
              <w:t>Critic Verification Reference Sources</w:t>
            </w:r>
          </w:p>
        </w:tc>
      </w:tr>
      <w:tr>
        <w:tc>
          <w:tcPr>
            <w:tcW w:type="dxa" w:w="2484"/>
          </w:tcPr>
          <w:p>
            <w:r>
              <w:t>Slide 1</w:t>
            </w:r>
          </w:p>
        </w:tc>
        <w:tc>
          <w:tcPr>
            <w:tcW w:type="dxa" w:w="2484"/>
          </w:tcPr>
          <w:p>
            <w:r>
              <w:t>Title &amp; Executive Summary</w:t>
            </w:r>
          </w:p>
        </w:tc>
        <w:tc>
          <w:tcPr>
            <w:tcW w:type="dxa" w:w="2484"/>
          </w:tcPr>
          <w:p>
            <w:r>
              <w:t>Project Context, Objectives, Scope, and Strategic Takeaways</w:t>
            </w:r>
          </w:p>
        </w:tc>
        <w:tc>
          <w:tcPr>
            <w:tcW w:type="dxa" w:w="2484"/>
          </w:tcPr>
          <w:p>
            <w:r>
              <w:t>EPRI Power Quality Basics, IEEE 1159 Monitoring Practice</w:t>
            </w:r>
          </w:p>
        </w:tc>
      </w:tr>
      <w:tr>
        <w:tc>
          <w:tcPr>
            <w:tcW w:type="dxa" w:w="2484"/>
          </w:tcPr>
          <w:p>
            <w:r>
              <w:t>Slide 2</w:t>
            </w:r>
          </w:p>
        </w:tc>
        <w:tc>
          <w:tcPr>
            <w:tcW w:type="dxa" w:w="2484"/>
          </w:tcPr>
          <w:p>
            <w:r>
              <w:t>Commodity Definition &amp; Relevance</w:t>
            </w:r>
          </w:p>
        </w:tc>
        <w:tc>
          <w:tcPr>
            <w:tcW w:type="dxa" w:w="2484"/>
          </w:tcPr>
          <w:p>
            <w:r>
              <w:t>PQM Fundamentals, Voltage Sags, SEMI F47 Immunity &amp; Harmonics</w:t>
            </w:r>
          </w:p>
        </w:tc>
        <w:tc>
          <w:tcPr>
            <w:tcW w:type="dxa" w:w="2484"/>
          </w:tcPr>
          <w:p>
            <w:r>
              <w:t>IEC 61000-4-30 Standard, SEMI F47 Voltage Sag Standard</w:t>
            </w:r>
          </w:p>
        </w:tc>
      </w:tr>
      <w:tr>
        <w:tc>
          <w:tcPr>
            <w:tcW w:type="dxa" w:w="2484"/>
          </w:tcPr>
          <w:p>
            <w:r>
              <w:t>Slide 3</w:t>
            </w:r>
          </w:p>
        </w:tc>
        <w:tc>
          <w:tcPr>
            <w:tcW w:type="dxa" w:w="2484"/>
          </w:tcPr>
          <w:p>
            <w:r>
              <w:t>Market Dynamics &amp; Macro Drivers</w:t>
            </w:r>
          </w:p>
        </w:tc>
        <w:tc>
          <w:tcPr>
            <w:tcW w:type="dxa" w:w="2484"/>
          </w:tcPr>
          <w:p>
            <w:r>
              <w:t>TAM Expansion (.2B), AI Power Surge (100kW+ rack), Microgrids</w:t>
            </w:r>
          </w:p>
        </w:tc>
        <w:tc>
          <w:tcPr>
            <w:tcW w:type="dxa" w:w="2484"/>
          </w:tcPr>
          <w:p>
            <w:r>
              <w:t>Grand View Research, IEA Electricity 2024 Report</w:t>
            </w:r>
          </w:p>
        </w:tc>
      </w:tr>
      <w:tr>
        <w:tc>
          <w:tcPr>
            <w:tcW w:type="dxa" w:w="2484"/>
          </w:tcPr>
          <w:p>
            <w:r>
              <w:t>Slide 4</w:t>
            </w:r>
          </w:p>
        </w:tc>
        <w:tc>
          <w:tcPr>
            <w:tcW w:type="dxa" w:w="2484"/>
          </w:tcPr>
          <w:p>
            <w:r>
              <w:t>Competitive Landscape &amp; Market Share</w:t>
            </w:r>
          </w:p>
        </w:tc>
        <w:tc>
          <w:tcPr>
            <w:tcW w:type="dxa" w:w="2484"/>
          </w:tcPr>
          <w:p>
            <w:r>
              <w:t>Tier 1 Conglomerates (Schneider 32%, Eaton 23%), SEL (18%), Edge (15%)</w:t>
            </w:r>
          </w:p>
        </w:tc>
        <w:tc>
          <w:tcPr>
            <w:tcW w:type="dxa" w:w="2484"/>
          </w:tcPr>
          <w:p>
            <w:r>
              <w:t>Schneider EcoStruxure Power, Eaton Brightlayer</w:t>
            </w:r>
          </w:p>
        </w:tc>
      </w:tr>
      <w:tr>
        <w:tc>
          <w:tcPr>
            <w:tcW w:type="dxa" w:w="2484"/>
          </w:tcPr>
          <w:p>
            <w:r>
              <w:t>Slide 5</w:t>
            </w:r>
          </w:p>
        </w:tc>
        <w:tc>
          <w:tcPr>
            <w:tcW w:type="dxa" w:w="2484"/>
          </w:tcPr>
          <w:p>
            <w:r>
              <w:t>Supplier Differentiation &amp; USPs</w:t>
            </w:r>
          </w:p>
        </w:tc>
        <w:tc>
          <w:tcPr>
            <w:tcW w:type="dxa" w:w="2484"/>
          </w:tcPr>
          <w:p>
            <w:r>
              <w:t>Schneider ION9000, Eaton, SEL-735, Janitza UMG, Powerside PQube3</w:t>
            </w:r>
          </w:p>
        </w:tc>
        <w:tc>
          <w:tcPr>
            <w:tcW w:type="dxa" w:w="2484"/>
          </w:tcPr>
          <w:p>
            <w:r>
              <w:t>SEL Power System Products, Powerside PQube3 Spec</w:t>
            </w:r>
          </w:p>
        </w:tc>
      </w:tr>
      <w:tr>
        <w:tc>
          <w:tcPr>
            <w:tcW w:type="dxa" w:w="2484"/>
          </w:tcPr>
          <w:p>
            <w:r>
              <w:t>Slide 6</w:t>
            </w:r>
          </w:p>
        </w:tc>
        <w:tc>
          <w:tcPr>
            <w:tcW w:type="dxa" w:w="2484"/>
          </w:tcPr>
          <w:p>
            <w:r>
              <w:t>Product &amp; Hardware Architecture</w:t>
            </w:r>
          </w:p>
        </w:tc>
        <w:tc>
          <w:tcPr>
            <w:tcW w:type="dxa" w:w="2484"/>
          </w:tcPr>
          <w:p>
            <w:r>
              <w:t>Class A Meters (IEC 61000-4-30), GPS Sync (±1µs), 20MHz Transient Capture</w:t>
            </w:r>
          </w:p>
        </w:tc>
        <w:tc>
          <w:tcPr>
            <w:tcW w:type="dxa" w:w="2484"/>
          </w:tcPr>
          <w:p>
            <w:r>
              <w:t>Janitza UMG 512 PRO Spec, Schneider ION9000 Datasheet</w:t>
            </w:r>
          </w:p>
        </w:tc>
      </w:tr>
      <w:tr>
        <w:tc>
          <w:tcPr>
            <w:tcW w:type="dxa" w:w="2484"/>
          </w:tcPr>
          <w:p>
            <w:r>
              <w:t>Slide 7</w:t>
            </w:r>
          </w:p>
        </w:tc>
        <w:tc>
          <w:tcPr>
            <w:tcW w:type="dxa" w:w="2484"/>
          </w:tcPr>
          <w:p>
            <w:r>
              <w:t>Software Platforms &amp; Power Analytics</w:t>
            </w:r>
          </w:p>
        </w:tc>
        <w:tc>
          <w:tcPr>
            <w:tcW w:type="dxa" w:w="2484"/>
          </w:tcPr>
          <w:p>
            <w:r>
              <w:t>EPMS Architectures, CBEMA/ITIC Curve Analysis, AI Anomaly Detection</w:t>
            </w:r>
          </w:p>
        </w:tc>
        <w:tc>
          <w:tcPr>
            <w:tcW w:type="dxa" w:w="2484"/>
          </w:tcPr>
          <w:p>
            <w:r>
              <w:t>Schneider Power Monitoring Expert, Eaton Foreseer EPMS</w:t>
            </w:r>
          </w:p>
        </w:tc>
      </w:tr>
      <w:tr>
        <w:tc>
          <w:tcPr>
            <w:tcW w:type="dxa" w:w="2484"/>
          </w:tcPr>
          <w:p>
            <w:r>
              <w:t>Slide 8</w:t>
            </w:r>
          </w:p>
        </w:tc>
        <w:tc>
          <w:tcPr>
            <w:tcW w:type="dxa" w:w="2484"/>
          </w:tcPr>
          <w:p>
            <w:r>
              <w:t>Service Offerings &amp; Lifecycle Support</w:t>
            </w:r>
          </w:p>
        </w:tc>
        <w:tc>
          <w:tcPr>
            <w:tcW w:type="dxa" w:w="2484"/>
          </w:tcPr>
          <w:p>
            <w:r>
              <w:t>NIST Calibration, IEC 62443 Cybersecurity, Vendor SLAs (&lt;2hr)</w:t>
            </w:r>
          </w:p>
        </w:tc>
        <w:tc>
          <w:tcPr>
            <w:tcW w:type="dxa" w:w="2484"/>
          </w:tcPr>
          <w:p>
            <w:r>
              <w:t>ISA/IEC 62443 Cyber Standard, NIST Cyber Framework</w:t>
            </w:r>
          </w:p>
        </w:tc>
      </w:tr>
      <w:tr>
        <w:tc>
          <w:tcPr>
            <w:tcW w:type="dxa" w:w="2484"/>
          </w:tcPr>
          <w:p>
            <w:r>
              <w:t>Slide 9</w:t>
            </w:r>
          </w:p>
        </w:tc>
        <w:tc>
          <w:tcPr>
            <w:tcW w:type="dxa" w:w="2484"/>
          </w:tcPr>
          <w:p>
            <w:r>
              <w:t>Vendor Evaluation &amp; Selection Criteria</w:t>
            </w:r>
          </w:p>
        </w:tc>
        <w:tc>
          <w:tcPr>
            <w:tcW w:type="dxa" w:w="2484"/>
          </w:tcPr>
          <w:p>
            <w:r>
              <w:t>Weighted Decision Matrix (Tech 30%, TCO 25%, Interoperability 20%)</w:t>
            </w:r>
          </w:p>
        </w:tc>
        <w:tc>
          <w:tcPr>
            <w:tcW w:type="dxa" w:w="2484"/>
          </w:tcPr>
          <w:p>
            <w:r>
              <w:t>IEC 61850 Communication Standard, Modbus Specifications</w:t>
            </w:r>
          </w:p>
        </w:tc>
      </w:tr>
      <w:tr>
        <w:tc>
          <w:tcPr>
            <w:tcW w:type="dxa" w:w="2484"/>
          </w:tcPr>
          <w:p>
            <w:r>
              <w:t>Slide 10</w:t>
            </w:r>
          </w:p>
        </w:tc>
        <w:tc>
          <w:tcPr>
            <w:tcW w:type="dxa" w:w="2484"/>
          </w:tcPr>
          <w:p>
            <w:r>
              <w:t>TCO &amp; Sourcing Risk Management</w:t>
            </w:r>
          </w:p>
        </w:tc>
        <w:tc>
          <w:tcPr>
            <w:tcW w:type="dxa" w:w="2484"/>
          </w:tcPr>
          <w:p>
            <w:r>
              <w:t>CapEx 35% vs OpEx 65%, 16-24 Wk Lead Time Buffering, Dual-Sourcing</w:t>
            </w:r>
          </w:p>
        </w:tc>
        <w:tc>
          <w:tcPr>
            <w:tcW w:type="dxa" w:w="2484"/>
          </w:tcPr>
          <w:p>
            <w:r>
              <w:t>Gartner Supply Chain, McKinsey Supply Chain Resilience</w:t>
            </w:r>
          </w:p>
        </w:tc>
      </w:tr>
      <w:tr>
        <w:tc>
          <w:tcPr>
            <w:tcW w:type="dxa" w:w="2484"/>
          </w:tcPr>
          <w:p>
            <w:r>
              <w:t>Slide 11</w:t>
            </w:r>
          </w:p>
        </w:tc>
        <w:tc>
          <w:tcPr>
            <w:tcW w:type="dxa" w:w="2484"/>
          </w:tcPr>
          <w:p>
            <w:r>
              <w:t>Implementation &amp; Operational Roadmap</w:t>
            </w:r>
          </w:p>
        </w:tc>
        <w:tc>
          <w:tcPr>
            <w:tcW w:type="dxa" w:w="2484"/>
          </w:tcPr>
          <w:p>
            <w:r>
              <w:t>Phased Rollout (W1-24), CTB Staging &amp; FRACAS Quality Governance</w:t>
            </w:r>
          </w:p>
        </w:tc>
        <w:tc>
          <w:tcPr>
            <w:tcW w:type="dxa" w:w="2484"/>
          </w:tcPr>
          <w:p>
            <w:r>
              <w:t>ASQ FRACAS Quality Standard, PMI Program Management</w:t>
            </w:r>
          </w:p>
        </w:tc>
      </w:tr>
      <w:tr>
        <w:tc>
          <w:tcPr>
            <w:tcW w:type="dxa" w:w="2484"/>
          </w:tcPr>
          <w:p>
            <w:r>
              <w:t>Slide 12</w:t>
            </w:r>
          </w:p>
        </w:tc>
        <w:tc>
          <w:tcPr>
            <w:tcW w:type="dxa" w:w="2484"/>
          </w:tcPr>
          <w:p>
            <w:r>
              <w:t>Strategic Recommendations &amp; Sourcing</w:t>
            </w:r>
          </w:p>
        </w:tc>
        <w:tc>
          <w:tcPr>
            <w:tcW w:type="dxa" w:w="2484"/>
          </w:tcPr>
          <w:p>
            <w:r>
              <w:t>Dual-Vendor Sourcing Framework, Open Protocol RFP Mandate, 14-18% TCO</w:t>
            </w:r>
          </w:p>
        </w:tc>
        <w:tc>
          <w:tcPr>
            <w:tcW w:type="dxa" w:w="2484"/>
          </w:tcPr>
          <w:p>
            <w:r>
              <w:t>IEEE Power &amp; Energy Society, CIGRE Power Quality Group</w:t>
            </w:r>
          </w:p>
        </w:tc>
      </w:tr>
      <w:tr>
        <w:tc>
          <w:tcPr>
            <w:tcW w:type="dxa" w:w="2484"/>
          </w:tcPr>
          <w:p>
            <w:r>
              <w:t>Slide 13</w:t>
            </w:r>
          </w:p>
        </w:tc>
        <w:tc>
          <w:tcPr>
            <w:tcW w:type="dxa" w:w="2484"/>
          </w:tcPr>
          <w:p>
            <w:r>
              <w:t>Next Steps &amp; Implementation Plan</w:t>
            </w:r>
          </w:p>
        </w:tc>
        <w:tc>
          <w:tcPr>
            <w:tcW w:type="dxa" w:w="2484"/>
          </w:tcPr>
          <w:p>
            <w:r>
              <w:t>16-Week Execution Roadmap,  Implementation Budget, .8M ROI</w:t>
            </w:r>
          </w:p>
        </w:tc>
        <w:tc>
          <w:tcPr>
            <w:tcW w:type="dxa" w:w="2484"/>
          </w:tcPr>
          <w:p>
            <w:r>
              <w:t>PMI Budgeting Standard, Gartner Facilities Execution</w:t>
            </w:r>
          </w:p>
        </w:tc>
      </w:tr>
    </w:tbl>
    <w:p>
      <w:pPr>
        <w:pStyle w:val="Heading1"/>
      </w:pPr>
      <w:r>
        <w:t>4. Deliverables &amp; Project Files</w:t>
      </w:r>
    </w:p>
    <w:p>
      <w:r>
        <w:t>• Spec.md: Technical system specification.</w:t>
        <w:br/>
        <w:t>• README.md: Usage documentation &amp; quickstart guide.</w:t>
        <w:br/>
        <w:t>• server.py: FastAPI backend application.</w:t>
        <w:br/>
        <w:t>• index.html: Interactive WebUI frontend.</w:t>
        <w:br/>
        <w:t>• PQM_Commodity_Study.json: Structured 13-slide master dataset.</w:t>
        <w:br/>
        <w:t>• Revision_Log.md: Executive revision log.</w:t>
        <w:br/>
        <w:t>• output/PQM_Executive_Deck.pptx: Exported widescreen PowerPoint deck.</w:t>
        <w:br/>
        <w:t>• output/PQM_Executive_Deck.pdf: Exported executive PDF document brief.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