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0F172A"/>
          <w:sz w:val="48"/>
        </w:rPr>
        <w:t>Explainer: PPT &amp; Video Knowledge System</w:t>
      </w:r>
    </w:p>
    <w:p>
      <w:pPr>
        <w:spacing w:after="40"/>
      </w:pPr>
      <w:r>
        <w:rPr>
          <w:b/>
          <w:color w:val="0E7490"/>
          <w:sz w:val="28"/>
        </w:rPr>
        <w:t>System Overview, CLEATS Rubric, Critic Link Gatekeeper &amp; FMEA Risk Governance</w:t>
      </w:r>
    </w:p>
    <w:p>
      <w:pPr>
        <w:spacing w:after="360"/>
      </w:pPr>
      <w:r>
        <w:rPr>
          <w:i/>
          <w:color w:val="64748B"/>
          <w:sz w:val="19"/>
        </w:rPr>
        <w:t>Document Version: 2.0 (v2)  |  Status: Approved Specification  |  Target Platform: Multi-Agent AI &amp; Web Engine</w:t>
      </w:r>
    </w:p>
    <w:p>
      <w:pPr>
        <w:pBdr>
          <w:bottom w:val="single" w:sz="12" w:space="4" w:color="0E7490"/>
        </w:pBdr>
        <w:spacing w:after="280"/>
      </w:pPr>
    </w:p>
    <w:p>
      <w:pPr>
        <w:pStyle w:val="Heading1"/>
        <w:spacing w:before="280" w:after="120"/>
      </w:pPr>
      <w:r>
        <w:t>1. Executive Summary &amp; Core Philosophy</w:t>
      </w:r>
    </w:p>
    <w:p>
      <w:pPr>
        <w:spacing w:after="120"/>
      </w:pPr>
      <w:r>
        <w:t>Often engineers and practitioners wonder if they truly understand a complex concept or architecture. Under the psychological phenomenon known as the 'Illusion of Explanatory Depth', individuals frequently believe they master a system until asked to diagram, implement, or defend it from first principles. Standard text search engines and generic generative LLMs fail to resolve this because they provide fragmented prose or unverified answers without structural diagrams, reproducible benchmarks, or verified artifacts.</w:t>
      </w:r>
    </w:p>
    <w:p>
      <w:pPr>
        <w:spacing w:after="200"/>
      </w:pPr>
      <w:r>
        <w:t>The Explainer system bridges this gap by discovering, analyzing, and quality-scoring high-bandwidth educational resources across three complementary mediums:</w:t>
        <w:br/>
        <w:t>1. Structural Blueprints: Open-source PowerPoint slide decks (.ppt, .pptx) that capture system topology, lifecycle schematics, and design trade-offs.</w:t>
        <w:br/>
        <w:t>2. Step-by-Step Walkthroughs: Educational videos (YouTube) providing narration, dynamic animations, and hands-on demonstrations.</w:t>
        <w:br/>
        <w:t>3. Empirical &amp; Theoretical Rigor: Peer-reviewed scientific literature (ScienceDirect / Elsevier) contributing formal taxonomy, mathematical proofs, and verified benchmark curves.</w:t>
      </w:r>
    </w:p>
    <w:p>
      <w:pPr>
        <w:pStyle w:val="Heading1"/>
        <w:spacing w:before="280" w:after="120"/>
      </w:pPr>
      <w:r>
        <w:t>2. Multi-Agent System Architecture</w:t>
      </w:r>
    </w:p>
    <w:p>
      <w:r>
        <w:t>Explainer coordinates a sequential, user-in-the-loop multi-agent pipeline comprising three specialized roles:</w:t>
      </w:r>
    </w:p>
    <w:p>
      <w:pPr>
        <w:pStyle w:val="ListBullet"/>
        <w:spacing w:after="80"/>
      </w:pPr>
      <w:r>
        <w:rPr>
          <w:b/>
        </w:rPr>
        <w:t xml:space="preserve">Agent 1: Greeter Agent: </w:t>
      </w:r>
      <w:r>
        <w:t>Conducts intake interview, captures the core problem statement, and elicits user motivation ('Why do you want to know?') and target end-use ('What will you use this understanding for?').</w:t>
      </w:r>
    </w:p>
    <w:p>
      <w:pPr>
        <w:pStyle w:val="ListBullet"/>
        <w:spacing w:after="80"/>
      </w:pPr>
      <w:r>
        <w:rPr>
          <w:b/>
        </w:rPr>
        <w:t xml:space="preserve">Agent 2: Researcher Agent: </w:t>
      </w:r>
      <w:r>
        <w:t>Stage 1: Queries Wikipedia REST API to present a concise baseline definition to confirm topic alignment.</w:t>
        <w:br/>
        <w:t>Stage 2: Executes deep-dive discovery across slide repositories, YouTube APIs, and ScienceDirect literature.</w:t>
      </w:r>
    </w:p>
    <w:p>
      <w:pPr>
        <w:pStyle w:val="ListBullet"/>
        <w:spacing w:after="80"/>
      </w:pPr>
      <w:r>
        <w:rPr>
          <w:b/>
        </w:rPr>
        <w:t xml:space="preserve">Agent 3: Evaluator &amp; Critic Agent: </w:t>
      </w:r>
      <w:r>
        <w:t>Gatekeeper Duty: Probes all candidate reference URLs via live HTTP HEAD/GET requests, detects soft-404 masking, scores candidates on the standardized 6-dimension CLEATS rubric, zeroes Transparency (T=0.0) on broken links, calculates FMEA Risk Priority Numbers (RPN), enforces the User Agreement Gate on simulated data, and recommends the Top 3 resources.</w:t>
      </w:r>
    </w:p>
    <w:p>
      <w:pPr>
        <w:pStyle w:val="Heading1"/>
        <w:spacing w:before="280" w:after="120"/>
      </w:pPr>
      <w:r>
        <w:t>3. The CLEATS Evaluation Framework &amp; Scoring Rubric</w:t>
      </w:r>
    </w:p>
    <w:p>
      <w:r>
        <w:t>Every candidate presentation deck, video, and paper is rigorously rated from 1.0 to 10.0 across the 6 standardized CLEATS dimensions:</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r>
              <w:rPr>
                <w:b/>
                <w:color w:val="FFFFFF"/>
                <w:sz w:val="19"/>
              </w:rPr>
              <w:t>Char</w:t>
            </w:r>
          </w:p>
        </w:tc>
        <w:tc>
          <w:tcPr>
            <w:tcW w:type="dxa" w:w="2484"/>
            <w:shd w:fill="0F172A"/>
          </w:tcPr>
          <w:p>
            <w:r>
              <w:rPr>
                <w:b/>
                <w:color w:val="FFFFFF"/>
                <w:sz w:val="19"/>
              </w:rPr>
              <w:t>Dimension</w:t>
            </w:r>
          </w:p>
        </w:tc>
        <w:tc>
          <w:tcPr>
            <w:tcW w:type="dxa" w:w="2484"/>
            <w:shd w:fill="0F172A"/>
          </w:tcPr>
          <w:p>
            <w:r>
              <w:rPr>
                <w:b/>
                <w:color w:val="FFFFFF"/>
                <w:sz w:val="19"/>
              </w:rPr>
              <w:t>Core Evaluation Focus</w:t>
            </w:r>
          </w:p>
        </w:tc>
        <w:tc>
          <w:tcPr>
            <w:tcW w:type="dxa" w:w="2484"/>
            <w:shd w:fill="0F172A"/>
          </w:tcPr>
          <w:p>
            <w:r>
              <w:rPr>
                <w:b/>
                <w:color w:val="FFFFFF"/>
                <w:sz w:val="19"/>
              </w:rPr>
              <w:t>What 10/10 Excellence Looks Like</w:t>
            </w:r>
          </w:p>
        </w:tc>
      </w:tr>
      <w:tr>
        <w:tc>
          <w:tcPr>
            <w:tcW w:type="dxa" w:w="2484"/>
            <w:shd w:fill="F1F5F9"/>
            <w:tcMar>
              <w:top w:w="80" w:type="dxa"/>
              <w:bottom w:w="80" w:type="dxa"/>
              <w:left w:w="100" w:type="dxa"/>
              <w:right w:w="100" w:type="dxa"/>
            </w:tcMar>
          </w:tcPr>
          <w:p>
            <w:r>
              <w:rPr>
                <w:b/>
                <w:sz w:val="18"/>
              </w:rPr>
              <w:t>C</w:t>
            </w:r>
          </w:p>
        </w:tc>
        <w:tc>
          <w:tcPr>
            <w:tcW w:type="dxa" w:w="2484"/>
            <w:tcMar>
              <w:top w:w="80" w:type="dxa"/>
              <w:bottom w:w="80" w:type="dxa"/>
              <w:left w:w="100" w:type="dxa"/>
              <w:right w:w="100" w:type="dxa"/>
            </w:tcMar>
          </w:tcPr>
          <w:p>
            <w:r>
              <w:rPr>
                <w:sz w:val="18"/>
              </w:rPr>
              <w:t>Completeness</w:t>
            </w:r>
          </w:p>
        </w:tc>
        <w:tc>
          <w:tcPr>
            <w:tcW w:type="dxa" w:w="2484"/>
            <w:tcMar>
              <w:top w:w="80" w:type="dxa"/>
              <w:bottom w:w="80" w:type="dxa"/>
              <w:left w:w="100" w:type="dxa"/>
              <w:right w:w="100" w:type="dxa"/>
            </w:tcMar>
          </w:tcPr>
          <w:p>
            <w:r>
              <w:rPr>
                <w:sz w:val="18"/>
              </w:rPr>
              <w:t>Scope coverage from theoretical foundation to operational deployment.</w:t>
            </w:r>
          </w:p>
        </w:tc>
        <w:tc>
          <w:tcPr>
            <w:tcW w:type="dxa" w:w="2484"/>
            <w:tcMar>
              <w:top w:w="80" w:type="dxa"/>
              <w:bottom w:w="80" w:type="dxa"/>
              <w:left w:w="100" w:type="dxa"/>
              <w:right w:w="100" w:type="dxa"/>
            </w:tcMar>
          </w:tcPr>
          <w:p>
            <w:r>
              <w:rPr>
                <w:sz w:val="18"/>
              </w:rPr>
              <w:t>Covers end-to-end architecture, edge cases, failure boundaries, and operational tradeoffs.</w:t>
            </w:r>
          </w:p>
        </w:tc>
      </w:tr>
      <w:tr>
        <w:tc>
          <w:tcPr>
            <w:tcW w:type="dxa" w:w="2484"/>
            <w:shd w:fill="F1F5F9"/>
            <w:tcMar>
              <w:top w:w="80" w:type="dxa"/>
              <w:bottom w:w="80" w:type="dxa"/>
              <w:left w:w="100" w:type="dxa"/>
              <w:right w:w="100" w:type="dxa"/>
            </w:tcMar>
          </w:tcPr>
          <w:p>
            <w:r>
              <w:rPr>
                <w:b/>
                <w:sz w:val="18"/>
              </w:rPr>
              <w:t>L</w:t>
            </w:r>
          </w:p>
        </w:tc>
        <w:tc>
          <w:tcPr>
            <w:tcW w:type="dxa" w:w="2484"/>
            <w:tcMar>
              <w:top w:w="80" w:type="dxa"/>
              <w:bottom w:w="80" w:type="dxa"/>
              <w:left w:w="100" w:type="dxa"/>
              <w:right w:w="100" w:type="dxa"/>
            </w:tcMar>
          </w:tcPr>
          <w:p>
            <w:r>
              <w:rPr>
                <w:sz w:val="18"/>
              </w:rPr>
              <w:t>Latency</w:t>
            </w:r>
          </w:p>
        </w:tc>
        <w:tc>
          <w:tcPr>
            <w:tcW w:type="dxa" w:w="2484"/>
            <w:tcMar>
              <w:top w:w="80" w:type="dxa"/>
              <w:bottom w:w="80" w:type="dxa"/>
              <w:left w:w="100" w:type="dxa"/>
              <w:right w:w="100" w:type="dxa"/>
            </w:tcMar>
          </w:tcPr>
          <w:p>
            <w:r>
              <w:rPr>
                <w:sz w:val="18"/>
              </w:rPr>
              <w:t>Time-to-insight and cognitive load.</w:t>
            </w:r>
          </w:p>
        </w:tc>
        <w:tc>
          <w:tcPr>
            <w:tcW w:type="dxa" w:w="2484"/>
            <w:tcMar>
              <w:top w:w="80" w:type="dxa"/>
              <w:bottom w:w="80" w:type="dxa"/>
              <w:left w:w="100" w:type="dxa"/>
              <w:right w:w="100" w:type="dxa"/>
            </w:tcMar>
          </w:tcPr>
          <w:p>
            <w:r>
              <w:rPr>
                <w:sz w:val="18"/>
              </w:rPr>
              <w:t>Optimal signal-to-noise ratio; delivers critical insights rapidly without conversational fluff or filler.</w:t>
            </w:r>
          </w:p>
        </w:tc>
      </w:tr>
      <w:tr>
        <w:tc>
          <w:tcPr>
            <w:tcW w:type="dxa" w:w="2484"/>
            <w:shd w:fill="F1F5F9"/>
            <w:tcMar>
              <w:top w:w="80" w:type="dxa"/>
              <w:bottom w:w="80" w:type="dxa"/>
              <w:left w:w="100" w:type="dxa"/>
              <w:right w:w="100" w:type="dxa"/>
            </w:tcMar>
          </w:tcPr>
          <w:p>
            <w:r>
              <w:rPr>
                <w:b/>
                <w:sz w:val="18"/>
              </w:rPr>
              <w:t>E</w:t>
            </w:r>
          </w:p>
        </w:tc>
        <w:tc>
          <w:tcPr>
            <w:tcW w:type="dxa" w:w="2484"/>
            <w:tcMar>
              <w:top w:w="80" w:type="dxa"/>
              <w:bottom w:w="80" w:type="dxa"/>
              <w:left w:w="100" w:type="dxa"/>
              <w:right w:w="100" w:type="dxa"/>
            </w:tcMar>
          </w:tcPr>
          <w:p>
            <w:r>
              <w:rPr>
                <w:sz w:val="18"/>
              </w:rPr>
              <w:t>Engagement</w:t>
            </w:r>
          </w:p>
        </w:tc>
        <w:tc>
          <w:tcPr>
            <w:tcW w:type="dxa" w:w="2484"/>
            <w:tcMar>
              <w:top w:w="80" w:type="dxa"/>
              <w:bottom w:w="80" w:type="dxa"/>
              <w:left w:w="100" w:type="dxa"/>
              <w:right w:w="100" w:type="dxa"/>
            </w:tcMar>
          </w:tcPr>
          <w:p>
            <w:r>
              <w:rPr>
                <w:sz w:val="18"/>
              </w:rPr>
              <w:t>Pedagogical clarity, author consensus, and visual structure.</w:t>
            </w:r>
          </w:p>
        </w:tc>
        <w:tc>
          <w:tcPr>
            <w:tcW w:type="dxa" w:w="2484"/>
            <w:tcMar>
              <w:top w:w="80" w:type="dxa"/>
              <w:bottom w:w="80" w:type="dxa"/>
              <w:left w:w="100" w:type="dxa"/>
              <w:right w:w="100" w:type="dxa"/>
            </w:tcMar>
          </w:tcPr>
          <w:p>
            <w:r>
              <w:rPr>
                <w:sz w:val="18"/>
              </w:rPr>
              <w:t>Authored by recognized working groups with inter-institutional peer contributor consensus and clean visual schematics.</w:t>
            </w:r>
          </w:p>
        </w:tc>
      </w:tr>
      <w:tr>
        <w:tc>
          <w:tcPr>
            <w:tcW w:type="dxa" w:w="2484"/>
            <w:shd w:fill="F1F5F9"/>
            <w:tcMar>
              <w:top w:w="80" w:type="dxa"/>
              <w:bottom w:w="80" w:type="dxa"/>
              <w:left w:w="100" w:type="dxa"/>
              <w:right w:w="100" w:type="dxa"/>
            </w:tcMar>
          </w:tcPr>
          <w:p>
            <w:r>
              <w:rPr>
                <w:b/>
                <w:sz w:val="18"/>
              </w:rPr>
              <w:t>A</w:t>
            </w:r>
          </w:p>
        </w:tc>
        <w:tc>
          <w:tcPr>
            <w:tcW w:type="dxa" w:w="2484"/>
            <w:tcMar>
              <w:top w:w="80" w:type="dxa"/>
              <w:bottom w:w="80" w:type="dxa"/>
              <w:left w:w="100" w:type="dxa"/>
              <w:right w:w="100" w:type="dxa"/>
            </w:tcMar>
          </w:tcPr>
          <w:p>
            <w:r>
              <w:rPr>
                <w:sz w:val="18"/>
              </w:rPr>
              <w:t>Accuracy</w:t>
            </w:r>
          </w:p>
        </w:tc>
        <w:tc>
          <w:tcPr>
            <w:tcW w:type="dxa" w:w="2484"/>
            <w:tcMar>
              <w:top w:w="80" w:type="dxa"/>
              <w:bottom w:w="80" w:type="dxa"/>
              <w:left w:w="100" w:type="dxa"/>
              <w:right w:w="100" w:type="dxa"/>
            </w:tcMar>
          </w:tcPr>
          <w:p>
            <w:r>
              <w:rPr>
                <w:sz w:val="18"/>
              </w:rPr>
              <w:t>Technical precision, empirical validity, and production pattern compliance.</w:t>
            </w:r>
          </w:p>
        </w:tc>
        <w:tc>
          <w:tcPr>
            <w:tcW w:type="dxa" w:w="2484"/>
            <w:tcMar>
              <w:top w:w="80" w:type="dxa"/>
              <w:bottom w:w="80" w:type="dxa"/>
              <w:left w:w="100" w:type="dxa"/>
              <w:right w:w="100" w:type="dxa"/>
            </w:tcMar>
          </w:tcPr>
          <w:p>
            <w:r>
              <w:rPr>
                <w:sz w:val="18"/>
              </w:rPr>
              <w:t>Aligned with modern production design patterns and peer-reviewed industry or academic benchmarks.</w:t>
            </w:r>
          </w:p>
        </w:tc>
      </w:tr>
      <w:tr>
        <w:tc>
          <w:tcPr>
            <w:tcW w:type="dxa" w:w="2484"/>
            <w:shd w:fill="F1F5F9"/>
            <w:tcMar>
              <w:top w:w="80" w:type="dxa"/>
              <w:bottom w:w="80" w:type="dxa"/>
              <w:left w:w="100" w:type="dxa"/>
              <w:right w:w="100" w:type="dxa"/>
            </w:tcMar>
          </w:tcPr>
          <w:p>
            <w:r>
              <w:rPr>
                <w:b/>
                <w:sz w:val="18"/>
              </w:rPr>
              <w:t>T</w:t>
            </w:r>
          </w:p>
        </w:tc>
        <w:tc>
          <w:tcPr>
            <w:tcW w:type="dxa" w:w="2484"/>
            <w:tcMar>
              <w:top w:w="80" w:type="dxa"/>
              <w:bottom w:w="80" w:type="dxa"/>
              <w:left w:w="100" w:type="dxa"/>
              <w:right w:w="100" w:type="dxa"/>
            </w:tcMar>
          </w:tcPr>
          <w:p>
            <w:r>
              <w:rPr>
                <w:sz w:val="18"/>
              </w:rPr>
              <w:t>Transparency</w:t>
            </w:r>
          </w:p>
        </w:tc>
        <w:tc>
          <w:tcPr>
            <w:tcW w:type="dxa" w:w="2484"/>
            <w:tcMar>
              <w:top w:w="80" w:type="dxa"/>
              <w:bottom w:w="80" w:type="dxa"/>
              <w:left w:w="100" w:type="dxa"/>
              <w:right w:w="100" w:type="dxa"/>
            </w:tcMar>
          </w:tcPr>
          <w:p>
            <w:r>
              <w:rPr>
                <w:sz w:val="18"/>
              </w:rPr>
              <w:t>Reproducibility of method, source origin, and active reference links.</w:t>
            </w:r>
          </w:p>
        </w:tc>
        <w:tc>
          <w:tcPr>
            <w:tcW w:type="dxa" w:w="2484"/>
            <w:tcMar>
              <w:top w:w="80" w:type="dxa"/>
              <w:bottom w:w="80" w:type="dxa"/>
              <w:left w:w="100" w:type="dxa"/>
              <w:right w:w="100" w:type="dxa"/>
            </w:tcMar>
          </w:tcPr>
          <w:p>
            <w:r>
              <w:rPr>
                <w:sz w:val="18"/>
              </w:rPr>
              <w:t>Full step-by-step methodology capture; all attached URLs verified 100% active and reachable by live probe.</w:t>
            </w:r>
          </w:p>
        </w:tc>
      </w:tr>
      <w:tr>
        <w:tc>
          <w:tcPr>
            <w:tcW w:type="dxa" w:w="2484"/>
            <w:shd w:fill="F1F5F9"/>
            <w:tcMar>
              <w:top w:w="80" w:type="dxa"/>
              <w:bottom w:w="80" w:type="dxa"/>
              <w:left w:w="100" w:type="dxa"/>
              <w:right w:w="100" w:type="dxa"/>
            </w:tcMar>
          </w:tcPr>
          <w:p>
            <w:r>
              <w:rPr>
                <w:b/>
                <w:sz w:val="18"/>
              </w:rPr>
              <w:t>S</w:t>
            </w:r>
          </w:p>
        </w:tc>
        <w:tc>
          <w:tcPr>
            <w:tcW w:type="dxa" w:w="2484"/>
            <w:tcMar>
              <w:top w:w="80" w:type="dxa"/>
              <w:bottom w:w="80" w:type="dxa"/>
              <w:left w:w="100" w:type="dxa"/>
              <w:right w:w="100" w:type="dxa"/>
            </w:tcMar>
          </w:tcPr>
          <w:p>
            <w:r>
              <w:rPr>
                <w:sz w:val="18"/>
              </w:rPr>
              <w:t>Standardization</w:t>
            </w:r>
          </w:p>
        </w:tc>
        <w:tc>
          <w:tcPr>
            <w:tcW w:type="dxa" w:w="2484"/>
            <w:tcMar>
              <w:top w:w="80" w:type="dxa"/>
              <w:bottom w:w="80" w:type="dxa"/>
              <w:left w:w="100" w:type="dxa"/>
              <w:right w:w="100" w:type="dxa"/>
            </w:tcMar>
          </w:tcPr>
          <w:p>
            <w:r>
              <w:rPr>
                <w:sz w:val="18"/>
              </w:rPr>
              <w:t>Adherence to reusable conventions, BKM formats, and industry templates.</w:t>
            </w:r>
          </w:p>
        </w:tc>
        <w:tc>
          <w:tcPr>
            <w:tcW w:type="dxa" w:w="2484"/>
            <w:tcMar>
              <w:top w:w="80" w:type="dxa"/>
              <w:bottom w:w="80" w:type="dxa"/>
              <w:left w:w="100" w:type="dxa"/>
              <w:right w:w="100" w:type="dxa"/>
            </w:tcMar>
          </w:tcPr>
          <w:p>
            <w:r>
              <w:rPr>
                <w:sz w:val="18"/>
              </w:rPr>
              <w:t>Published as an established standard or adopted engineering framework across peer institutions.</w:t>
            </w:r>
          </w:p>
        </w:tc>
      </w:tr>
    </w:tbl>
    <w:p>
      <w:pPr>
        <w:spacing w:after="120"/>
      </w:pPr>
    </w:p>
    <w:p>
      <w:pPr>
        <w:pStyle w:val="Heading1"/>
        <w:spacing w:before="280" w:after="120"/>
      </w:pPr>
      <w:r>
        <w:t>4. Zero-Penalty Rule &amp; Best Known Method (BKM) Protocol</w:t>
      </w:r>
    </w:p>
    <w:p>
      <w:r>
        <w:t>The Explainer enforces an uncompromising quality rule: if any dimension cannot be measured from available metadata or fails verification (such as a broken URL), it is assigned a rating of ZERO (0.0). Under the Zero-Penalty Rule, zeros are highlighted in red and permanently disqualify the resource from Best Known Method (BKM) status:</w:t>
      </w:r>
    </w:p>
    <w:p>
      <w:pPr>
        <w:spacing w:after="160"/>
        <w:ind w:left="576"/>
      </w:pPr>
      <w:r>
        <w:rPr>
          <w:b/>
          <w:i/>
          <w:color w:val="B45309"/>
        </w:rPr>
        <w:t>“ZEROS cannot contribute to BKMs. Guessing collapses bridges; unmeasured dimensions become exploration stubs.”</w:t>
      </w:r>
    </w:p>
    <w:p>
      <w:r>
        <w:t>To achieve elevation to an official Best Known Method (BKM), a resource must fulfill the Triangulation Replication Rule (Rule of 3):</w:t>
        <w:br/>
        <w:t>• Documented empirical proof that 3 distinct practitioners at 3 distinct time windows executed the method and produced results aligning with predictions.</w:t>
        <w:br/>
        <w:t>• Zero unmeasurable dimensions across all 6 CLEATS metrics.</w:t>
        <w:br/>
        <w:t>• Quality baseline score of at least 6.5 across every dimension.</w:t>
        <w:br/>
        <w:t>Elevated BKMs serve as standardized, immutable templates for all future inquiries in that engineering domain.</w:t>
      </w:r>
    </w:p>
    <w:p>
      <w:pPr>
        <w:pStyle w:val="Heading1"/>
        <w:spacing w:before="280" w:after="120"/>
      </w:pPr>
      <w:r>
        <w:t>5. Critic Agent Mandate: 'What Must Go Right'</w:t>
      </w:r>
    </w:p>
    <w:p>
      <w:r>
        <w:t>The Critic Agent is the ultimate guardian of empirical truth and link integrity before any candidate resource is published to users. The Critic enforces five non-negotiable operational requirements:</w:t>
      </w:r>
    </w:p>
    <w:p>
      <w:pPr>
        <w:pStyle w:val="ListBullet"/>
        <w:spacing w:after="60"/>
      </w:pPr>
      <w:r>
        <w:rPr>
          <w:b/>
        </w:rPr>
        <w:t xml:space="preserve">1. Pre-Publication Active Link Verification: </w:t>
      </w:r>
      <w:r>
        <w:t>The Critic MUST probe every attached URL (primary url, document_url, website_url, video_url, reference_links) via concurrent live HTTP HEAD/GET handshakes. Syntax validation alone is strictly insufficient.</w:t>
      </w:r>
    </w:p>
    <w:p>
      <w:pPr>
        <w:pStyle w:val="ListBullet"/>
        <w:spacing w:after="60"/>
      </w:pPr>
      <w:r>
        <w:rPr>
          <w:b/>
        </w:rPr>
        <w:t xml:space="preserve">2. CLEATS Zero-Penalty Enforcement: </w:t>
      </w:r>
      <w:r>
        <w:t>If any link returns 404, DNS failure, or soft-404, Transparency (T) is penalized to 0.0, permanently disqualifying the candidate from BKM elevation.</w:t>
      </w:r>
    </w:p>
    <w:p>
      <w:pPr>
        <w:pStyle w:val="ListBullet"/>
        <w:spacing w:after="60"/>
      </w:pPr>
      <w:r>
        <w:rPr>
          <w:b/>
        </w:rPr>
        <w:t xml:space="preserve">3. Publication Gatekeeping: </w:t>
      </w:r>
      <w:r>
        <w:t>Candidates with unreachable links are gated from Top 3 recommendations if verified alternatives exist.</w:t>
      </w:r>
    </w:p>
    <w:p>
      <w:pPr>
        <w:pStyle w:val="ListBullet"/>
        <w:spacing w:after="60"/>
      </w:pPr>
      <w:r>
        <w:rPr>
          <w:b/>
        </w:rPr>
        <w:t xml:space="preserve">4. Empirical Triangulation Guard: </w:t>
      </w:r>
      <w:r>
        <w:t>Official BKM elevation requires verified 3-people / 3-times duplication evidence.</w:t>
      </w:r>
    </w:p>
    <w:p>
      <w:pPr>
        <w:pStyle w:val="ListBullet"/>
        <w:spacing w:after="60"/>
      </w:pPr>
      <w:r>
        <w:rPr>
          <w:b/>
        </w:rPr>
        <w:t xml:space="preserve">5. Mandatory User Agreement Gate: </w:t>
      </w:r>
      <w:r>
        <w:t>The Critic is strictly forbidden from executing evaluations on simulated/synthetic data without prior explicit user consent.</w:t>
      </w:r>
    </w:p>
    <w:p>
      <w:r>
        <w:t>To verify compliance, the Critic Agent is evaluated across 3 distinct operational circumstances:</w:t>
        <w:br/>
        <w:t>• Circumstance 1 (100% Active Links): All links return HTTP 200, Transparency &gt;= 8.5, zero unmeasured flags, candidate qualifies for Rank #1.</w:t>
        <w:br/>
        <w:t>• Circumstance 2 (Subtle Nested Broken Link): Primary URL active but a nested reference_links URL 404s; Critic zeroes Transparency (T=0.0) and blocks Rank #1 publication.</w:t>
        <w:br/>
        <w:t>• Circumstance 3 (Bot-Shield &amp; Soft-404 Detection): Distinguishes Cloudflare 403 publisher shields (Elsevier) from true dead links, while scanning HTML bodies to detect soft-404 removal strings ('Presentation removed') with maximum detectability penalty (D -&gt; 10).</w:t>
      </w:r>
    </w:p>
    <w:p>
      <w:pPr>
        <w:pStyle w:val="Heading1"/>
        <w:spacing w:before="280" w:after="120"/>
      </w:pPr>
      <w:r>
        <w:t>6. FMEA Risk Governance &amp; Risk Priority Number (RPN) Matrix</w:t>
      </w:r>
    </w:p>
    <w:p>
      <w:r>
        <w:t>The Critic Agent operates under standard engineering Failure Mode and Effects Analysis (FMEA) to calculate the Risk Priority Number (RPN):</w:t>
        <w:br/>
        <w:t>RPN = Severity (S) × Occurrence (O) × Detectability (D)</w:t>
        <w:br/>
        <w:br/>
        <w:t>• Severity (S, 1-10): Quantified in financial loss ($50,000 to $5,000,000) and project delay (hours to months).</w:t>
        <w:br/>
        <w:t>• Occurrence (O, 1-10): Frequency of failure mode occurring without active Critic gatekeeping.</w:t>
        <w:br/>
        <w:t>• Detectability (D, 1-10): Inverse detectability before publication. Critical Rule: Silent or hidden risks receive higher scores (D -&gt; 10).</w:t>
        <w:br/>
        <w:br/>
        <w:t>The active FMEA Risk Registry (exported as risk_register.csv) governs the following failure modes:</w:t>
      </w:r>
    </w:p>
    <w:tbl>
      <w:tblPr>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shd w:fill="0F172A"/>
          </w:tcPr>
          <w:p>
            <w:r>
              <w:rPr>
                <w:b/>
                <w:color w:val="FFFFFF"/>
                <w:sz w:val="17"/>
              </w:rPr>
              <w:t>Risk ID</w:t>
            </w:r>
          </w:p>
        </w:tc>
        <w:tc>
          <w:tcPr>
            <w:tcW w:type="dxa" w:w="1419"/>
            <w:shd w:fill="0F172A"/>
          </w:tcPr>
          <w:p>
            <w:r>
              <w:rPr>
                <w:b/>
                <w:color w:val="FFFFFF"/>
                <w:sz w:val="17"/>
              </w:rPr>
              <w:t>Failure Mode</w:t>
            </w:r>
          </w:p>
        </w:tc>
        <w:tc>
          <w:tcPr>
            <w:tcW w:type="dxa" w:w="1419"/>
            <w:shd w:fill="0F172A"/>
          </w:tcPr>
          <w:p>
            <w:r>
              <w:rPr>
                <w:b/>
                <w:color w:val="FFFFFF"/>
                <w:sz w:val="17"/>
              </w:rPr>
              <w:t>Impact ($ &amp; Delay)</w:t>
            </w:r>
          </w:p>
        </w:tc>
        <w:tc>
          <w:tcPr>
            <w:tcW w:type="dxa" w:w="1419"/>
            <w:shd w:fill="0F172A"/>
          </w:tcPr>
          <w:p>
            <w:r>
              <w:rPr>
                <w:b/>
                <w:color w:val="FFFFFF"/>
                <w:sz w:val="17"/>
              </w:rPr>
              <w:t>S</w:t>
            </w:r>
          </w:p>
        </w:tc>
        <w:tc>
          <w:tcPr>
            <w:tcW w:type="dxa" w:w="1419"/>
            <w:shd w:fill="0F172A"/>
          </w:tcPr>
          <w:p>
            <w:r>
              <w:rPr>
                <w:b/>
                <w:color w:val="FFFFFF"/>
                <w:sz w:val="17"/>
              </w:rPr>
              <w:t>O</w:t>
            </w:r>
          </w:p>
        </w:tc>
        <w:tc>
          <w:tcPr>
            <w:tcW w:type="dxa" w:w="1419"/>
            <w:shd w:fill="0F172A"/>
          </w:tcPr>
          <w:p>
            <w:r>
              <w:rPr>
                <w:b/>
                <w:color w:val="FFFFFF"/>
                <w:sz w:val="17"/>
              </w:rPr>
              <w:t>D</w:t>
            </w:r>
          </w:p>
        </w:tc>
        <w:tc>
          <w:tcPr>
            <w:tcW w:type="dxa" w:w="1419"/>
            <w:shd w:fill="0F172A"/>
          </w:tcPr>
          <w:p>
            <w:r>
              <w:rPr>
                <w:b/>
                <w:color w:val="FFFFFF"/>
                <w:sz w:val="17"/>
              </w:rPr>
              <w:t>RPN</w:t>
            </w:r>
          </w:p>
        </w:tc>
      </w:tr>
      <w:tr>
        <w:tc>
          <w:tcPr>
            <w:tcW w:type="dxa" w:w="1419"/>
            <w:shd w:fill="F8FAFC"/>
            <w:tcMar>
              <w:top w:w="60" w:type="dxa"/>
              <w:bottom w:w="60" w:type="dxa"/>
              <w:left w:w="80" w:type="dxa"/>
              <w:right w:w="80" w:type="dxa"/>
            </w:tcMar>
          </w:tcPr>
          <w:p>
            <w:r>
              <w:rPr>
                <w:b/>
                <w:sz w:val="17"/>
              </w:rPr>
              <w:t>RSK-01</w:t>
            </w:r>
          </w:p>
        </w:tc>
        <w:tc>
          <w:tcPr>
            <w:tcW w:type="dxa" w:w="1419"/>
            <w:tcMar>
              <w:top w:w="60" w:type="dxa"/>
              <w:bottom w:w="60" w:type="dxa"/>
              <w:left w:w="80" w:type="dxa"/>
              <w:right w:w="80" w:type="dxa"/>
            </w:tcMar>
          </w:tcPr>
          <w:p>
            <w:r>
              <w:rPr>
                <w:sz w:val="17"/>
              </w:rPr>
              <w:t>Hallucinated / Synthetic Dead URLs (e.g., fictitious .pptx path)</w:t>
            </w:r>
          </w:p>
        </w:tc>
        <w:tc>
          <w:tcPr>
            <w:tcW w:type="dxa" w:w="1419"/>
            <w:tcMar>
              <w:top w:w="60" w:type="dxa"/>
              <w:bottom w:w="60" w:type="dxa"/>
              <w:left w:w="80" w:type="dxa"/>
              <w:right w:w="80" w:type="dxa"/>
            </w:tcMar>
          </w:tcPr>
          <w:p>
            <w:r>
              <w:rPr>
                <w:sz w:val="17"/>
              </w:rPr>
              <w:t>$500k–$1.5M procurement loss; 8–12 wks slip</w:t>
            </w:r>
          </w:p>
        </w:tc>
        <w:tc>
          <w:tcPr>
            <w:tcW w:type="dxa" w:w="1419"/>
            <w:tcMar>
              <w:top w:w="60" w:type="dxa"/>
              <w:bottom w:w="60" w:type="dxa"/>
              <w:left w:w="80" w:type="dxa"/>
              <w:right w:w="80" w:type="dxa"/>
            </w:tcMar>
          </w:tcPr>
          <w:p>
            <w:r>
              <w:rPr>
                <w:sz w:val="17"/>
              </w:rPr>
              <w:t>8</w:t>
            </w:r>
          </w:p>
        </w:tc>
        <w:tc>
          <w:tcPr>
            <w:tcW w:type="dxa" w:w="1419"/>
            <w:tcMar>
              <w:top w:w="60" w:type="dxa"/>
              <w:bottom w:w="60" w:type="dxa"/>
              <w:left w:w="80" w:type="dxa"/>
              <w:right w:w="80" w:type="dxa"/>
            </w:tcMar>
          </w:tcPr>
          <w:p>
            <w:r>
              <w:rPr>
                <w:sz w:val="17"/>
              </w:rPr>
              <w:t>6</w:t>
            </w:r>
          </w:p>
        </w:tc>
        <w:tc>
          <w:tcPr>
            <w:tcW w:type="dxa" w:w="1419"/>
            <w:tcMar>
              <w:top w:w="60" w:type="dxa"/>
              <w:bottom w:w="60" w:type="dxa"/>
              <w:left w:w="80" w:type="dxa"/>
              <w:right w:w="80" w:type="dxa"/>
            </w:tcMar>
          </w:tcPr>
          <w:p>
            <w:r>
              <w:rPr>
                <w:sz w:val="17"/>
              </w:rPr>
              <w:t>7</w:t>
            </w:r>
          </w:p>
        </w:tc>
        <w:tc>
          <w:tcPr>
            <w:tcW w:type="dxa" w:w="1419"/>
            <w:tcMar>
              <w:top w:w="60" w:type="dxa"/>
              <w:bottom w:w="60" w:type="dxa"/>
              <w:left w:w="80" w:type="dxa"/>
              <w:right w:w="80" w:type="dxa"/>
            </w:tcMar>
          </w:tcPr>
          <w:p>
            <w:r>
              <w:rPr>
                <w:b/>
                <w:sz w:val="17"/>
              </w:rPr>
              <w:t>336</w:t>
            </w:r>
          </w:p>
        </w:tc>
      </w:tr>
      <w:tr>
        <w:tc>
          <w:tcPr>
            <w:tcW w:type="dxa" w:w="1419"/>
            <w:shd w:fill="F8FAFC"/>
            <w:tcMar>
              <w:top w:w="60" w:type="dxa"/>
              <w:bottom w:w="60" w:type="dxa"/>
              <w:left w:w="80" w:type="dxa"/>
              <w:right w:w="80" w:type="dxa"/>
            </w:tcMar>
          </w:tcPr>
          <w:p>
            <w:r>
              <w:rPr>
                <w:b/>
                <w:sz w:val="17"/>
              </w:rPr>
              <w:t>RSK-02</w:t>
            </w:r>
          </w:p>
        </w:tc>
        <w:tc>
          <w:tcPr>
            <w:tcW w:type="dxa" w:w="1419"/>
            <w:tcMar>
              <w:top w:w="60" w:type="dxa"/>
              <w:bottom w:w="60" w:type="dxa"/>
              <w:left w:w="80" w:type="dxa"/>
              <w:right w:w="80" w:type="dxa"/>
            </w:tcMar>
          </w:tcPr>
          <w:p>
            <w:r>
              <w:rPr>
                <w:sz w:val="17"/>
              </w:rPr>
              <w:t>Soft-404 &amp; Content Removal Masking (HTTP 200 with 'Item removed' body)</w:t>
            </w:r>
          </w:p>
        </w:tc>
        <w:tc>
          <w:tcPr>
            <w:tcW w:type="dxa" w:w="1419"/>
            <w:tcMar>
              <w:top w:w="60" w:type="dxa"/>
              <w:bottom w:w="60" w:type="dxa"/>
              <w:left w:w="80" w:type="dxa"/>
              <w:right w:w="80" w:type="dxa"/>
            </w:tcMar>
          </w:tcPr>
          <w:p>
            <w:r>
              <w:rPr>
                <w:sz w:val="17"/>
              </w:rPr>
              <w:t>$100k–$450k downtime; 24–72 hrs remediation</w:t>
            </w:r>
          </w:p>
        </w:tc>
        <w:tc>
          <w:tcPr>
            <w:tcW w:type="dxa" w:w="1419"/>
            <w:tcMar>
              <w:top w:w="60" w:type="dxa"/>
              <w:bottom w:w="60" w:type="dxa"/>
              <w:left w:w="80" w:type="dxa"/>
              <w:right w:w="80" w:type="dxa"/>
            </w:tcMar>
          </w:tcPr>
          <w:p>
            <w:r>
              <w:rPr>
                <w:sz w:val="17"/>
              </w:rPr>
              <w:t>7</w:t>
            </w:r>
          </w:p>
        </w:tc>
        <w:tc>
          <w:tcPr>
            <w:tcW w:type="dxa" w:w="1419"/>
            <w:tcMar>
              <w:top w:w="60" w:type="dxa"/>
              <w:bottom w:w="60" w:type="dxa"/>
              <w:left w:w="80" w:type="dxa"/>
              <w:right w:w="80" w:type="dxa"/>
            </w:tcMar>
          </w:tcPr>
          <w:p>
            <w:r>
              <w:rPr>
                <w:sz w:val="17"/>
              </w:rPr>
              <w:t>5</w:t>
            </w:r>
          </w:p>
        </w:tc>
        <w:tc>
          <w:tcPr>
            <w:tcW w:type="dxa" w:w="1419"/>
            <w:tcMar>
              <w:top w:w="60" w:type="dxa"/>
              <w:bottom w:w="60" w:type="dxa"/>
              <w:left w:w="80" w:type="dxa"/>
              <w:right w:w="80" w:type="dxa"/>
            </w:tcMar>
          </w:tcPr>
          <w:p>
            <w:r>
              <w:rPr>
                <w:sz w:val="17"/>
              </w:rPr>
              <w:t>9</w:t>
            </w:r>
          </w:p>
        </w:tc>
        <w:tc>
          <w:tcPr>
            <w:tcW w:type="dxa" w:w="1419"/>
            <w:tcMar>
              <w:top w:w="60" w:type="dxa"/>
              <w:bottom w:w="60" w:type="dxa"/>
              <w:left w:w="80" w:type="dxa"/>
              <w:right w:w="80" w:type="dxa"/>
            </w:tcMar>
          </w:tcPr>
          <w:p>
            <w:r>
              <w:rPr>
                <w:b/>
                <w:sz w:val="17"/>
              </w:rPr>
              <w:t>315</w:t>
            </w:r>
          </w:p>
        </w:tc>
      </w:tr>
      <w:tr>
        <w:tc>
          <w:tcPr>
            <w:tcW w:type="dxa" w:w="1419"/>
            <w:shd w:fill="F8FAFC"/>
            <w:tcMar>
              <w:top w:w="60" w:type="dxa"/>
              <w:bottom w:w="60" w:type="dxa"/>
              <w:left w:w="80" w:type="dxa"/>
              <w:right w:w="80" w:type="dxa"/>
            </w:tcMar>
          </w:tcPr>
          <w:p>
            <w:r>
              <w:rPr>
                <w:b/>
                <w:sz w:val="17"/>
              </w:rPr>
              <w:t>RSK-03</w:t>
            </w:r>
          </w:p>
        </w:tc>
        <w:tc>
          <w:tcPr>
            <w:tcW w:type="dxa" w:w="1419"/>
            <w:tcMar>
              <w:top w:w="60" w:type="dxa"/>
              <w:bottom w:w="60" w:type="dxa"/>
              <w:left w:w="80" w:type="dxa"/>
              <w:right w:w="80" w:type="dxa"/>
            </w:tcMar>
          </w:tcPr>
          <w:p>
            <w:r>
              <w:rPr>
                <w:sz w:val="17"/>
              </w:rPr>
              <w:t>Bot-Shield False Negative (Cloudflare 403 on ScienceDirect)</w:t>
            </w:r>
          </w:p>
        </w:tc>
        <w:tc>
          <w:tcPr>
            <w:tcW w:type="dxa" w:w="1419"/>
            <w:tcMar>
              <w:top w:w="60" w:type="dxa"/>
              <w:bottom w:w="60" w:type="dxa"/>
              <w:left w:w="80" w:type="dxa"/>
              <w:right w:w="80" w:type="dxa"/>
            </w:tcMar>
          </w:tcPr>
          <w:p>
            <w:r>
              <w:rPr>
                <w:sz w:val="17"/>
              </w:rPr>
              <w:t>$250k–$1M rework; 3–5 mos delayed rollout</w:t>
            </w:r>
          </w:p>
        </w:tc>
        <w:tc>
          <w:tcPr>
            <w:tcW w:type="dxa" w:w="1419"/>
            <w:tcMar>
              <w:top w:w="60" w:type="dxa"/>
              <w:bottom w:w="60" w:type="dxa"/>
              <w:left w:w="80" w:type="dxa"/>
              <w:right w:w="80" w:type="dxa"/>
            </w:tcMar>
          </w:tcPr>
          <w:p>
            <w:r>
              <w:rPr>
                <w:sz w:val="17"/>
              </w:rPr>
              <w:t>8</w:t>
            </w:r>
          </w:p>
        </w:tc>
        <w:tc>
          <w:tcPr>
            <w:tcW w:type="dxa" w:w="1419"/>
            <w:tcMar>
              <w:top w:w="60" w:type="dxa"/>
              <w:bottom w:w="60" w:type="dxa"/>
              <w:left w:w="80" w:type="dxa"/>
              <w:right w:w="80" w:type="dxa"/>
            </w:tcMar>
          </w:tcPr>
          <w:p>
            <w:r>
              <w:rPr>
                <w:sz w:val="17"/>
              </w:rPr>
              <w:t>7</w:t>
            </w:r>
          </w:p>
        </w:tc>
        <w:tc>
          <w:tcPr>
            <w:tcW w:type="dxa" w:w="1419"/>
            <w:tcMar>
              <w:top w:w="60" w:type="dxa"/>
              <w:bottom w:w="60" w:type="dxa"/>
              <w:left w:w="80" w:type="dxa"/>
              <w:right w:w="80" w:type="dxa"/>
            </w:tcMar>
          </w:tcPr>
          <w:p>
            <w:r>
              <w:rPr>
                <w:sz w:val="17"/>
              </w:rPr>
              <w:t>4</w:t>
            </w:r>
          </w:p>
        </w:tc>
        <w:tc>
          <w:tcPr>
            <w:tcW w:type="dxa" w:w="1419"/>
            <w:tcMar>
              <w:top w:w="60" w:type="dxa"/>
              <w:bottom w:w="60" w:type="dxa"/>
              <w:left w:w="80" w:type="dxa"/>
              <w:right w:w="80" w:type="dxa"/>
            </w:tcMar>
          </w:tcPr>
          <w:p>
            <w:r>
              <w:rPr>
                <w:b/>
                <w:sz w:val="17"/>
              </w:rPr>
              <w:t>224</w:t>
            </w:r>
          </w:p>
        </w:tc>
      </w:tr>
      <w:tr>
        <w:tc>
          <w:tcPr>
            <w:tcW w:type="dxa" w:w="1419"/>
            <w:shd w:fill="F8FAFC"/>
            <w:tcMar>
              <w:top w:w="60" w:type="dxa"/>
              <w:bottom w:w="60" w:type="dxa"/>
              <w:left w:w="80" w:type="dxa"/>
              <w:right w:w="80" w:type="dxa"/>
            </w:tcMar>
          </w:tcPr>
          <w:p>
            <w:r>
              <w:rPr>
                <w:b/>
                <w:sz w:val="17"/>
              </w:rPr>
              <w:t>RSK-04</w:t>
            </w:r>
          </w:p>
        </w:tc>
        <w:tc>
          <w:tcPr>
            <w:tcW w:type="dxa" w:w="1419"/>
            <w:tcMar>
              <w:top w:w="60" w:type="dxa"/>
              <w:bottom w:w="60" w:type="dxa"/>
              <w:left w:w="80" w:type="dxa"/>
              <w:right w:w="80" w:type="dxa"/>
            </w:tcMar>
          </w:tcPr>
          <w:p>
            <w:r>
              <w:rPr>
                <w:sz w:val="17"/>
              </w:rPr>
              <w:t>Domain Expiry &amp; Malicious Redirect (Squatter redirect)</w:t>
            </w:r>
          </w:p>
        </w:tc>
        <w:tc>
          <w:tcPr>
            <w:tcW w:type="dxa" w:w="1419"/>
            <w:tcMar>
              <w:top w:w="60" w:type="dxa"/>
              <w:bottom w:w="60" w:type="dxa"/>
              <w:left w:w="80" w:type="dxa"/>
              <w:right w:w="80" w:type="dxa"/>
            </w:tcMar>
          </w:tcPr>
          <w:p>
            <w:r>
              <w:rPr>
                <w:sz w:val="17"/>
              </w:rPr>
              <w:t>$1M–$5M breach remediation; 6+ mos remediation</w:t>
            </w:r>
          </w:p>
        </w:tc>
        <w:tc>
          <w:tcPr>
            <w:tcW w:type="dxa" w:w="1419"/>
            <w:tcMar>
              <w:top w:w="60" w:type="dxa"/>
              <w:bottom w:w="60" w:type="dxa"/>
              <w:left w:w="80" w:type="dxa"/>
              <w:right w:w="80" w:type="dxa"/>
            </w:tcMar>
          </w:tcPr>
          <w:p>
            <w:r>
              <w:rPr>
                <w:sz w:val="17"/>
              </w:rPr>
              <w:t>9</w:t>
            </w:r>
          </w:p>
        </w:tc>
        <w:tc>
          <w:tcPr>
            <w:tcW w:type="dxa" w:w="1419"/>
            <w:tcMar>
              <w:top w:w="60" w:type="dxa"/>
              <w:bottom w:w="60" w:type="dxa"/>
              <w:left w:w="80" w:type="dxa"/>
              <w:right w:w="80" w:type="dxa"/>
            </w:tcMar>
          </w:tcPr>
          <w:p>
            <w:r>
              <w:rPr>
                <w:sz w:val="17"/>
              </w:rPr>
              <w:t>2</w:t>
            </w:r>
          </w:p>
        </w:tc>
        <w:tc>
          <w:tcPr>
            <w:tcW w:type="dxa" w:w="1419"/>
            <w:tcMar>
              <w:top w:w="60" w:type="dxa"/>
              <w:bottom w:w="60" w:type="dxa"/>
              <w:left w:w="80" w:type="dxa"/>
              <w:right w:w="80" w:type="dxa"/>
            </w:tcMar>
          </w:tcPr>
          <w:p>
            <w:r>
              <w:rPr>
                <w:sz w:val="17"/>
              </w:rPr>
              <w:t>8</w:t>
            </w:r>
          </w:p>
        </w:tc>
        <w:tc>
          <w:tcPr>
            <w:tcW w:type="dxa" w:w="1419"/>
            <w:tcMar>
              <w:top w:w="60" w:type="dxa"/>
              <w:bottom w:w="60" w:type="dxa"/>
              <w:left w:w="80" w:type="dxa"/>
              <w:right w:w="80" w:type="dxa"/>
            </w:tcMar>
          </w:tcPr>
          <w:p>
            <w:r>
              <w:rPr>
                <w:b/>
                <w:sz w:val="17"/>
              </w:rPr>
              <w:t>144</w:t>
            </w:r>
          </w:p>
        </w:tc>
      </w:tr>
      <w:tr>
        <w:tc>
          <w:tcPr>
            <w:tcW w:type="dxa" w:w="1419"/>
            <w:shd w:fill="F8FAFC"/>
            <w:tcMar>
              <w:top w:w="60" w:type="dxa"/>
              <w:bottom w:w="60" w:type="dxa"/>
              <w:left w:w="80" w:type="dxa"/>
              <w:right w:w="80" w:type="dxa"/>
            </w:tcMar>
          </w:tcPr>
          <w:p>
            <w:r>
              <w:rPr>
                <w:b/>
                <w:sz w:val="17"/>
              </w:rPr>
              <w:t>RSK-05</w:t>
            </w:r>
          </w:p>
        </w:tc>
        <w:tc>
          <w:tcPr>
            <w:tcW w:type="dxa" w:w="1419"/>
            <w:tcMar>
              <w:top w:w="60" w:type="dxa"/>
              <w:bottom w:w="60" w:type="dxa"/>
              <w:left w:w="80" w:type="dxa"/>
              <w:right w:w="80" w:type="dxa"/>
            </w:tcMar>
          </w:tcPr>
          <w:p>
            <w:r>
              <w:rPr>
                <w:sz w:val="17"/>
              </w:rPr>
              <w:t>Unconsented Simulated Data Drift (Evaluation on synthetic data)</w:t>
            </w:r>
          </w:p>
        </w:tc>
        <w:tc>
          <w:tcPr>
            <w:tcW w:type="dxa" w:w="1419"/>
            <w:tcMar>
              <w:top w:w="60" w:type="dxa"/>
              <w:bottom w:w="60" w:type="dxa"/>
              <w:left w:w="80" w:type="dxa"/>
              <w:right w:w="80" w:type="dxa"/>
            </w:tcMar>
          </w:tcPr>
          <w:p>
            <w:r>
              <w:rPr>
                <w:sz w:val="17"/>
              </w:rPr>
              <w:t>$200k–$600k rework; 4–8 wks redesign</w:t>
            </w:r>
          </w:p>
        </w:tc>
        <w:tc>
          <w:tcPr>
            <w:tcW w:type="dxa" w:w="1419"/>
            <w:tcMar>
              <w:top w:w="60" w:type="dxa"/>
              <w:bottom w:w="60" w:type="dxa"/>
              <w:left w:w="80" w:type="dxa"/>
              <w:right w:w="80" w:type="dxa"/>
            </w:tcMar>
          </w:tcPr>
          <w:p>
            <w:r>
              <w:rPr>
                <w:sz w:val="17"/>
              </w:rPr>
              <w:t>6</w:t>
            </w:r>
          </w:p>
        </w:tc>
        <w:tc>
          <w:tcPr>
            <w:tcW w:type="dxa" w:w="1419"/>
            <w:tcMar>
              <w:top w:w="60" w:type="dxa"/>
              <w:bottom w:w="60" w:type="dxa"/>
              <w:left w:w="80" w:type="dxa"/>
              <w:right w:w="80" w:type="dxa"/>
            </w:tcMar>
          </w:tcPr>
          <w:p>
            <w:r>
              <w:rPr>
                <w:sz w:val="17"/>
              </w:rPr>
              <w:t>5</w:t>
            </w:r>
          </w:p>
        </w:tc>
        <w:tc>
          <w:tcPr>
            <w:tcW w:type="dxa" w:w="1419"/>
            <w:tcMar>
              <w:top w:w="60" w:type="dxa"/>
              <w:bottom w:w="60" w:type="dxa"/>
              <w:left w:w="80" w:type="dxa"/>
              <w:right w:w="80" w:type="dxa"/>
            </w:tcMar>
          </w:tcPr>
          <w:p>
            <w:r>
              <w:rPr>
                <w:sz w:val="17"/>
              </w:rPr>
              <w:t>8</w:t>
            </w:r>
          </w:p>
        </w:tc>
        <w:tc>
          <w:tcPr>
            <w:tcW w:type="dxa" w:w="1419"/>
            <w:tcMar>
              <w:top w:w="60" w:type="dxa"/>
              <w:bottom w:w="60" w:type="dxa"/>
              <w:left w:w="80" w:type="dxa"/>
              <w:right w:w="80" w:type="dxa"/>
            </w:tcMar>
          </w:tcPr>
          <w:p>
            <w:r>
              <w:rPr>
                <w:b/>
                <w:sz w:val="17"/>
              </w:rPr>
              <w:t>240</w:t>
            </w:r>
          </w:p>
        </w:tc>
      </w:tr>
    </w:tbl>
    <w:p>
      <w:pPr>
        <w:spacing w:after="120"/>
      </w:pPr>
    </w:p>
    <w:p>
      <w:pPr>
        <w:pStyle w:val="Heading1"/>
        <w:spacing w:before="280" w:after="120"/>
      </w:pPr>
      <w:r>
        <w:t>7. Protocol for Missing Test Data: Simulated Data Proposal &amp; User Agreement Gate</w:t>
      </w:r>
    </w:p>
    <w:p>
      <w:r>
        <w:t>When empirical test data (production telemetry, p99 edge latency, live replication traces) is unavailable or unmeasurable, the Critic Agent executes the Simulated Test Data Protocol:</w:t>
        <w:br/>
        <w:br/>
        <w:t>1. Critic Proposal: The Critic synthesizes a formal SimulatedDataProposal containing the missing data description, synthetic workload distribution (e.g., Poisson stochastic arrival with 10k req/s), sample size, and statistical rationale.</w:t>
        <w:br/>
        <w:t>2. Mandatory User Agreement Gate: The Critic MUST NOT proceed with tests on simulated data without explicit user agreement. Calling evaluation without consent raises a hard PermissionError.</w:t>
        <w:br/>
        <w:t>3. User Action Controls:</w:t>
        <w:br/>
        <w:t xml:space="preserve">   • Agree &amp; Proceed: Transmits consent via POST /api/critic/simulated-data/confirm, executes evaluation, and stamps the scorecard with [USER-APPROVED SIMULATED DATA PROVENANCE: Proposal ...].</w:t>
        <w:br/>
        <w:t xml:space="preserve">   • Decline Simulation: Declines synthetic data, penalizes the unmeasured metric strictly to 0.0 under the Zero-Penalty Rule, and synthesizes an exploration stub in the Knowledge Infographic.</w:t>
        <w:br/>
        <w:t>4. BKM Constraint: Candidate evaluations performed on simulated data CANNOT unilaterally elevate to official BKM status; real-world 3x replication is mandatory.</w:t>
      </w:r>
    </w:p>
    <w:p>
      <w:pPr>
        <w:pStyle w:val="Heading1"/>
        <w:spacing w:before="280" w:after="120"/>
      </w:pPr>
      <w:r>
        <w:t>8. Knowledge Infographic: What is Known vs. Stubs (BIOWIK-AAS-WISNK)</w:t>
      </w:r>
    </w:p>
    <w:p>
      <w:r>
        <w:t>Explainer synthesizes a visual dual-column dashboard under the acronym BIOWIK-AAS-WISNK (Build an Infographic Of What Is Known And Add Stubs - What Is Still Not Known):</w:t>
        <w:br/>
        <w:br/>
        <w:t>• Column 1: WHAT IS KNOWN: Verified knowledge pillars (Conceptual Anchor, Architectural Blueprint, Empirical Rigor, Operational Runbook, Elevated BKM) complete with direct, audit-ready clickable verification links and one-click 'Copy URL' buttons.</w:t>
        <w:br/>
        <w:t>• Column 2: WHAT IS STILL NOT KNOWN (STUBS): Transparent mystery cards identifying unmeasured CLEATS dimensions, replication gaps, and edge partition risks. Each stub features an Impact Severity Badge (HIGH, MEDIUM, LOW), suggested action, and a pre-engineered 'Investigate Stub' prompt.</w:t>
        <w:br/>
        <w:br/>
        <w:t>Domain Knowledge Mastery Percentage Formula:</w:t>
        <w:br/>
        <w:t>Mastery % = [N_known_pillars / (N_known_pillars + N_open_stubs)] × 100%</w:t>
      </w:r>
    </w:p>
    <w:p>
      <w:pPr>
        <w:pStyle w:val="Heading1"/>
        <w:spacing w:before="280" w:after="120"/>
      </w:pPr>
      <w:r>
        <w:t>9. Pedagogical Framework: Explaining to an 8th Grader (The Patient Teacher)</w:t>
      </w:r>
    </w:p>
    <w:p>
      <w:r>
        <w:t>To ensure true conceptual mastery, Explainer implements 'The Patient Teacher' persona capable of deconstructing complex engineering down to an 8th-grade level without losing technical accuracy:</w:t>
        <w:br/>
        <w:t>• First-Principles Primitives: Replaces assumed jargon with tangible physical mechanisms.</w:t>
        <w:br/>
        <w:t>• Visual Presentation Cards: Formats core principles as slide cards with architecture schematics.</w:t>
        <w:br/>
        <w:t>• Animated Video Storyboards: Crafts timestamped Kurzgesagt / Mark Rober style scripts with character actions, visual cues, sound design, and relatable narration.</w:t>
        <w:br/>
        <w:t>• Relatable CLEATS Analogies:</w:t>
        <w:br/>
        <w:t xml:space="preserve">  - Completeness: A Lego kit with all bags included, not missing the final gears.</w:t>
        <w:br/>
        <w:t xml:space="preserve">  - Latency: Learning the truth in 4 minutes instead of an unfocused 40-minute lecture.</w:t>
        <w:br/>
        <w:t xml:space="preserve">  - Accuracy: Using a live GPS satellite map rather than a map hand-drawn in 1850.</w:t>
        <w:br/>
        <w:t xml:space="preserve">  - Zero-Penalty Rule: Never guess! Guessing collapses bridges; unmeasured dimensions become exciting inquiry stubs.</w:t>
      </w:r>
    </w:p>
    <w:p>
      <w:pPr>
        <w:pStyle w:val="Heading1"/>
        <w:spacing w:before="280" w:after="120"/>
      </w:pPr>
      <w:r>
        <w:t>10. Automated Testing &amp; Verification Suite</w:t>
      </w:r>
    </w:p>
    <w:p>
      <w:r>
        <w:t>The system is validated by an automated test suite of 17 tests in tests/test_explainer.py passing with 100% compliance:</w:t>
        <w:br/>
        <w:t>1. test_greeter_agent: Problem statement and intent extraction.</w:t>
        <w:br/>
        <w:t>2. test_researcher_agent_primer: Wikipedia summary fetch and fallbacks.</w:t>
        <w:br/>
        <w:t>3. test_researcher_deep_dive: Slide deck, video, and paper discovery.</w:t>
        <w:br/>
        <w:t>4. test_evaluator_cleats_and_bkm: CLEATS rubric calculation.</w:t>
        <w:br/>
        <w:t>5. test_zero_penalty_rule: Strict BKM disqualification upon zero rating.</w:t>
        <w:br/>
        <w:t>6. test_evaluator_sciencedirect_paper: Peer-reviewed paper scoring and DOI resolution.</w:t>
        <w:br/>
        <w:t>7. test_api_session_lifecycle: End-to-end multi-agent session flow.</w:t>
        <w:br/>
        <w:t>8. test_knowledge_infographic_and_stubs: Infographic synthesis and stub generation.</w:t>
        <w:br/>
        <w:t>9. test_critic_link_verifier_active_and_broken: Live HTTP probing and soft-404 detection.</w:t>
        <w:br/>
        <w:t>10. test_critic_pre_publication_verification_and_gatekeeping: Dead link gatekeeping from Top 3.</w:t>
        <w:br/>
        <w:t>11. test_critic_circumstance_1_healthy_links: Circumstance 1 verification (100% active, T&gt;=8.5, BKM eligible).</w:t>
        <w:br/>
        <w:t>12. test_critic_circumstance_2_subtle_nested_broken_link: Circumstance 2 verification (Nested broken link T=0.0).</w:t>
        <w:br/>
        <w:t>13. test_critic_circumstance_3_bot_shield_and_soft_404: Circumstance 3 verification (Bot-shield 403 vs soft-404 body scan).</w:t>
        <w:br/>
        <w:t>14. test_fmea_rpn_matrix_consistency: Consistency of RPN calculations across RSK-01 to RSK-05.</w:t>
        <w:br/>
        <w:t>15. test_critic_propose_simulated_data_and_user_agreement_gate: Mandatory user agreement gate enforcement.</w:t>
        <w:br/>
        <w:t>16. test_simulated_data_api_endpoints: Propose and confirm REST endpoints.</w:t>
        <w:br/>
        <w:t>17. test_simulated_data_session_confirmation_and_stub_flow: Session re-evaluation on approval and stub synthesis on decline.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