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102A43"/>
          <w:sz w:val="52"/>
        </w:rPr>
        <w:t>SkillSignalZA Market Findings V1</w:t>
      </w:r>
    </w:p>
    <w:p>
      <w:pPr>
        <w:spacing w:after="320"/>
      </w:pPr>
      <w:r>
        <w:rPr>
          <w:rFonts w:ascii="Calibri" w:hAnsi="Calibri"/>
          <w:i/>
          <w:color w:val="52606D"/>
          <w:sz w:val="24"/>
        </w:rPr>
        <w:t>South African entry-level Software Engineering and Data Analytics evidence</w:t>
      </w:r>
    </w:p>
    <w:p>
      <w:pPr>
        <w:spacing w:after="360"/>
      </w:pPr>
      <w:r>
        <w:rPr>
          <w:rFonts w:ascii="Calibri" w:hAnsi="Calibri"/>
          <w:b/>
          <w:color w:val="167D7F"/>
          <w:sz w:val="22"/>
        </w:rPr>
        <w:t>Phase 7 • Final findings report • 12 August 2026</w:t>
      </w:r>
    </w:p>
    <w:tbl>
      <w:tblPr>
        <w:tblW w:type="dxa" w:w="9360"/>
        <w:jc w:val="left"/>
        <w:tblLayout w:type="fixed"/>
        <w:tblLook w:firstColumn="1" w:firstRow="1" w:lastColumn="0" w:lastRow="0" w:noHBand="0" w:noVBand="1" w:val="04A0"/>
        <w:tblInd w:w="120" w:type="dxa"/>
      </w:tblPr>
      <w:tblGrid>
        <w:gridCol w:w="173"/>
        <w:gridCol w:w="9187"/>
      </w:tblGrid>
      <w:tr>
        <w:tc>
          <w:tcPr>
            <w:tcW w:type="dxa" w:w="173"/>
            <w:tcMar>
              <w:top w:w="80" w:type="dxa"/>
              <w:start w:w="120" w:type="dxa"/>
              <w:bottom w:w="80" w:type="dxa"/>
              <w:end w:w="120" w:type="dxa"/>
            </w:tcMar>
            <w:shd w:fill="167D7F"/>
          </w:tcPr>
          <w:p>
            <w:r/>
          </w:p>
        </w:tc>
        <w:tc>
          <w:tcPr>
            <w:tcW w:type="dxa" w:w="9187"/>
            <w:tcMar>
              <w:top w:w="80" w:type="dxa"/>
              <w:start w:w="120" w:type="dxa"/>
              <w:bottom w:w="80" w:type="dxa"/>
              <w:end w:w="120" w:type="dxa"/>
            </w:tcMar>
            <w:shd w:fill="DFF3F2"/>
            <w:vAlign w:val="center"/>
          </w:tcPr>
          <w:p>
            <w:pPr>
              <w:spacing w:after="40"/>
            </w:pPr>
            <w:r>
              <w:rPr>
                <w:rFonts w:ascii="Calibri" w:hAnsi="Calibri"/>
                <w:b/>
                <w:color w:val="102A43"/>
              </w:rPr>
              <w:t>Central conclusion</w:t>
            </w:r>
          </w:p>
          <w:p>
            <w:pPr>
              <w:spacing w:after="0"/>
            </w:pPr>
            <w:r>
              <w:t>The two tracks require different calibration logic. Software Engineering demand is broad across languages and stacks, while Data Analytics demand concentrates strongly around SQL and Power BI. Portfolio proof is useful product evidence, but its current rubric weight is weakly reflected in explicit employer requests.</w:t>
            </w:r>
          </w:p>
        </w:tc>
      </w:tr>
    </w:tbl>
    <w:p>
      <w:pPr>
        <w:spacing w:after="0"/>
      </w:pPr>
    </w:p>
    <w:p>
      <w:pPr>
        <w:pStyle w:val="Heading1"/>
      </w:pPr>
      <w:r>
        <w:t>Executive summary</w:t>
      </w:r>
    </w:p>
    <w:tbl>
      <w:tblPr>
        <w:tblStyle w:val="TableGrid"/>
        <w:tblW w:type="dxa" w:w="9360"/>
        <w:jc w:val="left"/>
        <w:tblLayout w:type="fixed"/>
        <w:tblLook w:firstColumn="1" w:firstRow="1" w:lastColumn="0" w:lastRow="0" w:noHBand="0" w:noVBand="1" w:val="04A0"/>
        <w:tblInd w:w="120" w:type="dxa"/>
      </w:tblPr>
      <w:tblGrid>
        <w:gridCol w:w="1944"/>
        <w:gridCol w:w="3024"/>
        <w:gridCol w:w="4392"/>
      </w:tblGrid>
      <w:tr>
        <w:trPr>
          <w:tblHeader w:val="true"/>
        </w:trPr>
        <w:tc>
          <w:tcPr>
            <w:tcW w:type="dxa" w:w="1944"/>
            <w:tcMar>
              <w:top w:w="80" w:type="dxa"/>
              <w:start w:w="120" w:type="dxa"/>
              <w:bottom w:w="80" w:type="dxa"/>
              <w:end w:w="120" w:type="dxa"/>
            </w:tcMar>
            <w:shd w:fill="102A43"/>
            <w:vAlign w:val="center"/>
          </w:tcPr>
          <w:p>
            <w:r>
              <w:rPr>
                <w:rFonts w:ascii="Calibri" w:hAnsi="Calibri"/>
                <w:b/>
                <w:color w:val="FFFFFF"/>
                <w:sz w:val="20"/>
              </w:rPr>
              <w:t>Finding</w:t>
            </w:r>
          </w:p>
        </w:tc>
        <w:tc>
          <w:tcPr>
            <w:tcW w:type="dxa" w:w="3024"/>
            <w:tcMar>
              <w:top w:w="80" w:type="dxa"/>
              <w:start w:w="120" w:type="dxa"/>
              <w:bottom w:w="80" w:type="dxa"/>
              <w:end w:w="120" w:type="dxa"/>
            </w:tcMar>
            <w:shd w:fill="102A43"/>
            <w:vAlign w:val="center"/>
          </w:tcPr>
          <w:p>
            <w:r>
              <w:rPr>
                <w:rFonts w:ascii="Calibri" w:hAnsi="Calibri"/>
                <w:b/>
                <w:color w:val="FFFFFF"/>
                <w:sz w:val="20"/>
              </w:rPr>
              <w:t>Evidence</w:t>
            </w:r>
          </w:p>
        </w:tc>
        <w:tc>
          <w:tcPr>
            <w:tcW w:type="dxa" w:w="4392"/>
            <w:tcMar>
              <w:top w:w="80" w:type="dxa"/>
              <w:start w:w="120" w:type="dxa"/>
              <w:bottom w:w="80" w:type="dxa"/>
              <w:end w:w="120" w:type="dxa"/>
            </w:tcMar>
            <w:shd w:fill="102A43"/>
            <w:vAlign w:val="center"/>
          </w:tcPr>
          <w:p>
            <w:r>
              <w:rPr>
                <w:rFonts w:ascii="Calibri" w:hAnsi="Calibri"/>
                <w:b/>
                <w:color w:val="FFFFFF"/>
                <w:sz w:val="20"/>
              </w:rPr>
              <w:t>Meaning</w:t>
            </w:r>
          </w:p>
        </w:tc>
      </w:tr>
      <w:tr>
        <w:tc>
          <w:tcPr>
            <w:tcW w:type="dxa" w:w="1944"/>
            <w:vAlign w:val="top"/>
          </w:tcPr>
          <w:p>
            <w:pPr>
              <w:spacing w:after="40" w:line="252" w:lineRule="auto"/>
            </w:pPr>
            <w:r>
              <w:rPr>
                <w:rFonts w:ascii="Calibri" w:hAnsi="Calibri"/>
                <w:sz w:val="19"/>
              </w:rPr>
              <w:t>Sample</w:t>
            </w:r>
          </w:p>
        </w:tc>
        <w:tc>
          <w:tcPr>
            <w:tcW w:type="dxa" w:w="3024"/>
            <w:vAlign w:val="top"/>
          </w:tcPr>
          <w:p>
            <w:pPr>
              <w:spacing w:after="40" w:line="252" w:lineRule="auto"/>
            </w:pPr>
            <w:r>
              <w:rPr>
                <w:rFonts w:ascii="Calibri" w:hAnsi="Calibri"/>
                <w:sz w:val="19"/>
              </w:rPr>
              <w:t>22 SE + 16 DA</w:t>
            </w:r>
          </w:p>
        </w:tc>
        <w:tc>
          <w:tcPr>
            <w:tcW w:type="dxa" w:w="4392"/>
            <w:vAlign w:val="top"/>
          </w:tcPr>
          <w:p>
            <w:pPr>
              <w:spacing w:after="40" w:line="252" w:lineRule="auto"/>
            </w:pPr>
            <w:r>
              <w:rPr>
                <w:rFonts w:ascii="Calibri" w:hAnsi="Calibri"/>
                <w:sz w:val="19"/>
              </w:rPr>
              <w:t>Locked main sample; track-specific denominators retained</w:t>
            </w:r>
          </w:p>
        </w:tc>
      </w:tr>
      <w:tr>
        <w:tc>
          <w:tcPr>
            <w:tcW w:type="dxa" w:w="1944"/>
            <w:vAlign w:val="top"/>
          </w:tcPr>
          <w:p>
            <w:pPr>
              <w:spacing w:after="40" w:line="252" w:lineRule="auto"/>
            </w:pPr>
            <w:r>
              <w:rPr>
                <w:rFonts w:ascii="Calibri" w:hAnsi="Calibri"/>
                <w:sz w:val="19"/>
              </w:rPr>
              <w:t>SE technical centre</w:t>
            </w:r>
          </w:p>
        </w:tc>
        <w:tc>
          <w:tcPr>
            <w:tcW w:type="dxa" w:w="3024"/>
            <w:vAlign w:val="top"/>
          </w:tcPr>
          <w:p>
            <w:pPr>
              <w:spacing w:after="40" w:line="252" w:lineRule="auto"/>
            </w:pPr>
            <w:r>
              <w:rPr>
                <w:rFonts w:ascii="Calibri" w:hAnsi="Calibri"/>
                <w:sz w:val="19"/>
              </w:rPr>
              <w:t>C#, JavaScript and SQL: 13/22 each</w:t>
            </w:r>
          </w:p>
        </w:tc>
        <w:tc>
          <w:tcPr>
            <w:tcW w:type="dxa" w:w="4392"/>
            <w:vAlign w:val="top"/>
          </w:tcPr>
          <w:p>
            <w:pPr>
              <w:spacing w:after="40" w:line="252" w:lineRule="auto"/>
            </w:pPr>
            <w:r>
              <w:rPr>
                <w:rFonts w:ascii="Calibri" w:hAnsi="Calibri"/>
                <w:sz w:val="19"/>
              </w:rPr>
              <w:t>No single language dominates</w:t>
            </w:r>
          </w:p>
        </w:tc>
      </w:tr>
      <w:tr>
        <w:tc>
          <w:tcPr>
            <w:tcW w:type="dxa" w:w="1944"/>
            <w:vAlign w:val="top"/>
          </w:tcPr>
          <w:p>
            <w:pPr>
              <w:spacing w:after="40" w:line="252" w:lineRule="auto"/>
            </w:pPr>
            <w:r>
              <w:rPr>
                <w:rFonts w:ascii="Calibri" w:hAnsi="Calibri"/>
                <w:sz w:val="19"/>
              </w:rPr>
              <w:t>SE Git</w:t>
            </w:r>
          </w:p>
        </w:tc>
        <w:tc>
          <w:tcPr>
            <w:tcW w:type="dxa" w:w="3024"/>
            <w:vAlign w:val="top"/>
          </w:tcPr>
          <w:p>
            <w:pPr>
              <w:spacing w:after="40" w:line="252" w:lineRule="auto"/>
            </w:pPr>
            <w:r>
              <w:rPr>
                <w:rFonts w:ascii="Calibri" w:hAnsi="Calibri"/>
                <w:sz w:val="19"/>
              </w:rPr>
              <w:t>11/22 — 50.0%</w:t>
            </w:r>
          </w:p>
        </w:tc>
        <w:tc>
          <w:tcPr>
            <w:tcW w:type="dxa" w:w="4392"/>
            <w:vAlign w:val="top"/>
          </w:tcPr>
          <w:p>
            <w:pPr>
              <w:spacing w:after="40" w:line="252" w:lineRule="auto"/>
            </w:pPr>
            <w:r>
              <w:rPr>
                <w:rFonts w:ascii="Calibri" w:hAnsi="Calibri"/>
                <w:sz w:val="19"/>
              </w:rPr>
              <w:t>Material signal; current absolute cap needs review</w:t>
            </w:r>
          </w:p>
        </w:tc>
      </w:tr>
      <w:tr>
        <w:tc>
          <w:tcPr>
            <w:tcW w:type="dxa" w:w="1944"/>
            <w:vAlign w:val="top"/>
          </w:tcPr>
          <w:p>
            <w:pPr>
              <w:spacing w:after="40" w:line="252" w:lineRule="auto"/>
            </w:pPr>
            <w:r>
              <w:rPr>
                <w:rFonts w:ascii="Calibri" w:hAnsi="Calibri"/>
                <w:sz w:val="19"/>
              </w:rPr>
              <w:t>DA technical centre</w:t>
            </w:r>
          </w:p>
        </w:tc>
        <w:tc>
          <w:tcPr>
            <w:tcW w:type="dxa" w:w="3024"/>
            <w:vAlign w:val="top"/>
          </w:tcPr>
          <w:p>
            <w:pPr>
              <w:spacing w:after="40" w:line="252" w:lineRule="auto"/>
            </w:pPr>
            <w:r>
              <w:rPr>
                <w:rFonts w:ascii="Calibri" w:hAnsi="Calibri"/>
                <w:sz w:val="19"/>
              </w:rPr>
              <w:t>SQL and Power BI: 13/16 each</w:t>
            </w:r>
          </w:p>
        </w:tc>
        <w:tc>
          <w:tcPr>
            <w:tcW w:type="dxa" w:w="4392"/>
            <w:vAlign w:val="top"/>
          </w:tcPr>
          <w:p>
            <w:pPr>
              <w:spacing w:after="40" w:line="252" w:lineRule="auto"/>
            </w:pPr>
            <w:r>
              <w:rPr>
                <w:rFonts w:ascii="Calibri" w:hAnsi="Calibri"/>
                <w:sz w:val="19"/>
              </w:rPr>
              <w:t>Strong evidence for central rubric treatment</w:t>
            </w:r>
          </w:p>
        </w:tc>
      </w:tr>
      <w:tr>
        <w:tc>
          <w:tcPr>
            <w:tcW w:type="dxa" w:w="1944"/>
            <w:vAlign w:val="top"/>
          </w:tcPr>
          <w:p>
            <w:pPr>
              <w:spacing w:after="40" w:line="252" w:lineRule="auto"/>
            </w:pPr>
            <w:r>
              <w:rPr>
                <w:rFonts w:ascii="Calibri" w:hAnsi="Calibri"/>
                <w:sz w:val="19"/>
              </w:rPr>
              <w:t>DA Python</w:t>
            </w:r>
          </w:p>
        </w:tc>
        <w:tc>
          <w:tcPr>
            <w:tcW w:type="dxa" w:w="3024"/>
            <w:vAlign w:val="top"/>
          </w:tcPr>
          <w:p>
            <w:pPr>
              <w:spacing w:after="40" w:line="252" w:lineRule="auto"/>
            </w:pPr>
            <w:r>
              <w:rPr>
                <w:rFonts w:ascii="Calibri" w:hAnsi="Calibri"/>
                <w:sz w:val="19"/>
              </w:rPr>
              <w:t>8/16 — 50.0%</w:t>
            </w:r>
          </w:p>
        </w:tc>
        <w:tc>
          <w:tcPr>
            <w:tcW w:type="dxa" w:w="4392"/>
            <w:vAlign w:val="top"/>
          </w:tcPr>
          <w:p>
            <w:pPr>
              <w:spacing w:after="40" w:line="252" w:lineRule="auto"/>
            </w:pPr>
            <w:r>
              <w:rPr>
                <w:rFonts w:ascii="Calibri" w:hAnsi="Calibri"/>
                <w:sz w:val="19"/>
              </w:rPr>
              <w:t>Valuable, but not universal</w:t>
            </w:r>
          </w:p>
        </w:tc>
      </w:tr>
      <w:tr>
        <w:tc>
          <w:tcPr>
            <w:tcW w:type="dxa" w:w="1944"/>
            <w:vAlign w:val="top"/>
          </w:tcPr>
          <w:p>
            <w:pPr>
              <w:spacing w:after="40" w:line="252" w:lineRule="auto"/>
            </w:pPr>
            <w:r>
              <w:rPr>
                <w:rFonts w:ascii="Calibri" w:hAnsi="Calibri"/>
                <w:sz w:val="19"/>
              </w:rPr>
              <w:t>Portfolio requested</w:t>
            </w:r>
          </w:p>
        </w:tc>
        <w:tc>
          <w:tcPr>
            <w:tcW w:type="dxa" w:w="3024"/>
            <w:vAlign w:val="top"/>
          </w:tcPr>
          <w:p>
            <w:pPr>
              <w:spacing w:after="40" w:line="252" w:lineRule="auto"/>
            </w:pPr>
            <w:r>
              <w:rPr>
                <w:rFonts w:ascii="Calibri" w:hAnsi="Calibri"/>
                <w:sz w:val="19"/>
              </w:rPr>
              <w:t>SE 3/22; DA 1/16</w:t>
            </w:r>
          </w:p>
        </w:tc>
        <w:tc>
          <w:tcPr>
            <w:tcW w:type="dxa" w:w="4392"/>
            <w:vAlign w:val="top"/>
          </w:tcPr>
          <w:p>
            <w:pPr>
              <w:spacing w:after="40" w:line="252" w:lineRule="auto"/>
            </w:pPr>
            <w:r>
              <w:rPr>
                <w:rFonts w:ascii="Calibri" w:hAnsi="Calibri"/>
                <w:sz w:val="19"/>
              </w:rPr>
              <w:t>Clearest challenge to current 25% / 20% weights</w:t>
            </w:r>
          </w:p>
        </w:tc>
      </w:tr>
    </w:tbl>
    <w:p>
      <w:pPr>
        <w:spacing w:before="80" w:after="80"/>
      </w:pPr>
      <w:r>
        <w:rPr>
          <w:rFonts w:ascii="Calibri" w:hAnsi="Calibri"/>
          <w:i/>
          <w:color w:val="52606D"/>
          <w:sz w:val="17"/>
        </w:rPr>
        <w:t>Source: SkillSignalZA_Cleaned_Dataset_V1; final 38-post main sample.</w:t>
      </w:r>
    </w:p>
    <w:p>
      <w:r>
        <w:br w:type="page"/>
      </w:r>
    </w:p>
    <w:p>
      <w:pPr>
        <w:pStyle w:val="Heading1"/>
      </w:pPr>
      <w:r>
        <w:t>1. Dataset and methodology</w:t>
      </w:r>
    </w:p>
    <w:p>
      <w:r>
        <w:t>Phase 7 describes the market evidence and tests Rubric V1 assumptions. It does not change weights, score bands, penalties or hard rules; those decisions are carried into Phase 8.</w:t>
      </w:r>
    </w:p>
    <w:tbl>
      <w:tblPr>
        <w:tblStyle w:val="TableGrid"/>
        <w:tblW w:type="dxa" w:w="9360"/>
        <w:jc w:val="left"/>
        <w:tblLayout w:type="fixed"/>
        <w:tblLook w:firstColumn="1" w:firstRow="1" w:lastColumn="0" w:lastRow="0" w:noHBand="0" w:noVBand="1" w:val="04A0"/>
        <w:tblInd w:w="120" w:type="dxa"/>
      </w:tblPr>
      <w:tblGrid>
        <w:gridCol w:w="3888"/>
        <w:gridCol w:w="1152"/>
        <w:gridCol w:w="4320"/>
      </w:tblGrid>
      <w:tr>
        <w:trPr>
          <w:tblHeader w:val="true"/>
        </w:trPr>
        <w:tc>
          <w:tcPr>
            <w:tcW w:type="dxa" w:w="3888"/>
            <w:tcMar>
              <w:top w:w="80" w:type="dxa"/>
              <w:start w:w="120" w:type="dxa"/>
              <w:bottom w:w="80" w:type="dxa"/>
              <w:end w:w="120" w:type="dxa"/>
            </w:tcMar>
            <w:shd w:fill="102A43"/>
            <w:vAlign w:val="center"/>
          </w:tcPr>
          <w:p>
            <w:r>
              <w:rPr>
                <w:rFonts w:ascii="Calibri" w:hAnsi="Calibri"/>
                <w:b/>
                <w:color w:val="FFFFFF"/>
                <w:sz w:val="20"/>
              </w:rPr>
              <w:t>Population</w:t>
            </w:r>
          </w:p>
        </w:tc>
        <w:tc>
          <w:tcPr>
            <w:tcW w:type="dxa" w:w="1152"/>
            <w:tcMar>
              <w:top w:w="80" w:type="dxa"/>
              <w:start w:w="120" w:type="dxa"/>
              <w:bottom w:w="80" w:type="dxa"/>
              <w:end w:w="120" w:type="dxa"/>
            </w:tcMar>
            <w:shd w:fill="102A43"/>
            <w:vAlign w:val="center"/>
          </w:tcPr>
          <w:p>
            <w:r>
              <w:rPr>
                <w:rFonts w:ascii="Calibri" w:hAnsi="Calibri"/>
                <w:b/>
                <w:color w:val="FFFFFF"/>
                <w:sz w:val="20"/>
              </w:rPr>
              <w:t>Records</w:t>
            </w:r>
          </w:p>
        </w:tc>
        <w:tc>
          <w:tcPr>
            <w:tcW w:type="dxa" w:w="4320"/>
            <w:tcMar>
              <w:top w:w="80" w:type="dxa"/>
              <w:start w:w="120" w:type="dxa"/>
              <w:bottom w:w="80" w:type="dxa"/>
              <w:end w:w="120" w:type="dxa"/>
            </w:tcMar>
            <w:shd w:fill="102A43"/>
            <w:vAlign w:val="center"/>
          </w:tcPr>
          <w:p>
            <w:r>
              <w:rPr>
                <w:rFonts w:ascii="Calibri" w:hAnsi="Calibri"/>
                <w:b/>
                <w:color w:val="FFFFFF"/>
                <w:sz w:val="20"/>
              </w:rPr>
              <w:t>Use</w:t>
            </w:r>
          </w:p>
        </w:tc>
      </w:tr>
      <w:tr>
        <w:tc>
          <w:tcPr>
            <w:tcW w:type="dxa" w:w="3888"/>
            <w:vAlign w:val="top"/>
          </w:tcPr>
          <w:p>
            <w:pPr>
              <w:spacing w:after="40" w:line="252" w:lineRule="auto"/>
            </w:pPr>
            <w:r>
              <w:rPr>
                <w:rFonts w:ascii="Calibri" w:hAnsi="Calibri"/>
                <w:sz w:val="19"/>
              </w:rPr>
              <w:t>Software Engineering main sample</w:t>
            </w:r>
          </w:p>
        </w:tc>
        <w:tc>
          <w:tcPr>
            <w:tcW w:type="dxa" w:w="1152"/>
            <w:vAlign w:val="top"/>
          </w:tcPr>
          <w:p>
            <w:pPr>
              <w:spacing w:after="40" w:line="252" w:lineRule="auto"/>
            </w:pPr>
            <w:r>
              <w:rPr>
                <w:rFonts w:ascii="Calibri" w:hAnsi="Calibri"/>
                <w:sz w:val="19"/>
              </w:rPr>
              <w:t>22</w:t>
            </w:r>
          </w:p>
        </w:tc>
        <w:tc>
          <w:tcPr>
            <w:tcW w:type="dxa" w:w="4320"/>
            <w:vAlign w:val="top"/>
          </w:tcPr>
          <w:p>
            <w:pPr>
              <w:spacing w:after="40" w:line="252" w:lineRule="auto"/>
            </w:pPr>
            <w:r>
              <w:rPr>
                <w:rFonts w:ascii="Calibri" w:hAnsi="Calibri"/>
                <w:sz w:val="19"/>
              </w:rPr>
              <w:t>SE percentages and rubric evidence</w:t>
            </w:r>
          </w:p>
        </w:tc>
      </w:tr>
      <w:tr>
        <w:tc>
          <w:tcPr>
            <w:tcW w:type="dxa" w:w="3888"/>
            <w:vAlign w:val="top"/>
          </w:tcPr>
          <w:p>
            <w:pPr>
              <w:spacing w:after="40" w:line="252" w:lineRule="auto"/>
            </w:pPr>
            <w:r>
              <w:rPr>
                <w:rFonts w:ascii="Calibri" w:hAnsi="Calibri"/>
                <w:sz w:val="19"/>
              </w:rPr>
              <w:t>Data Analytics main sample</w:t>
            </w:r>
          </w:p>
        </w:tc>
        <w:tc>
          <w:tcPr>
            <w:tcW w:type="dxa" w:w="1152"/>
            <w:vAlign w:val="top"/>
          </w:tcPr>
          <w:p>
            <w:pPr>
              <w:spacing w:after="40" w:line="252" w:lineRule="auto"/>
            </w:pPr>
            <w:r>
              <w:rPr>
                <w:rFonts w:ascii="Calibri" w:hAnsi="Calibri"/>
                <w:sz w:val="19"/>
              </w:rPr>
              <w:t>16</w:t>
            </w:r>
          </w:p>
        </w:tc>
        <w:tc>
          <w:tcPr>
            <w:tcW w:type="dxa" w:w="4320"/>
            <w:vAlign w:val="top"/>
          </w:tcPr>
          <w:p>
            <w:pPr>
              <w:spacing w:after="40" w:line="252" w:lineRule="auto"/>
            </w:pPr>
            <w:r>
              <w:rPr>
                <w:rFonts w:ascii="Calibri" w:hAnsi="Calibri"/>
                <w:sz w:val="19"/>
              </w:rPr>
              <w:t>DA percentages and rubric evidence</w:t>
            </w:r>
          </w:p>
        </w:tc>
      </w:tr>
      <w:tr>
        <w:tc>
          <w:tcPr>
            <w:tcW w:type="dxa" w:w="3888"/>
            <w:vAlign w:val="top"/>
          </w:tcPr>
          <w:p>
            <w:pPr>
              <w:spacing w:after="40" w:line="252" w:lineRule="auto"/>
            </w:pPr>
            <w:r>
              <w:rPr>
                <w:rFonts w:ascii="Calibri" w:hAnsi="Calibri"/>
                <w:sz w:val="19"/>
              </w:rPr>
              <w:t>Adjacent evidence</w:t>
            </w:r>
          </w:p>
        </w:tc>
        <w:tc>
          <w:tcPr>
            <w:tcW w:type="dxa" w:w="1152"/>
            <w:vAlign w:val="top"/>
          </w:tcPr>
          <w:p>
            <w:pPr>
              <w:spacing w:after="40" w:line="252" w:lineRule="auto"/>
            </w:pPr>
            <w:r>
              <w:rPr>
                <w:rFonts w:ascii="Calibri" w:hAnsi="Calibri"/>
                <w:sz w:val="19"/>
              </w:rPr>
              <w:t>15</w:t>
            </w:r>
          </w:p>
        </w:tc>
        <w:tc>
          <w:tcPr>
            <w:tcW w:type="dxa" w:w="4320"/>
            <w:vAlign w:val="top"/>
          </w:tcPr>
          <w:p>
            <w:pPr>
              <w:spacing w:after="40" w:line="252" w:lineRule="auto"/>
            </w:pPr>
            <w:r>
              <w:rPr>
                <w:rFonts w:ascii="Calibri" w:hAnsi="Calibri"/>
                <w:sz w:val="19"/>
              </w:rPr>
              <w:t>Preserved; excluded from main percentages</w:t>
            </w:r>
          </w:p>
        </w:tc>
      </w:tr>
      <w:tr>
        <w:tc>
          <w:tcPr>
            <w:tcW w:type="dxa" w:w="3888"/>
            <w:vAlign w:val="top"/>
          </w:tcPr>
          <w:p>
            <w:pPr>
              <w:spacing w:after="40" w:line="252" w:lineRule="auto"/>
            </w:pPr>
            <w:r>
              <w:rPr>
                <w:rFonts w:ascii="Calibri" w:hAnsi="Calibri"/>
                <w:sz w:val="19"/>
              </w:rPr>
              <w:t>Role-fit exclusions</w:t>
            </w:r>
          </w:p>
        </w:tc>
        <w:tc>
          <w:tcPr>
            <w:tcW w:type="dxa" w:w="1152"/>
            <w:vAlign w:val="top"/>
          </w:tcPr>
          <w:p>
            <w:pPr>
              <w:spacing w:after="40" w:line="252" w:lineRule="auto"/>
            </w:pPr>
            <w:r>
              <w:rPr>
                <w:rFonts w:ascii="Calibri" w:hAnsi="Calibri"/>
                <w:sz w:val="19"/>
              </w:rPr>
              <w:t>4</w:t>
            </w:r>
          </w:p>
        </w:tc>
        <w:tc>
          <w:tcPr>
            <w:tcW w:type="dxa" w:w="4320"/>
            <w:vAlign w:val="top"/>
          </w:tcPr>
          <w:p>
            <w:pPr>
              <w:spacing w:after="40" w:line="252" w:lineRule="auto"/>
            </w:pPr>
            <w:r>
              <w:rPr>
                <w:rFonts w:ascii="Calibri" w:hAnsi="Calibri"/>
                <w:sz w:val="19"/>
              </w:rPr>
              <w:t>Preserved for audit; excluded</w:t>
            </w:r>
          </w:p>
        </w:tc>
      </w:tr>
    </w:tbl>
    <w:p>
      <w:pPr>
        <w:pStyle w:val="Heading2"/>
      </w:pPr>
      <w:r>
        <w:t>Counting rules</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tcMar>
              <w:top w:w="80" w:type="dxa"/>
              <w:start w:w="120" w:type="dxa"/>
              <w:bottom w:w="80" w:type="dxa"/>
              <w:end w:w="120" w:type="dxa"/>
            </w:tcMar>
            <w:shd w:fill="102A43"/>
            <w:vAlign w:val="center"/>
          </w:tcPr>
          <w:p>
            <w:r>
              <w:rPr>
                <w:rFonts w:ascii="Calibri" w:hAnsi="Calibri"/>
                <w:b/>
                <w:color w:val="FFFFFF"/>
                <w:sz w:val="20"/>
              </w:rPr>
              <w:t>Rule</w:t>
            </w:r>
          </w:p>
        </w:tc>
        <w:tc>
          <w:tcPr>
            <w:tcW w:type="dxa" w:w="7128"/>
            <w:tcMar>
              <w:top w:w="80" w:type="dxa"/>
              <w:start w:w="120" w:type="dxa"/>
              <w:bottom w:w="80" w:type="dxa"/>
              <w:end w:w="120" w:type="dxa"/>
            </w:tcMar>
            <w:shd w:fill="102A43"/>
            <w:vAlign w:val="center"/>
          </w:tcPr>
          <w:p>
            <w:r>
              <w:rPr>
                <w:rFonts w:ascii="Calibri" w:hAnsi="Calibri"/>
                <w:b/>
                <w:color w:val="FFFFFF"/>
                <w:sz w:val="20"/>
              </w:rPr>
              <w:t>Application</w:t>
            </w:r>
          </w:p>
        </w:tc>
      </w:tr>
      <w:tr>
        <w:tc>
          <w:tcPr>
            <w:tcW w:type="dxa" w:w="2232"/>
            <w:vAlign w:val="top"/>
          </w:tcPr>
          <w:p>
            <w:pPr>
              <w:spacing w:after="40" w:line="252" w:lineRule="auto"/>
            </w:pPr>
            <w:r>
              <w:rPr>
                <w:rFonts w:ascii="Calibri" w:hAnsi="Calibri"/>
                <w:sz w:val="19"/>
              </w:rPr>
              <w:t>Denominators</w:t>
            </w:r>
          </w:p>
        </w:tc>
        <w:tc>
          <w:tcPr>
            <w:tcW w:type="dxa" w:w="7128"/>
            <w:vAlign w:val="top"/>
          </w:tcPr>
          <w:p>
            <w:pPr>
              <w:spacing w:after="40" w:line="252" w:lineRule="auto"/>
            </w:pPr>
            <w:r>
              <w:rPr>
                <w:rFonts w:ascii="Calibri" w:hAnsi="Calibri"/>
                <w:sz w:val="19"/>
              </w:rPr>
              <w:t>22 SE and 16 DA. Missing work-type data uses 21 SE and 14 DA.</w:t>
            </w:r>
          </w:p>
        </w:tc>
      </w:tr>
      <w:tr>
        <w:tc>
          <w:tcPr>
            <w:tcW w:type="dxa" w:w="2232"/>
            <w:vAlign w:val="top"/>
          </w:tcPr>
          <w:p>
            <w:pPr>
              <w:spacing w:after="40" w:line="252" w:lineRule="auto"/>
            </w:pPr>
            <w:r>
              <w:rPr>
                <w:rFonts w:ascii="Calibri" w:hAnsi="Calibri"/>
                <w:sz w:val="19"/>
              </w:rPr>
              <w:t>Skill frequency</w:t>
            </w:r>
          </w:p>
        </w:tc>
        <w:tc>
          <w:tcPr>
            <w:tcW w:type="dxa" w:w="7128"/>
            <w:vAlign w:val="top"/>
          </w:tcPr>
          <w:p>
            <w:pPr>
              <w:spacing w:after="40" w:line="252" w:lineRule="auto"/>
            </w:pPr>
            <w:r>
              <w:rPr>
                <w:rFonts w:ascii="Calibri" w:hAnsi="Calibri"/>
                <w:sz w:val="19"/>
              </w:rPr>
              <w:t>A skill counts at most once per post within its coding dimension.</w:t>
            </w:r>
          </w:p>
        </w:tc>
      </w:tr>
      <w:tr>
        <w:tc>
          <w:tcPr>
            <w:tcW w:type="dxa" w:w="2232"/>
            <w:vAlign w:val="top"/>
          </w:tcPr>
          <w:p>
            <w:pPr>
              <w:spacing w:after="40" w:line="252" w:lineRule="auto"/>
            </w:pPr>
            <w:r>
              <w:rPr>
                <w:rFonts w:ascii="Calibri" w:hAnsi="Calibri"/>
                <w:sz w:val="19"/>
              </w:rPr>
              <w:t>Inference</w:t>
            </w:r>
          </w:p>
        </w:tc>
        <w:tc>
          <w:tcPr>
            <w:tcW w:type="dxa" w:w="7128"/>
            <w:vAlign w:val="top"/>
          </w:tcPr>
          <w:p>
            <w:pPr>
              <w:spacing w:after="40" w:line="252" w:lineRule="auto"/>
            </w:pPr>
            <w:r>
              <w:rPr>
                <w:rFonts w:ascii="Calibri" w:hAnsi="Calibri"/>
                <w:sz w:val="19"/>
              </w:rPr>
              <w:t>No parent language, tool or skill is inferred from another technology.</w:t>
            </w:r>
          </w:p>
        </w:tc>
      </w:tr>
      <w:tr>
        <w:tc>
          <w:tcPr>
            <w:tcW w:type="dxa" w:w="2232"/>
            <w:vAlign w:val="top"/>
          </w:tcPr>
          <w:p>
            <w:pPr>
              <w:spacing w:after="40" w:line="252" w:lineRule="auto"/>
            </w:pPr>
            <w:r>
              <w:rPr>
                <w:rFonts w:ascii="Calibri" w:hAnsi="Calibri"/>
                <w:sz w:val="19"/>
              </w:rPr>
              <w:t>Qualitative coding</w:t>
            </w:r>
          </w:p>
        </w:tc>
        <w:tc>
          <w:tcPr>
            <w:tcW w:type="dxa" w:w="7128"/>
            <w:vAlign w:val="top"/>
          </w:tcPr>
          <w:p>
            <w:pPr>
              <w:spacing w:after="40" w:line="252" w:lineRule="auto"/>
            </w:pPr>
            <w:r>
              <w:rPr>
                <w:rFonts w:ascii="Calibri" w:hAnsi="Calibri"/>
                <w:sz w:val="19"/>
              </w:rPr>
              <w:t>Original phrase retained; a phrase may map to more than one documented theme.</w:t>
            </w:r>
          </w:p>
        </w:tc>
      </w:tr>
      <w:tr>
        <w:tc>
          <w:tcPr>
            <w:tcW w:type="dxa" w:w="2232"/>
            <w:vAlign w:val="top"/>
          </w:tcPr>
          <w:p>
            <w:pPr>
              <w:spacing w:after="40" w:line="252" w:lineRule="auto"/>
            </w:pPr>
            <w:r>
              <w:rPr>
                <w:rFonts w:ascii="Calibri" w:hAnsi="Calibri"/>
                <w:sz w:val="19"/>
              </w:rPr>
              <w:t>Required/preferred</w:t>
            </w:r>
          </w:p>
        </w:tc>
        <w:tc>
          <w:tcPr>
            <w:tcW w:type="dxa" w:w="7128"/>
            <w:vAlign w:val="top"/>
          </w:tcPr>
          <w:p>
            <w:pPr>
              <w:spacing w:after="40" w:line="252" w:lineRule="auto"/>
            </w:pPr>
            <w:r>
              <w:rPr>
                <w:rFonts w:ascii="Calibri" w:hAnsi="Calibri"/>
                <w:sz w:val="19"/>
              </w:rPr>
              <w:t>Classified only when captured wording supports it; otherwise unclear/not classified.</w:t>
            </w:r>
          </w:p>
        </w:tc>
      </w:tr>
      <w:tr>
        <w:tc>
          <w:tcPr>
            <w:tcW w:type="dxa" w:w="2232"/>
            <w:vAlign w:val="top"/>
          </w:tcPr>
          <w:p>
            <w:pPr>
              <w:spacing w:after="40" w:line="252" w:lineRule="auto"/>
            </w:pPr>
            <w:r>
              <w:rPr>
                <w:rFonts w:ascii="Calibri" w:hAnsi="Calibri"/>
                <w:sz w:val="19"/>
              </w:rPr>
              <w:t>Evidence boundary</w:t>
            </w:r>
          </w:p>
        </w:tc>
        <w:tc>
          <w:tcPr>
            <w:tcW w:type="dxa" w:w="7128"/>
            <w:vAlign w:val="top"/>
          </w:tcPr>
          <w:p>
            <w:pPr>
              <w:spacing w:after="40" w:line="252" w:lineRule="auto"/>
            </w:pPr>
            <w:r>
              <w:rPr>
                <w:rFonts w:ascii="Calibri" w:hAnsi="Calibri"/>
                <w:sz w:val="19"/>
              </w:rPr>
              <w:t>Direct employer evidence is separated from product judgment.</w:t>
            </w:r>
          </w:p>
        </w:tc>
      </w:tr>
    </w:tbl>
    <w:p>
      <w:pPr>
        <w:pStyle w:val="Heading2"/>
      </w:pPr>
      <w:r>
        <w:t>Known data limitations</w:t>
      </w:r>
    </w:p>
    <w:tbl>
      <w:tblPr>
        <w:tblW w:type="dxa" w:w="9360"/>
        <w:jc w:val="left"/>
        <w:tblLayout w:type="fixed"/>
        <w:tblLook w:firstColumn="1" w:firstRow="1" w:lastColumn="0" w:lastRow="0" w:noHBand="0" w:noVBand="1" w:val="04A0"/>
        <w:tblInd w:w="120" w:type="dxa"/>
      </w:tblPr>
      <w:tblGrid>
        <w:gridCol w:w="173"/>
        <w:gridCol w:w="9187"/>
      </w:tblGrid>
      <w:tr>
        <w:tc>
          <w:tcPr>
            <w:tcW w:type="dxa" w:w="173"/>
            <w:tcMar>
              <w:top w:w="80" w:type="dxa"/>
              <w:start w:w="120" w:type="dxa"/>
              <w:bottom w:w="80" w:type="dxa"/>
              <w:end w:w="120" w:type="dxa"/>
            </w:tcMar>
            <w:shd w:fill="B7791F"/>
          </w:tcPr>
          <w:p>
            <w:r/>
          </w:p>
        </w:tc>
        <w:tc>
          <w:tcPr>
            <w:tcW w:type="dxa" w:w="9187"/>
            <w:tcMar>
              <w:top w:w="80" w:type="dxa"/>
              <w:start w:w="120" w:type="dxa"/>
              <w:bottom w:w="80" w:type="dxa"/>
              <w:end w:w="120" w:type="dxa"/>
            </w:tcMar>
            <w:shd w:fill="FFF8E6"/>
            <w:vAlign w:val="center"/>
          </w:tcPr>
          <w:p>
            <w:pPr>
              <w:spacing w:after="40"/>
            </w:pPr>
            <w:r>
              <w:rPr>
                <w:rFonts w:ascii="Calibri" w:hAnsi="Calibri"/>
                <w:b/>
                <w:color w:val="102A43"/>
              </w:rPr>
              <w:t>Locked limitations</w:t>
            </w:r>
          </w:p>
          <w:p>
            <w:pPr>
              <w:spacing w:after="0"/>
            </w:pPr>
            <w:r>
              <w:t>DA-010 remains in the main sample despite its Cape Town / Bangkok geography conflict. SE-002, DA-020 and DA-023 have unavailable work-type data; DA-023 also lacks a verified posting date. None of these values is imputed.</w:t>
            </w:r>
          </w:p>
        </w:tc>
      </w:tr>
    </w:tbl>
    <w:p>
      <w:pPr>
        <w:spacing w:after="0"/>
      </w:pPr>
    </w:p>
    <w:p>
      <w:r>
        <w:br w:type="page"/>
      </w:r>
    </w:p>
    <w:p>
      <w:pPr>
        <w:pStyle w:val="Heading1"/>
      </w:pPr>
      <w:r>
        <w:t>2. Software Engineering market profile</w:t>
      </w:r>
    </w:p>
    <w:p>
      <w:r>
        <w:t>The SE sample is defined by breadth. Three languages tie for the highest frequency, and multiple stack combinations recur. This argues for scoring transferable, specifically named technical evidence rather than forcing one preferred stack.</w:t>
      </w:r>
    </w:p>
    <w:p>
      <w:pPr>
        <w:spacing w:after="60"/>
        <w:jc w:val="center"/>
      </w:pPr>
      <w:r>
        <w:drawing>
          <wp:inline xmlns:a="http://schemas.openxmlformats.org/drawingml/2006/main" xmlns:pic="http://schemas.openxmlformats.org/drawingml/2006/picture">
            <wp:extent cx="5943600" cy="2490768"/>
            <wp:docPr id="1" name="Picture 1"/>
            <wp:cNvGraphicFramePr>
              <a:graphicFrameLocks noChangeAspect="1"/>
            </wp:cNvGraphicFramePr>
            <a:graphic>
              <a:graphicData uri="http://schemas.openxmlformats.org/drawingml/2006/picture">
                <pic:pic>
                  <pic:nvPicPr>
                    <pic:cNvPr id="0" name="se_languages.png"/>
                    <pic:cNvPicPr/>
                  </pic:nvPicPr>
                  <pic:blipFill>
                    <a:blip r:embed="rId11"/>
                    <a:stretch>
                      <a:fillRect/>
                    </a:stretch>
                  </pic:blipFill>
                  <pic:spPr>
                    <a:xfrm>
                      <a:off x="0" y="0"/>
                      <a:ext cx="5943600" cy="2490768"/>
                    </a:xfrm>
                    <a:prstGeom prst="rect"/>
                  </pic:spPr>
                </pic:pic>
              </a:graphicData>
            </a:graphic>
          </wp:inline>
        </w:drawing>
      </w:r>
    </w:p>
    <w:p>
      <w:pPr>
        <w:spacing w:after="100"/>
        <w:jc w:val="center"/>
      </w:pPr>
      <w:r>
        <w:rPr>
          <w:rFonts w:ascii="Calibri" w:hAnsi="Calibri"/>
          <w:i/>
          <w:color w:val="52606D"/>
          <w:sz w:val="18"/>
        </w:rPr>
        <w:t>Figure 1. Each skill counts once per post; denominator = 22.</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shd w:fill="102A43"/>
            <w:vAlign w:val="center"/>
          </w:tcPr>
          <w:p>
            <w:r>
              <w:rPr>
                <w:rFonts w:ascii="Calibri" w:hAnsi="Calibri"/>
                <w:b/>
                <w:color w:val="FFFFFF"/>
                <w:sz w:val="18"/>
              </w:rPr>
              <w:t>Language</w:t>
            </w:r>
          </w:p>
        </w:tc>
        <w:tc>
          <w:tcPr>
            <w:tcW w:type="dxa" w:w="4680"/>
            <w:tcMar>
              <w:top w:w="80" w:type="dxa"/>
              <w:start w:w="120" w:type="dxa"/>
              <w:bottom w:w="80" w:type="dxa"/>
              <w:end w:w="120" w:type="dxa"/>
            </w:tcMar>
            <w:shd w:fill="102A43"/>
            <w:vAlign w:val="center"/>
          </w:tcPr>
          <w:p>
            <w:r>
              <w:rPr>
                <w:rFonts w:ascii="Calibri" w:hAnsi="Calibri"/>
                <w:b/>
                <w:color w:val="FFFFFF"/>
                <w:sz w:val="18"/>
              </w:rPr>
              <w:t>Frequency</w:t>
            </w:r>
          </w:p>
        </w:tc>
      </w:tr>
      <w:tr>
        <w:tc>
          <w:tcPr>
            <w:tcW w:type="dxa" w:w="4680"/>
            <w:vAlign w:val="top"/>
          </w:tcPr>
          <w:p>
            <w:pPr>
              <w:spacing w:after="40" w:line="252" w:lineRule="auto"/>
            </w:pPr>
            <w:r>
              <w:rPr>
                <w:rFonts w:ascii="Calibri" w:hAnsi="Calibri"/>
                <w:sz w:val="17"/>
              </w:rPr>
              <w:t>C#</w:t>
            </w:r>
          </w:p>
        </w:tc>
        <w:tc>
          <w:tcPr>
            <w:tcW w:type="dxa" w:w="4680"/>
            <w:vAlign w:val="top"/>
          </w:tcPr>
          <w:p>
            <w:pPr>
              <w:spacing w:after="40" w:line="252" w:lineRule="auto"/>
            </w:pPr>
            <w:r>
              <w:rPr>
                <w:rFonts w:ascii="Calibri" w:hAnsi="Calibri"/>
                <w:sz w:val="17"/>
              </w:rPr>
              <w:t>13/22 — 59.1%</w:t>
            </w:r>
          </w:p>
        </w:tc>
      </w:tr>
      <w:tr>
        <w:tc>
          <w:tcPr>
            <w:tcW w:type="dxa" w:w="4680"/>
            <w:vAlign w:val="top"/>
          </w:tcPr>
          <w:p>
            <w:pPr>
              <w:spacing w:after="40" w:line="252" w:lineRule="auto"/>
            </w:pPr>
            <w:r>
              <w:rPr>
                <w:rFonts w:ascii="Calibri" w:hAnsi="Calibri"/>
                <w:sz w:val="17"/>
              </w:rPr>
              <w:t>JavaScript</w:t>
            </w:r>
          </w:p>
        </w:tc>
        <w:tc>
          <w:tcPr>
            <w:tcW w:type="dxa" w:w="4680"/>
            <w:vAlign w:val="top"/>
          </w:tcPr>
          <w:p>
            <w:pPr>
              <w:spacing w:after="40" w:line="252" w:lineRule="auto"/>
            </w:pPr>
            <w:r>
              <w:rPr>
                <w:rFonts w:ascii="Calibri" w:hAnsi="Calibri"/>
                <w:sz w:val="17"/>
              </w:rPr>
              <w:t>13/22 — 59.1%</w:t>
            </w:r>
          </w:p>
        </w:tc>
      </w:tr>
      <w:tr>
        <w:tc>
          <w:tcPr>
            <w:tcW w:type="dxa" w:w="4680"/>
            <w:vAlign w:val="top"/>
          </w:tcPr>
          <w:p>
            <w:pPr>
              <w:spacing w:after="40" w:line="252" w:lineRule="auto"/>
            </w:pPr>
            <w:r>
              <w:rPr>
                <w:rFonts w:ascii="Calibri" w:hAnsi="Calibri"/>
                <w:sz w:val="17"/>
              </w:rPr>
              <w:t>SQL</w:t>
            </w:r>
          </w:p>
        </w:tc>
        <w:tc>
          <w:tcPr>
            <w:tcW w:type="dxa" w:w="4680"/>
            <w:vAlign w:val="top"/>
          </w:tcPr>
          <w:p>
            <w:pPr>
              <w:spacing w:after="40" w:line="252" w:lineRule="auto"/>
            </w:pPr>
            <w:r>
              <w:rPr>
                <w:rFonts w:ascii="Calibri" w:hAnsi="Calibri"/>
                <w:sz w:val="17"/>
              </w:rPr>
              <w:t>13/22 — 59.1%</w:t>
            </w:r>
          </w:p>
        </w:tc>
      </w:tr>
      <w:tr>
        <w:tc>
          <w:tcPr>
            <w:tcW w:type="dxa" w:w="4680"/>
            <w:vAlign w:val="top"/>
          </w:tcPr>
          <w:p>
            <w:pPr>
              <w:spacing w:after="40" w:line="252" w:lineRule="auto"/>
            </w:pPr>
            <w:r>
              <w:rPr>
                <w:rFonts w:ascii="Calibri" w:hAnsi="Calibri"/>
                <w:sz w:val="17"/>
              </w:rPr>
              <w:t>Java</w:t>
            </w:r>
          </w:p>
        </w:tc>
        <w:tc>
          <w:tcPr>
            <w:tcW w:type="dxa" w:w="4680"/>
            <w:vAlign w:val="top"/>
          </w:tcPr>
          <w:p>
            <w:pPr>
              <w:spacing w:after="40" w:line="252" w:lineRule="auto"/>
            </w:pPr>
            <w:r>
              <w:rPr>
                <w:rFonts w:ascii="Calibri" w:hAnsi="Calibri"/>
                <w:sz w:val="17"/>
              </w:rPr>
              <w:t>10/22 — 45.5%</w:t>
            </w:r>
          </w:p>
        </w:tc>
      </w:tr>
      <w:tr>
        <w:tc>
          <w:tcPr>
            <w:tcW w:type="dxa" w:w="4680"/>
            <w:vAlign w:val="top"/>
          </w:tcPr>
          <w:p>
            <w:pPr>
              <w:spacing w:after="40" w:line="252" w:lineRule="auto"/>
            </w:pPr>
            <w:r>
              <w:rPr>
                <w:rFonts w:ascii="Calibri" w:hAnsi="Calibri"/>
                <w:sz w:val="17"/>
              </w:rPr>
              <w:t>HTML/CSS</w:t>
            </w:r>
          </w:p>
        </w:tc>
        <w:tc>
          <w:tcPr>
            <w:tcW w:type="dxa" w:w="4680"/>
            <w:vAlign w:val="top"/>
          </w:tcPr>
          <w:p>
            <w:pPr>
              <w:spacing w:after="40" w:line="252" w:lineRule="auto"/>
            </w:pPr>
            <w:r>
              <w:rPr>
                <w:rFonts w:ascii="Calibri" w:hAnsi="Calibri"/>
                <w:sz w:val="17"/>
              </w:rPr>
              <w:t>9/22 — 40.9%</w:t>
            </w:r>
          </w:p>
        </w:tc>
      </w:tr>
      <w:tr>
        <w:tc>
          <w:tcPr>
            <w:tcW w:type="dxa" w:w="4680"/>
            <w:vAlign w:val="top"/>
          </w:tcPr>
          <w:p>
            <w:pPr>
              <w:spacing w:after="40" w:line="252" w:lineRule="auto"/>
            </w:pPr>
            <w:r>
              <w:rPr>
                <w:rFonts w:ascii="Calibri" w:hAnsi="Calibri"/>
                <w:sz w:val="17"/>
              </w:rPr>
              <w:t>Python</w:t>
            </w:r>
          </w:p>
        </w:tc>
        <w:tc>
          <w:tcPr>
            <w:tcW w:type="dxa" w:w="4680"/>
            <w:vAlign w:val="top"/>
          </w:tcPr>
          <w:p>
            <w:pPr>
              <w:spacing w:after="40" w:line="252" w:lineRule="auto"/>
            </w:pPr>
            <w:r>
              <w:rPr>
                <w:rFonts w:ascii="Calibri" w:hAnsi="Calibri"/>
                <w:sz w:val="17"/>
              </w:rPr>
              <w:t>9/22 — 40.9%</w:t>
            </w:r>
          </w:p>
        </w:tc>
      </w:tr>
      <w:tr>
        <w:tc>
          <w:tcPr>
            <w:tcW w:type="dxa" w:w="4680"/>
            <w:vAlign w:val="top"/>
          </w:tcPr>
          <w:p>
            <w:pPr>
              <w:spacing w:after="40" w:line="252" w:lineRule="auto"/>
            </w:pPr>
            <w:r>
              <w:rPr>
                <w:rFonts w:ascii="Calibri" w:hAnsi="Calibri"/>
                <w:sz w:val="17"/>
              </w:rPr>
              <w:t>TypeScript</w:t>
            </w:r>
          </w:p>
        </w:tc>
        <w:tc>
          <w:tcPr>
            <w:tcW w:type="dxa" w:w="4680"/>
            <w:vAlign w:val="top"/>
          </w:tcPr>
          <w:p>
            <w:pPr>
              <w:spacing w:after="40" w:line="252" w:lineRule="auto"/>
            </w:pPr>
            <w:r>
              <w:rPr>
                <w:rFonts w:ascii="Calibri" w:hAnsi="Calibri"/>
                <w:sz w:val="17"/>
              </w:rPr>
              <w:t>4/22 — 18.2%</w:t>
            </w:r>
          </w:p>
        </w:tc>
      </w:tr>
      <w:tr>
        <w:tc>
          <w:tcPr>
            <w:tcW w:type="dxa" w:w="4680"/>
            <w:vAlign w:val="top"/>
          </w:tcPr>
          <w:p>
            <w:pPr>
              <w:spacing w:after="40" w:line="252" w:lineRule="auto"/>
            </w:pPr>
            <w:r>
              <w:rPr>
                <w:rFonts w:ascii="Calibri" w:hAnsi="Calibri"/>
                <w:sz w:val="17"/>
              </w:rPr>
              <w:t>PHP</w:t>
            </w:r>
          </w:p>
        </w:tc>
        <w:tc>
          <w:tcPr>
            <w:tcW w:type="dxa" w:w="4680"/>
            <w:vAlign w:val="top"/>
          </w:tcPr>
          <w:p>
            <w:pPr>
              <w:spacing w:after="40" w:line="252" w:lineRule="auto"/>
            </w:pPr>
            <w:r>
              <w:rPr>
                <w:rFonts w:ascii="Calibri" w:hAnsi="Calibri"/>
                <w:sz w:val="17"/>
              </w:rPr>
              <w:t>3/22 — 13.6%</w:t>
            </w:r>
          </w:p>
        </w:tc>
      </w:tr>
      <w:tr>
        <w:tc>
          <w:tcPr>
            <w:tcW w:type="dxa" w:w="4680"/>
            <w:vAlign w:val="top"/>
          </w:tcPr>
          <w:p>
            <w:pPr>
              <w:spacing w:after="40" w:line="252" w:lineRule="auto"/>
            </w:pPr>
            <w:r>
              <w:rPr>
                <w:rFonts w:ascii="Calibri" w:hAnsi="Calibri"/>
                <w:sz w:val="17"/>
              </w:rPr>
              <w:t>C++</w:t>
            </w:r>
          </w:p>
        </w:tc>
        <w:tc>
          <w:tcPr>
            <w:tcW w:type="dxa" w:w="4680"/>
            <w:vAlign w:val="top"/>
          </w:tcPr>
          <w:p>
            <w:pPr>
              <w:spacing w:after="40" w:line="252" w:lineRule="auto"/>
            </w:pPr>
            <w:r>
              <w:rPr>
                <w:rFonts w:ascii="Calibri" w:hAnsi="Calibri"/>
                <w:sz w:val="17"/>
              </w:rPr>
              <w:t>1/22 — 4.5%</w:t>
            </w:r>
          </w:p>
        </w:tc>
      </w:tr>
      <w:tr>
        <w:tc>
          <w:tcPr>
            <w:tcW w:type="dxa" w:w="4680"/>
            <w:vAlign w:val="top"/>
          </w:tcPr>
          <w:p>
            <w:pPr>
              <w:spacing w:after="40" w:line="252" w:lineRule="auto"/>
            </w:pPr>
            <w:r>
              <w:rPr>
                <w:rFonts w:ascii="Calibri" w:hAnsi="Calibri"/>
                <w:sz w:val="17"/>
              </w:rPr>
              <w:t>Kotlin</w:t>
            </w:r>
          </w:p>
        </w:tc>
        <w:tc>
          <w:tcPr>
            <w:tcW w:type="dxa" w:w="4680"/>
            <w:vAlign w:val="top"/>
          </w:tcPr>
          <w:p>
            <w:pPr>
              <w:spacing w:after="40" w:line="252" w:lineRule="auto"/>
            </w:pPr>
            <w:r>
              <w:rPr>
                <w:rFonts w:ascii="Calibri" w:hAnsi="Calibri"/>
                <w:sz w:val="17"/>
              </w:rPr>
              <w:t>1/22 — 4.5%</w:t>
            </w:r>
          </w:p>
        </w:tc>
      </w:tr>
    </w:tbl>
    <w:p>
      <w:pPr>
        <w:spacing w:before="80" w:after="80"/>
      </w:pPr>
      <w:r>
        <w:rPr>
          <w:rFonts w:ascii="Calibri" w:hAnsi="Calibri"/>
          <w:i/>
          <w:color w:val="52606D"/>
          <w:sz w:val="17"/>
        </w:rPr>
        <w:t>Source: SE Track, Programming Languages Mentioned.</w:t>
      </w:r>
    </w:p>
    <w:p>
      <w:r>
        <w:br w:type="page"/>
      </w:r>
    </w:p>
    <w:p>
      <w:pPr>
        <w:pStyle w:val="Heading1"/>
      </w:pPr>
      <w:r>
        <w:t>3. Software Engineering tools, proof and access</w:t>
      </w:r>
    </w:p>
    <w:p>
      <w:pPr>
        <w:spacing w:after="60"/>
        <w:jc w:val="center"/>
      </w:pPr>
      <w:r>
        <w:drawing>
          <wp:inline xmlns:a="http://schemas.openxmlformats.org/drawingml/2006/main" xmlns:pic="http://schemas.openxmlformats.org/drawingml/2006/picture">
            <wp:extent cx="5943600" cy="2490768"/>
            <wp:docPr id="2" name="Picture 2"/>
            <wp:cNvGraphicFramePr>
              <a:graphicFrameLocks noChangeAspect="1"/>
            </wp:cNvGraphicFramePr>
            <a:graphic>
              <a:graphicData uri="http://schemas.openxmlformats.org/drawingml/2006/picture">
                <pic:pic>
                  <pic:nvPicPr>
                    <pic:cNvPr id="0" name="se_frameworks.png"/>
                    <pic:cNvPicPr/>
                  </pic:nvPicPr>
                  <pic:blipFill>
                    <a:blip r:embed="rId12"/>
                    <a:stretch>
                      <a:fillRect/>
                    </a:stretch>
                  </pic:blipFill>
                  <pic:spPr>
                    <a:xfrm>
                      <a:off x="0" y="0"/>
                      <a:ext cx="5943600" cy="2490768"/>
                    </a:xfrm>
                    <a:prstGeom prst="rect"/>
                  </pic:spPr>
                </pic:pic>
              </a:graphicData>
            </a:graphic>
          </wp:inline>
        </w:drawing>
      </w:r>
    </w:p>
    <w:p>
      <w:pPr>
        <w:spacing w:after="100"/>
        <w:jc w:val="center"/>
      </w:pPr>
      <w:r>
        <w:rPr>
          <w:rFonts w:ascii="Calibri" w:hAnsi="Calibri"/>
          <w:i/>
          <w:color w:val="52606D"/>
          <w:sz w:val="18"/>
        </w:rPr>
        <w:t>Figure 2. .NET is the leading framework family in this sample.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shd w:fill="102A43"/>
            <w:vAlign w:val="center"/>
          </w:tcPr>
          <w:p>
            <w:r>
              <w:rPr>
                <w:rFonts w:ascii="Calibri" w:hAnsi="Calibri"/>
                <w:b/>
                <w:color w:val="FFFFFF"/>
                <w:sz w:val="18"/>
              </w:rPr>
              <w:t>Tool / platform</w:t>
            </w:r>
          </w:p>
        </w:tc>
        <w:tc>
          <w:tcPr>
            <w:tcW w:type="dxa" w:w="4680"/>
            <w:tcMar>
              <w:top w:w="80" w:type="dxa"/>
              <w:start w:w="120" w:type="dxa"/>
              <w:bottom w:w="80" w:type="dxa"/>
              <w:end w:w="120" w:type="dxa"/>
            </w:tcMar>
            <w:shd w:fill="102A43"/>
            <w:vAlign w:val="center"/>
          </w:tcPr>
          <w:p>
            <w:r>
              <w:rPr>
                <w:rFonts w:ascii="Calibri" w:hAnsi="Calibri"/>
                <w:b/>
                <w:color w:val="FFFFFF"/>
                <w:sz w:val="18"/>
              </w:rPr>
              <w:t>Frequency</w:t>
            </w:r>
          </w:p>
        </w:tc>
      </w:tr>
      <w:tr>
        <w:tc>
          <w:tcPr>
            <w:tcW w:type="dxa" w:w="4680"/>
            <w:vAlign w:val="top"/>
          </w:tcPr>
          <w:p>
            <w:pPr>
              <w:spacing w:after="40" w:line="252" w:lineRule="auto"/>
            </w:pPr>
            <w:r>
              <w:rPr>
                <w:rFonts w:ascii="Calibri" w:hAnsi="Calibri"/>
                <w:sz w:val="17"/>
              </w:rPr>
              <w:t>Git/GitHub</w:t>
            </w:r>
          </w:p>
        </w:tc>
        <w:tc>
          <w:tcPr>
            <w:tcW w:type="dxa" w:w="4680"/>
            <w:vAlign w:val="top"/>
          </w:tcPr>
          <w:p>
            <w:pPr>
              <w:spacing w:after="40" w:line="252" w:lineRule="auto"/>
            </w:pPr>
            <w:r>
              <w:rPr>
                <w:rFonts w:ascii="Calibri" w:hAnsi="Calibri"/>
                <w:sz w:val="17"/>
              </w:rPr>
              <w:t>11/22 — 50.0%</w:t>
            </w:r>
          </w:p>
        </w:tc>
      </w:tr>
      <w:tr>
        <w:tc>
          <w:tcPr>
            <w:tcW w:type="dxa" w:w="4680"/>
            <w:vAlign w:val="top"/>
          </w:tcPr>
          <w:p>
            <w:pPr>
              <w:spacing w:after="40" w:line="252" w:lineRule="auto"/>
            </w:pPr>
            <w:r>
              <w:rPr>
                <w:rFonts w:ascii="Calibri" w:hAnsi="Calibri"/>
                <w:sz w:val="17"/>
              </w:rPr>
              <w:t>Azure</w:t>
            </w:r>
          </w:p>
        </w:tc>
        <w:tc>
          <w:tcPr>
            <w:tcW w:type="dxa" w:w="4680"/>
            <w:vAlign w:val="top"/>
          </w:tcPr>
          <w:p>
            <w:pPr>
              <w:spacing w:after="40" w:line="252" w:lineRule="auto"/>
            </w:pPr>
            <w:r>
              <w:rPr>
                <w:rFonts w:ascii="Calibri" w:hAnsi="Calibri"/>
                <w:sz w:val="17"/>
              </w:rPr>
              <w:t>6/22 — 27.3%</w:t>
            </w:r>
          </w:p>
        </w:tc>
      </w:tr>
      <w:tr>
        <w:tc>
          <w:tcPr>
            <w:tcW w:type="dxa" w:w="4680"/>
            <w:vAlign w:val="top"/>
          </w:tcPr>
          <w:p>
            <w:pPr>
              <w:spacing w:after="40" w:line="252" w:lineRule="auto"/>
            </w:pPr>
            <w:r>
              <w:rPr>
                <w:rFonts w:ascii="Calibri" w:hAnsi="Calibri"/>
                <w:sz w:val="17"/>
              </w:rPr>
              <w:t>SQL Server</w:t>
            </w:r>
          </w:p>
        </w:tc>
        <w:tc>
          <w:tcPr>
            <w:tcW w:type="dxa" w:w="4680"/>
            <w:vAlign w:val="top"/>
          </w:tcPr>
          <w:p>
            <w:pPr>
              <w:spacing w:after="40" w:line="252" w:lineRule="auto"/>
            </w:pPr>
            <w:r>
              <w:rPr>
                <w:rFonts w:ascii="Calibri" w:hAnsi="Calibri"/>
                <w:sz w:val="17"/>
              </w:rPr>
              <w:t>5/22 — 22.7%</w:t>
            </w:r>
          </w:p>
        </w:tc>
      </w:tr>
      <w:tr>
        <w:tc>
          <w:tcPr>
            <w:tcW w:type="dxa" w:w="4680"/>
            <w:vAlign w:val="top"/>
          </w:tcPr>
          <w:p>
            <w:pPr>
              <w:spacing w:after="40" w:line="252" w:lineRule="auto"/>
            </w:pPr>
            <w:r>
              <w:rPr>
                <w:rFonts w:ascii="Calibri" w:hAnsi="Calibri"/>
                <w:sz w:val="17"/>
              </w:rPr>
              <w:t>AWS</w:t>
            </w:r>
          </w:p>
        </w:tc>
        <w:tc>
          <w:tcPr>
            <w:tcW w:type="dxa" w:w="4680"/>
            <w:vAlign w:val="top"/>
          </w:tcPr>
          <w:p>
            <w:pPr>
              <w:spacing w:after="40" w:line="252" w:lineRule="auto"/>
            </w:pPr>
            <w:r>
              <w:rPr>
                <w:rFonts w:ascii="Calibri" w:hAnsi="Calibri"/>
                <w:sz w:val="17"/>
              </w:rPr>
              <w:t>4/22 — 18.2%</w:t>
            </w:r>
          </w:p>
        </w:tc>
      </w:tr>
      <w:tr>
        <w:tc>
          <w:tcPr>
            <w:tcW w:type="dxa" w:w="4680"/>
            <w:vAlign w:val="top"/>
          </w:tcPr>
          <w:p>
            <w:pPr>
              <w:spacing w:after="40" w:line="252" w:lineRule="auto"/>
            </w:pPr>
            <w:r>
              <w:rPr>
                <w:rFonts w:ascii="Calibri" w:hAnsi="Calibri"/>
                <w:sz w:val="17"/>
              </w:rPr>
              <w:t>Linux</w:t>
            </w:r>
          </w:p>
        </w:tc>
        <w:tc>
          <w:tcPr>
            <w:tcW w:type="dxa" w:w="4680"/>
            <w:vAlign w:val="top"/>
          </w:tcPr>
          <w:p>
            <w:pPr>
              <w:spacing w:after="40" w:line="252" w:lineRule="auto"/>
            </w:pPr>
            <w:r>
              <w:rPr>
                <w:rFonts w:ascii="Calibri" w:hAnsi="Calibri"/>
                <w:sz w:val="17"/>
              </w:rPr>
              <w:t>3/22 — 13.6%</w:t>
            </w:r>
          </w:p>
        </w:tc>
      </w:tr>
      <w:tr>
        <w:tc>
          <w:tcPr>
            <w:tcW w:type="dxa" w:w="4680"/>
            <w:vAlign w:val="top"/>
          </w:tcPr>
          <w:p>
            <w:pPr>
              <w:spacing w:after="40" w:line="252" w:lineRule="auto"/>
            </w:pPr>
            <w:r>
              <w:rPr>
                <w:rFonts w:ascii="Calibri" w:hAnsi="Calibri"/>
                <w:sz w:val="17"/>
              </w:rPr>
              <w:t>MySQL</w:t>
            </w:r>
          </w:p>
        </w:tc>
        <w:tc>
          <w:tcPr>
            <w:tcW w:type="dxa" w:w="4680"/>
            <w:vAlign w:val="top"/>
          </w:tcPr>
          <w:p>
            <w:pPr>
              <w:spacing w:after="40" w:line="252" w:lineRule="auto"/>
            </w:pPr>
            <w:r>
              <w:rPr>
                <w:rFonts w:ascii="Calibri" w:hAnsi="Calibri"/>
                <w:sz w:val="17"/>
              </w:rPr>
              <w:t>3/22 — 13.6%</w:t>
            </w:r>
          </w:p>
        </w:tc>
      </w:tr>
      <w:tr>
        <w:tc>
          <w:tcPr>
            <w:tcW w:type="dxa" w:w="4680"/>
            <w:vAlign w:val="top"/>
          </w:tcPr>
          <w:p>
            <w:pPr>
              <w:spacing w:after="40" w:line="252" w:lineRule="auto"/>
            </w:pPr>
            <w:r>
              <w:rPr>
                <w:rFonts w:ascii="Calibri" w:hAnsi="Calibri"/>
                <w:sz w:val="17"/>
              </w:rPr>
              <w:t>Docker</w:t>
            </w:r>
          </w:p>
        </w:tc>
        <w:tc>
          <w:tcPr>
            <w:tcW w:type="dxa" w:w="4680"/>
            <w:vAlign w:val="top"/>
          </w:tcPr>
          <w:p>
            <w:pPr>
              <w:spacing w:after="40" w:line="252" w:lineRule="auto"/>
            </w:pPr>
            <w:r>
              <w:rPr>
                <w:rFonts w:ascii="Calibri" w:hAnsi="Calibri"/>
                <w:sz w:val="17"/>
              </w:rPr>
              <w:t>2/22 — 9.1%</w:t>
            </w:r>
          </w:p>
        </w:tc>
      </w:tr>
      <w:tr>
        <w:tc>
          <w:tcPr>
            <w:tcW w:type="dxa" w:w="4680"/>
            <w:vAlign w:val="top"/>
          </w:tcPr>
          <w:p>
            <w:pPr>
              <w:spacing w:after="40" w:line="252" w:lineRule="auto"/>
            </w:pPr>
            <w:r>
              <w:rPr>
                <w:rFonts w:ascii="Calibri" w:hAnsi="Calibri"/>
                <w:sz w:val="17"/>
              </w:rPr>
              <w:t>Jira</w:t>
            </w:r>
          </w:p>
        </w:tc>
        <w:tc>
          <w:tcPr>
            <w:tcW w:type="dxa" w:w="4680"/>
            <w:vAlign w:val="top"/>
          </w:tcPr>
          <w:p>
            <w:pPr>
              <w:spacing w:after="40" w:line="252" w:lineRule="auto"/>
            </w:pPr>
            <w:r>
              <w:rPr>
                <w:rFonts w:ascii="Calibri" w:hAnsi="Calibri"/>
                <w:sz w:val="17"/>
              </w:rPr>
              <w:t>1/22 — 4.5%</w:t>
            </w:r>
          </w:p>
        </w:tc>
      </w:tr>
      <w:tr>
        <w:tc>
          <w:tcPr>
            <w:tcW w:type="dxa" w:w="4680"/>
            <w:vAlign w:val="top"/>
          </w:tcPr>
          <w:p>
            <w:pPr>
              <w:spacing w:after="40" w:line="252" w:lineRule="auto"/>
            </w:pPr>
            <w:r>
              <w:rPr>
                <w:rFonts w:ascii="Calibri" w:hAnsi="Calibri"/>
                <w:sz w:val="17"/>
              </w:rPr>
              <w:t>PostgreSQL</w:t>
            </w:r>
          </w:p>
        </w:tc>
        <w:tc>
          <w:tcPr>
            <w:tcW w:type="dxa" w:w="4680"/>
            <w:vAlign w:val="top"/>
          </w:tcPr>
          <w:p>
            <w:pPr>
              <w:spacing w:after="40" w:line="252" w:lineRule="auto"/>
            </w:pPr>
            <w:r>
              <w:rPr>
                <w:rFonts w:ascii="Calibri" w:hAnsi="Calibri"/>
                <w:sz w:val="17"/>
              </w:rPr>
              <w:t>1/22 — 4.5%</w:t>
            </w:r>
          </w:p>
        </w:tc>
      </w:tr>
      <w:tr>
        <w:tc>
          <w:tcPr>
            <w:tcW w:type="dxa" w:w="4680"/>
            <w:vAlign w:val="top"/>
          </w:tcPr>
          <w:p>
            <w:pPr>
              <w:spacing w:after="40" w:line="252" w:lineRule="auto"/>
            </w:pPr>
            <w:r>
              <w:rPr>
                <w:rFonts w:ascii="Calibri" w:hAnsi="Calibri"/>
                <w:sz w:val="17"/>
              </w:rPr>
              <w:t>Postman</w:t>
            </w:r>
          </w:p>
        </w:tc>
        <w:tc>
          <w:tcPr>
            <w:tcW w:type="dxa" w:w="4680"/>
            <w:vAlign w:val="top"/>
          </w:tcPr>
          <w:p>
            <w:pPr>
              <w:spacing w:after="40" w:line="252" w:lineRule="auto"/>
            </w:pPr>
            <w:r>
              <w:rPr>
                <w:rFonts w:ascii="Calibri" w:hAnsi="Calibri"/>
                <w:sz w:val="17"/>
              </w:rPr>
              <w:t>1/22 — 4.5%</w:t>
            </w:r>
          </w:p>
        </w:tc>
      </w:tr>
    </w:tbl>
    <w:p>
      <w:pPr>
        <w:pStyle w:val="Heading2"/>
      </w:pPr>
      <w:r>
        <w:t>Interpretation</w:t>
      </w:r>
    </w:p>
    <w:tbl>
      <w:tblPr>
        <w:tblStyle w:val="TableGrid"/>
        <w:tblW w:type="dxa" w:w="9360"/>
        <w:jc w:val="left"/>
        <w:tblLayout w:type="fixed"/>
        <w:tblLook w:firstColumn="1" w:firstRow="1" w:lastColumn="0" w:lastRow="0" w:noHBand="0" w:noVBand="1" w:val="04A0"/>
        <w:tblInd w:w="120" w:type="dxa"/>
      </w:tblPr>
      <w:tblGrid>
        <w:gridCol w:w="2232"/>
        <w:gridCol w:w="1656"/>
        <w:gridCol w:w="5472"/>
      </w:tblGrid>
      <w:tr>
        <w:trPr>
          <w:tblHeader w:val="true"/>
        </w:trPr>
        <w:tc>
          <w:tcPr>
            <w:tcW w:type="dxa" w:w="2232"/>
            <w:tcMar>
              <w:top w:w="80" w:type="dxa"/>
              <w:start w:w="120" w:type="dxa"/>
              <w:bottom w:w="80" w:type="dxa"/>
              <w:end w:w="120" w:type="dxa"/>
            </w:tcMar>
            <w:shd w:fill="102A43"/>
            <w:vAlign w:val="center"/>
          </w:tcPr>
          <w:p>
            <w:r>
              <w:rPr>
                <w:rFonts w:ascii="Calibri" w:hAnsi="Calibri"/>
                <w:b/>
                <w:color w:val="FFFFFF"/>
                <w:sz w:val="20"/>
              </w:rPr>
              <w:t>Dimension</w:t>
            </w:r>
          </w:p>
        </w:tc>
        <w:tc>
          <w:tcPr>
            <w:tcW w:type="dxa" w:w="1656"/>
            <w:tcMar>
              <w:top w:w="80" w:type="dxa"/>
              <w:start w:w="120" w:type="dxa"/>
              <w:bottom w:w="80" w:type="dxa"/>
              <w:end w:w="120" w:type="dxa"/>
            </w:tcMar>
            <w:shd w:fill="102A43"/>
            <w:vAlign w:val="center"/>
          </w:tcPr>
          <w:p>
            <w:r>
              <w:rPr>
                <w:rFonts w:ascii="Calibri" w:hAnsi="Calibri"/>
                <w:b/>
                <w:color w:val="FFFFFF"/>
                <w:sz w:val="20"/>
              </w:rPr>
              <w:t>Evidence</w:t>
            </w:r>
          </w:p>
        </w:tc>
        <w:tc>
          <w:tcPr>
            <w:tcW w:type="dxa" w:w="5472"/>
            <w:tcMar>
              <w:top w:w="80" w:type="dxa"/>
              <w:start w:w="120" w:type="dxa"/>
              <w:bottom w:w="80" w:type="dxa"/>
              <w:end w:w="120" w:type="dxa"/>
            </w:tcMar>
            <w:shd w:fill="102A43"/>
            <w:vAlign w:val="center"/>
          </w:tcPr>
          <w:p>
            <w:r>
              <w:rPr>
                <w:rFonts w:ascii="Calibri" w:hAnsi="Calibri"/>
                <w:b/>
                <w:color w:val="FFFFFF"/>
                <w:sz w:val="20"/>
              </w:rPr>
              <w:t>Phase 7 interpretation</w:t>
            </w:r>
          </w:p>
        </w:tc>
      </w:tr>
      <w:tr>
        <w:tc>
          <w:tcPr>
            <w:tcW w:type="dxa" w:w="2232"/>
            <w:vAlign w:val="top"/>
          </w:tcPr>
          <w:p>
            <w:pPr>
              <w:spacing w:after="40" w:line="252" w:lineRule="auto"/>
            </w:pPr>
            <w:r>
              <w:rPr>
                <w:rFonts w:ascii="Calibri" w:hAnsi="Calibri"/>
                <w:sz w:val="19"/>
              </w:rPr>
              <w:t>Git/GitHub</w:t>
            </w:r>
          </w:p>
        </w:tc>
        <w:tc>
          <w:tcPr>
            <w:tcW w:type="dxa" w:w="1656"/>
            <w:vAlign w:val="top"/>
          </w:tcPr>
          <w:p>
            <w:pPr>
              <w:spacing w:after="40" w:line="252" w:lineRule="auto"/>
            </w:pPr>
            <w:r>
              <w:rPr>
                <w:rFonts w:ascii="Calibri" w:hAnsi="Calibri"/>
                <w:sz w:val="19"/>
              </w:rPr>
              <w:t>11/22</w:t>
            </w:r>
          </w:p>
        </w:tc>
        <w:tc>
          <w:tcPr>
            <w:tcW w:type="dxa" w:w="5472"/>
            <w:vAlign w:val="top"/>
          </w:tcPr>
          <w:p>
            <w:pPr>
              <w:spacing w:after="40" w:line="252" w:lineRule="auto"/>
            </w:pPr>
            <w:r>
              <w:rPr>
                <w:rFonts w:ascii="Calibri" w:hAnsi="Calibri"/>
                <w:sz w:val="19"/>
              </w:rPr>
              <w:t>Important but not universal; partially supports a strong signal, not automatically an absolute cap.</w:t>
            </w:r>
          </w:p>
        </w:tc>
      </w:tr>
      <w:tr>
        <w:tc>
          <w:tcPr>
            <w:tcW w:type="dxa" w:w="2232"/>
            <w:vAlign w:val="top"/>
          </w:tcPr>
          <w:p>
            <w:pPr>
              <w:spacing w:after="40" w:line="252" w:lineRule="auto"/>
            </w:pPr>
            <w:r>
              <w:rPr>
                <w:rFonts w:ascii="Calibri" w:hAnsi="Calibri"/>
                <w:sz w:val="19"/>
              </w:rPr>
              <w:t>Deployment tools</w:t>
            </w:r>
          </w:p>
        </w:tc>
        <w:tc>
          <w:tcPr>
            <w:tcW w:type="dxa" w:w="1656"/>
            <w:vAlign w:val="top"/>
          </w:tcPr>
          <w:p>
            <w:pPr>
              <w:spacing w:after="40" w:line="252" w:lineRule="auto"/>
            </w:pPr>
            <w:r>
              <w:rPr>
                <w:rFonts w:ascii="Calibri" w:hAnsi="Calibri"/>
                <w:sz w:val="19"/>
              </w:rPr>
              <w:t>8/22</w:t>
            </w:r>
          </w:p>
        </w:tc>
        <w:tc>
          <w:tcPr>
            <w:tcW w:type="dxa" w:w="5472"/>
            <w:vAlign w:val="top"/>
          </w:tcPr>
          <w:p>
            <w:pPr>
              <w:spacing w:after="40" w:line="252" w:lineRule="auto"/>
            </w:pPr>
            <w:r>
              <w:rPr>
                <w:rFonts w:ascii="Calibri" w:hAnsi="Calibri"/>
                <w:sz w:val="19"/>
              </w:rPr>
              <w:t>AWS, Azure or Docker appears often enough to support bonus treatment, not baseline treatment.</w:t>
            </w:r>
          </w:p>
        </w:tc>
      </w:tr>
      <w:tr>
        <w:tc>
          <w:tcPr>
            <w:tcW w:type="dxa" w:w="2232"/>
            <w:vAlign w:val="top"/>
          </w:tcPr>
          <w:p>
            <w:pPr>
              <w:spacing w:after="40" w:line="252" w:lineRule="auto"/>
            </w:pPr>
            <w:r>
              <w:rPr>
                <w:rFonts w:ascii="Calibri" w:hAnsi="Calibri"/>
                <w:sz w:val="19"/>
              </w:rPr>
              <w:t>Portfolio/GitHub requested</w:t>
            </w:r>
          </w:p>
        </w:tc>
        <w:tc>
          <w:tcPr>
            <w:tcW w:type="dxa" w:w="1656"/>
            <w:vAlign w:val="top"/>
          </w:tcPr>
          <w:p>
            <w:pPr>
              <w:spacing w:after="40" w:line="252" w:lineRule="auto"/>
            </w:pPr>
            <w:r>
              <w:rPr>
                <w:rFonts w:ascii="Calibri" w:hAnsi="Calibri"/>
                <w:sz w:val="19"/>
              </w:rPr>
              <w:t>3/22</w:t>
            </w:r>
          </w:p>
        </w:tc>
        <w:tc>
          <w:tcPr>
            <w:tcW w:type="dxa" w:w="5472"/>
            <w:vAlign w:val="top"/>
          </w:tcPr>
          <w:p>
            <w:pPr>
              <w:spacing w:after="40" w:line="252" w:lineRule="auto"/>
            </w:pPr>
            <w:r>
              <w:rPr>
                <w:rFonts w:ascii="Calibri" w:hAnsi="Calibri"/>
                <w:sz w:val="19"/>
              </w:rPr>
              <w:t>Explicit demand is too low to justify 25 points by market frequency alone.</w:t>
            </w:r>
          </w:p>
        </w:tc>
      </w:tr>
      <w:tr>
        <w:tc>
          <w:tcPr>
            <w:tcW w:type="dxa" w:w="2232"/>
            <w:vAlign w:val="top"/>
          </w:tcPr>
          <w:p>
            <w:pPr>
              <w:spacing w:after="40" w:line="252" w:lineRule="auto"/>
            </w:pPr>
            <w:r>
              <w:rPr>
                <w:rFonts w:ascii="Calibri" w:hAnsi="Calibri"/>
                <w:sz w:val="19"/>
              </w:rPr>
              <w:t>Degree required</w:t>
            </w:r>
          </w:p>
        </w:tc>
        <w:tc>
          <w:tcPr>
            <w:tcW w:type="dxa" w:w="1656"/>
            <w:vAlign w:val="top"/>
          </w:tcPr>
          <w:p>
            <w:pPr>
              <w:spacing w:after="40" w:line="252" w:lineRule="auto"/>
            </w:pPr>
            <w:r>
              <w:rPr>
                <w:rFonts w:ascii="Calibri" w:hAnsi="Calibri"/>
                <w:sz w:val="19"/>
              </w:rPr>
              <w:t>16/22</w:t>
            </w:r>
          </w:p>
        </w:tc>
        <w:tc>
          <w:tcPr>
            <w:tcW w:type="dxa" w:w="5472"/>
            <w:vAlign w:val="top"/>
          </w:tcPr>
          <w:p>
            <w:pPr>
              <w:spacing w:after="40" w:line="252" w:lineRule="auto"/>
            </w:pPr>
            <w:r>
              <w:rPr>
                <w:rFonts w:ascii="Calibri" w:hAnsi="Calibri"/>
                <w:sz w:val="19"/>
              </w:rPr>
              <w:t>Formal qualifications are prominent, although 6/22 specify none.</w:t>
            </w:r>
          </w:p>
        </w:tc>
      </w:tr>
      <w:tr>
        <w:tc>
          <w:tcPr>
            <w:tcW w:type="dxa" w:w="2232"/>
            <w:vAlign w:val="top"/>
          </w:tcPr>
          <w:p>
            <w:pPr>
              <w:spacing w:after="40" w:line="252" w:lineRule="auto"/>
            </w:pPr>
            <w:r>
              <w:rPr>
                <w:rFonts w:ascii="Calibri" w:hAnsi="Calibri"/>
                <w:sz w:val="19"/>
              </w:rPr>
              <w:t>Hybrid work</w:t>
            </w:r>
          </w:p>
        </w:tc>
        <w:tc>
          <w:tcPr>
            <w:tcW w:type="dxa" w:w="1656"/>
            <w:vAlign w:val="top"/>
          </w:tcPr>
          <w:p>
            <w:pPr>
              <w:spacing w:after="40" w:line="252" w:lineRule="auto"/>
            </w:pPr>
            <w:r>
              <w:rPr>
                <w:rFonts w:ascii="Calibri" w:hAnsi="Calibri"/>
                <w:sz w:val="19"/>
              </w:rPr>
              <w:t>14/21 known</w:t>
            </w:r>
          </w:p>
        </w:tc>
        <w:tc>
          <w:tcPr>
            <w:tcW w:type="dxa" w:w="5472"/>
            <w:vAlign w:val="top"/>
          </w:tcPr>
          <w:p>
            <w:pPr>
              <w:spacing w:after="40" w:line="252" w:lineRule="auto"/>
            </w:pPr>
            <w:r>
              <w:rPr>
                <w:rFonts w:ascii="Calibri" w:hAnsi="Calibri"/>
                <w:sz w:val="19"/>
              </w:rPr>
              <w:t>Hybrid dominates; remote-only roles are 2/21.</w:t>
            </w:r>
          </w:p>
        </w:tc>
      </w:tr>
    </w:tbl>
    <w:p>
      <w:r>
        <w:br w:type="page"/>
      </w:r>
    </w:p>
    <w:p>
      <w:pPr>
        <w:pStyle w:val="Heading1"/>
      </w:pPr>
      <w:r>
        <w:t>4. Data Analytics market profile</w:t>
      </w:r>
    </w:p>
    <w:p>
      <w:r>
        <w:t>The DA market is more concentrated than SE. SQL and Power BI each appear in 81.3% of posts, and they co-occur in 11/16. This is the strongest direct evidence in the entire Phase 7 analysis.</w:t>
      </w:r>
    </w:p>
    <w:p>
      <w:pPr>
        <w:spacing w:after="60"/>
        <w:jc w:val="center"/>
      </w:pPr>
      <w:r>
        <w:drawing>
          <wp:inline xmlns:a="http://schemas.openxmlformats.org/drawingml/2006/main" xmlns:pic="http://schemas.openxmlformats.org/drawingml/2006/picture">
            <wp:extent cx="5943600" cy="2490768"/>
            <wp:docPr id="3" name="Picture 3"/>
            <wp:cNvGraphicFramePr>
              <a:graphicFrameLocks noChangeAspect="1"/>
            </wp:cNvGraphicFramePr>
            <a:graphic>
              <a:graphicData uri="http://schemas.openxmlformats.org/drawingml/2006/picture">
                <pic:pic>
                  <pic:nvPicPr>
                    <pic:cNvPr id="0" name="da_core.png"/>
                    <pic:cNvPicPr/>
                  </pic:nvPicPr>
                  <pic:blipFill>
                    <a:blip r:embed="rId13"/>
                    <a:stretch>
                      <a:fillRect/>
                    </a:stretch>
                  </pic:blipFill>
                  <pic:spPr>
                    <a:xfrm>
                      <a:off x="0" y="0"/>
                      <a:ext cx="5943600" cy="2490768"/>
                    </a:xfrm>
                    <a:prstGeom prst="rect"/>
                  </pic:spPr>
                </pic:pic>
              </a:graphicData>
            </a:graphic>
          </wp:inline>
        </w:drawing>
      </w:r>
    </w:p>
    <w:p>
      <w:pPr>
        <w:spacing w:after="100"/>
        <w:jc w:val="center"/>
      </w:pPr>
      <w:r>
        <w:rPr>
          <w:rFonts w:ascii="Calibri" w:hAnsi="Calibri"/>
          <w:i/>
          <w:color w:val="52606D"/>
          <w:sz w:val="18"/>
        </w:rPr>
        <w:t>Figure 3. Core analytical skill mentions; denominator = 16.</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shd w:fill="102A43"/>
            <w:vAlign w:val="center"/>
          </w:tcPr>
          <w:p>
            <w:r>
              <w:rPr>
                <w:rFonts w:ascii="Calibri" w:hAnsi="Calibri"/>
                <w:b/>
                <w:color w:val="FFFFFF"/>
                <w:sz w:val="18"/>
              </w:rPr>
              <w:t>Core skill</w:t>
            </w:r>
          </w:p>
        </w:tc>
        <w:tc>
          <w:tcPr>
            <w:tcW w:type="dxa" w:w="4680"/>
            <w:tcMar>
              <w:top w:w="80" w:type="dxa"/>
              <w:start w:w="120" w:type="dxa"/>
              <w:bottom w:w="80" w:type="dxa"/>
              <w:end w:w="120" w:type="dxa"/>
            </w:tcMar>
            <w:shd w:fill="102A43"/>
            <w:vAlign w:val="center"/>
          </w:tcPr>
          <w:p>
            <w:r>
              <w:rPr>
                <w:rFonts w:ascii="Calibri" w:hAnsi="Calibri"/>
                <w:b/>
                <w:color w:val="FFFFFF"/>
                <w:sz w:val="18"/>
              </w:rPr>
              <w:t>Frequency</w:t>
            </w:r>
          </w:p>
        </w:tc>
      </w:tr>
      <w:tr>
        <w:tc>
          <w:tcPr>
            <w:tcW w:type="dxa" w:w="4680"/>
            <w:vAlign w:val="top"/>
          </w:tcPr>
          <w:p>
            <w:pPr>
              <w:spacing w:after="40" w:line="252" w:lineRule="auto"/>
            </w:pPr>
            <w:r>
              <w:rPr>
                <w:rFonts w:ascii="Calibri" w:hAnsi="Calibri"/>
                <w:sz w:val="17"/>
              </w:rPr>
              <w:t>SQL</w:t>
            </w:r>
          </w:p>
        </w:tc>
        <w:tc>
          <w:tcPr>
            <w:tcW w:type="dxa" w:w="4680"/>
            <w:vAlign w:val="top"/>
          </w:tcPr>
          <w:p>
            <w:pPr>
              <w:spacing w:after="40" w:line="252" w:lineRule="auto"/>
            </w:pPr>
            <w:r>
              <w:rPr>
                <w:rFonts w:ascii="Calibri" w:hAnsi="Calibri"/>
                <w:sz w:val="17"/>
              </w:rPr>
              <w:t>13/16 — 81.2%</w:t>
            </w:r>
          </w:p>
        </w:tc>
      </w:tr>
      <w:tr>
        <w:tc>
          <w:tcPr>
            <w:tcW w:type="dxa" w:w="4680"/>
            <w:vAlign w:val="top"/>
          </w:tcPr>
          <w:p>
            <w:pPr>
              <w:spacing w:after="40" w:line="252" w:lineRule="auto"/>
            </w:pPr>
            <w:r>
              <w:rPr>
                <w:rFonts w:ascii="Calibri" w:hAnsi="Calibri"/>
                <w:sz w:val="17"/>
              </w:rPr>
              <w:t>Python</w:t>
            </w:r>
          </w:p>
        </w:tc>
        <w:tc>
          <w:tcPr>
            <w:tcW w:type="dxa" w:w="4680"/>
            <w:vAlign w:val="top"/>
          </w:tcPr>
          <w:p>
            <w:pPr>
              <w:spacing w:after="40" w:line="252" w:lineRule="auto"/>
            </w:pPr>
            <w:r>
              <w:rPr>
                <w:rFonts w:ascii="Calibri" w:hAnsi="Calibri"/>
                <w:sz w:val="17"/>
              </w:rPr>
              <w:t>8/16 — 50.0%</w:t>
            </w:r>
          </w:p>
        </w:tc>
      </w:tr>
      <w:tr>
        <w:tc>
          <w:tcPr>
            <w:tcW w:type="dxa" w:w="4680"/>
            <w:vAlign w:val="top"/>
          </w:tcPr>
          <w:p>
            <w:pPr>
              <w:spacing w:after="40" w:line="252" w:lineRule="auto"/>
            </w:pPr>
            <w:r>
              <w:rPr>
                <w:rFonts w:ascii="Calibri" w:hAnsi="Calibri"/>
                <w:sz w:val="17"/>
              </w:rPr>
              <w:t>Statistics</w:t>
            </w:r>
          </w:p>
        </w:tc>
        <w:tc>
          <w:tcPr>
            <w:tcW w:type="dxa" w:w="4680"/>
            <w:vAlign w:val="top"/>
          </w:tcPr>
          <w:p>
            <w:pPr>
              <w:spacing w:after="40" w:line="252" w:lineRule="auto"/>
            </w:pPr>
            <w:r>
              <w:rPr>
                <w:rFonts w:ascii="Calibri" w:hAnsi="Calibri"/>
                <w:sz w:val="17"/>
              </w:rPr>
              <w:t>7/16 — 43.8%</w:t>
            </w:r>
          </w:p>
        </w:tc>
      </w:tr>
      <w:tr>
        <w:tc>
          <w:tcPr>
            <w:tcW w:type="dxa" w:w="4680"/>
            <w:vAlign w:val="top"/>
          </w:tcPr>
          <w:p>
            <w:pPr>
              <w:spacing w:after="40" w:line="252" w:lineRule="auto"/>
            </w:pPr>
            <w:r>
              <w:rPr>
                <w:rFonts w:ascii="Calibri" w:hAnsi="Calibri"/>
                <w:sz w:val="17"/>
              </w:rPr>
              <w:t>R</w:t>
            </w:r>
          </w:p>
        </w:tc>
        <w:tc>
          <w:tcPr>
            <w:tcW w:type="dxa" w:w="4680"/>
            <w:vAlign w:val="top"/>
          </w:tcPr>
          <w:p>
            <w:pPr>
              <w:spacing w:after="40" w:line="252" w:lineRule="auto"/>
            </w:pPr>
            <w:r>
              <w:rPr>
                <w:rFonts w:ascii="Calibri" w:hAnsi="Calibri"/>
                <w:sz w:val="17"/>
              </w:rPr>
              <w:t>4/16 — 25.0%</w:t>
            </w:r>
          </w:p>
        </w:tc>
      </w:tr>
      <w:tr>
        <w:tc>
          <w:tcPr>
            <w:tcW w:type="dxa" w:w="4680"/>
            <w:vAlign w:val="top"/>
          </w:tcPr>
          <w:p>
            <w:pPr>
              <w:spacing w:after="40" w:line="252" w:lineRule="auto"/>
            </w:pPr>
            <w:r>
              <w:rPr>
                <w:rFonts w:ascii="Calibri" w:hAnsi="Calibri"/>
                <w:sz w:val="17"/>
              </w:rPr>
              <w:t>Excel (advanced)</w:t>
            </w:r>
          </w:p>
        </w:tc>
        <w:tc>
          <w:tcPr>
            <w:tcW w:type="dxa" w:w="4680"/>
            <w:vAlign w:val="top"/>
          </w:tcPr>
          <w:p>
            <w:pPr>
              <w:spacing w:after="40" w:line="252" w:lineRule="auto"/>
            </w:pPr>
            <w:r>
              <w:rPr>
                <w:rFonts w:ascii="Calibri" w:hAnsi="Calibri"/>
                <w:sz w:val="17"/>
              </w:rPr>
              <w:t>2/16 — 12.5%</w:t>
            </w:r>
          </w:p>
        </w:tc>
      </w:tr>
      <w:tr>
        <w:tc>
          <w:tcPr>
            <w:tcW w:type="dxa" w:w="4680"/>
            <w:vAlign w:val="top"/>
          </w:tcPr>
          <w:p>
            <w:pPr>
              <w:spacing w:after="40" w:line="252" w:lineRule="auto"/>
            </w:pPr>
            <w:r>
              <w:rPr>
                <w:rFonts w:ascii="Calibri" w:hAnsi="Calibri"/>
                <w:sz w:val="17"/>
              </w:rPr>
              <w:t>Data Cleaning</w:t>
            </w:r>
          </w:p>
        </w:tc>
        <w:tc>
          <w:tcPr>
            <w:tcW w:type="dxa" w:w="4680"/>
            <w:vAlign w:val="top"/>
          </w:tcPr>
          <w:p>
            <w:pPr>
              <w:spacing w:after="40" w:line="252" w:lineRule="auto"/>
            </w:pPr>
            <w:r>
              <w:rPr>
                <w:rFonts w:ascii="Calibri" w:hAnsi="Calibri"/>
                <w:sz w:val="17"/>
              </w:rPr>
              <w:t>1/16 — 6.2%</w:t>
            </w:r>
          </w:p>
        </w:tc>
      </w:tr>
      <w:tr>
        <w:tc>
          <w:tcPr>
            <w:tcW w:type="dxa" w:w="4680"/>
            <w:vAlign w:val="top"/>
          </w:tcPr>
          <w:p>
            <w:pPr>
              <w:spacing w:after="40" w:line="252" w:lineRule="auto"/>
            </w:pPr>
            <w:r>
              <w:rPr>
                <w:rFonts w:ascii="Calibri" w:hAnsi="Calibri"/>
                <w:sz w:val="17"/>
              </w:rPr>
              <w:t>Data Modelling</w:t>
            </w:r>
          </w:p>
        </w:tc>
        <w:tc>
          <w:tcPr>
            <w:tcW w:type="dxa" w:w="4680"/>
            <w:vAlign w:val="top"/>
          </w:tcPr>
          <w:p>
            <w:pPr>
              <w:spacing w:after="40" w:line="252" w:lineRule="auto"/>
            </w:pPr>
            <w:r>
              <w:rPr>
                <w:rFonts w:ascii="Calibri" w:hAnsi="Calibri"/>
                <w:sz w:val="17"/>
              </w:rPr>
              <w:t>1/16 — 6.2%</w:t>
            </w:r>
          </w:p>
        </w:tc>
      </w:tr>
    </w:tbl>
    <w:p>
      <w:pPr>
        <w:spacing w:before="80" w:after="80"/>
      </w:pPr>
      <w:r>
        <w:rPr>
          <w:rFonts w:ascii="Calibri" w:hAnsi="Calibri"/>
          <w:i/>
          <w:color w:val="52606D"/>
          <w:sz w:val="17"/>
        </w:rPr>
        <w:t>Source: DA Track, Core Analytical Skills Mentioned.</w:t>
      </w:r>
    </w:p>
    <w:p>
      <w:r>
        <w:br w:type="page"/>
      </w:r>
    </w:p>
    <w:p>
      <w:pPr>
        <w:pStyle w:val="Heading1"/>
      </w:pPr>
      <w:r>
        <w:t>5. Data Analytics tools, proof and access</w:t>
      </w:r>
    </w:p>
    <w:p>
      <w:pPr>
        <w:spacing w:after="60"/>
        <w:jc w:val="center"/>
      </w:pPr>
      <w:r>
        <w:drawing>
          <wp:inline xmlns:a="http://schemas.openxmlformats.org/drawingml/2006/main" xmlns:pic="http://schemas.openxmlformats.org/drawingml/2006/picture">
            <wp:extent cx="5943600" cy="2537764"/>
            <wp:docPr id="4" name="Picture 4"/>
            <wp:cNvGraphicFramePr>
              <a:graphicFrameLocks noChangeAspect="1"/>
            </wp:cNvGraphicFramePr>
            <a:graphic>
              <a:graphicData uri="http://schemas.openxmlformats.org/drawingml/2006/picture">
                <pic:pic>
                  <pic:nvPicPr>
                    <pic:cNvPr id="0" name="da_reporting.png"/>
                    <pic:cNvPicPr/>
                  </pic:nvPicPr>
                  <pic:blipFill>
                    <a:blip r:embed="rId14"/>
                    <a:stretch>
                      <a:fillRect/>
                    </a:stretch>
                  </pic:blipFill>
                  <pic:spPr>
                    <a:xfrm>
                      <a:off x="0" y="0"/>
                      <a:ext cx="5943600" cy="2537764"/>
                    </a:xfrm>
                    <a:prstGeom prst="rect"/>
                  </pic:spPr>
                </pic:pic>
              </a:graphicData>
            </a:graphic>
          </wp:inline>
        </w:drawing>
      </w:r>
    </w:p>
    <w:p>
      <w:pPr>
        <w:spacing w:after="100"/>
        <w:jc w:val="center"/>
      </w:pPr>
      <w:r>
        <w:rPr>
          <w:rFonts w:ascii="Calibri" w:hAnsi="Calibri"/>
          <w:i/>
          <w:color w:val="52606D"/>
          <w:sz w:val="18"/>
        </w:rPr>
        <w:t>Figure 4. Reporting and visualisation tool mentions; denominator = 16.</w:t>
      </w:r>
    </w:p>
    <w:tbl>
      <w:tblPr>
        <w:tblStyle w:val="TableGrid"/>
        <w:tblW w:type="dxa" w:w="9360"/>
        <w:jc w:val="left"/>
        <w:tblLayout w:type="fixed"/>
        <w:tblLook w:firstColumn="1" w:firstRow="1" w:lastColumn="0" w:lastRow="0" w:noHBand="0" w:noVBand="1" w:val="04A0"/>
        <w:tblInd w:w="120" w:type="dxa"/>
      </w:tblPr>
      <w:tblGrid>
        <w:gridCol w:w="2520"/>
        <w:gridCol w:w="2232"/>
        <w:gridCol w:w="4608"/>
      </w:tblGrid>
      <w:tr>
        <w:trPr>
          <w:tblHeader w:val="true"/>
        </w:trPr>
        <w:tc>
          <w:tcPr>
            <w:tcW w:type="dxa" w:w="2520"/>
            <w:tcMar>
              <w:top w:w="80" w:type="dxa"/>
              <w:start w:w="120" w:type="dxa"/>
              <w:bottom w:w="80" w:type="dxa"/>
              <w:end w:w="120" w:type="dxa"/>
            </w:tcMar>
            <w:shd w:fill="102A43"/>
            <w:vAlign w:val="center"/>
          </w:tcPr>
          <w:p>
            <w:r>
              <w:rPr>
                <w:rFonts w:ascii="Calibri" w:hAnsi="Calibri"/>
                <w:b/>
                <w:color w:val="FFFFFF"/>
                <w:sz w:val="20"/>
              </w:rPr>
              <w:t>Dimension</w:t>
            </w:r>
          </w:p>
        </w:tc>
        <w:tc>
          <w:tcPr>
            <w:tcW w:type="dxa" w:w="2232"/>
            <w:tcMar>
              <w:top w:w="80" w:type="dxa"/>
              <w:start w:w="120" w:type="dxa"/>
              <w:bottom w:w="80" w:type="dxa"/>
              <w:end w:w="120" w:type="dxa"/>
            </w:tcMar>
            <w:shd w:fill="102A43"/>
            <w:vAlign w:val="center"/>
          </w:tcPr>
          <w:p>
            <w:r>
              <w:rPr>
                <w:rFonts w:ascii="Calibri" w:hAnsi="Calibri"/>
                <w:b/>
                <w:color w:val="FFFFFF"/>
                <w:sz w:val="20"/>
              </w:rPr>
              <w:t>Evidence</w:t>
            </w:r>
          </w:p>
        </w:tc>
        <w:tc>
          <w:tcPr>
            <w:tcW w:type="dxa" w:w="4608"/>
            <w:tcMar>
              <w:top w:w="80" w:type="dxa"/>
              <w:start w:w="120" w:type="dxa"/>
              <w:bottom w:w="80" w:type="dxa"/>
              <w:end w:w="120" w:type="dxa"/>
            </w:tcMar>
            <w:shd w:fill="102A43"/>
            <w:vAlign w:val="center"/>
          </w:tcPr>
          <w:p>
            <w:r>
              <w:rPr>
                <w:rFonts w:ascii="Calibri" w:hAnsi="Calibri"/>
                <w:b/>
                <w:color w:val="FFFFFF"/>
                <w:sz w:val="20"/>
              </w:rPr>
              <w:t>Interpretation</w:t>
            </w:r>
          </w:p>
        </w:tc>
      </w:tr>
      <w:tr>
        <w:tc>
          <w:tcPr>
            <w:tcW w:type="dxa" w:w="2520"/>
            <w:vAlign w:val="top"/>
          </w:tcPr>
          <w:p>
            <w:pPr>
              <w:spacing w:after="40" w:line="252" w:lineRule="auto"/>
            </w:pPr>
            <w:r>
              <w:rPr>
                <w:rFonts w:ascii="Calibri" w:hAnsi="Calibri"/>
                <w:sz w:val="19"/>
              </w:rPr>
              <w:t>SQL explicit</w:t>
            </w:r>
          </w:p>
        </w:tc>
        <w:tc>
          <w:tcPr>
            <w:tcW w:type="dxa" w:w="2232"/>
            <w:vAlign w:val="top"/>
          </w:tcPr>
          <w:p>
            <w:pPr>
              <w:spacing w:after="40" w:line="252" w:lineRule="auto"/>
            </w:pPr>
            <w:r>
              <w:rPr>
                <w:rFonts w:ascii="Calibri" w:hAnsi="Calibri"/>
                <w:sz w:val="19"/>
              </w:rPr>
              <w:t>13/16 — 81.3%</w:t>
            </w:r>
          </w:p>
        </w:tc>
        <w:tc>
          <w:tcPr>
            <w:tcW w:type="dxa" w:w="4608"/>
            <w:vAlign w:val="top"/>
          </w:tcPr>
          <w:p>
            <w:pPr>
              <w:spacing w:after="40" w:line="252" w:lineRule="auto"/>
            </w:pPr>
            <w:r>
              <w:rPr>
                <w:rFonts w:ascii="Calibri" w:hAnsi="Calibri"/>
                <w:sz w:val="19"/>
              </w:rPr>
              <w:t>Supports central rubric treatment</w:t>
            </w:r>
          </w:p>
        </w:tc>
      </w:tr>
      <w:tr>
        <w:tc>
          <w:tcPr>
            <w:tcW w:type="dxa" w:w="2520"/>
            <w:vAlign w:val="top"/>
          </w:tcPr>
          <w:p>
            <w:pPr>
              <w:spacing w:after="40" w:line="252" w:lineRule="auto"/>
            </w:pPr>
            <w:r>
              <w:rPr>
                <w:rFonts w:ascii="Calibri" w:hAnsi="Calibri"/>
                <w:sz w:val="19"/>
              </w:rPr>
              <w:t>Power BI</w:t>
            </w:r>
          </w:p>
        </w:tc>
        <w:tc>
          <w:tcPr>
            <w:tcW w:type="dxa" w:w="2232"/>
            <w:vAlign w:val="top"/>
          </w:tcPr>
          <w:p>
            <w:pPr>
              <w:spacing w:after="40" w:line="252" w:lineRule="auto"/>
            </w:pPr>
            <w:r>
              <w:rPr>
                <w:rFonts w:ascii="Calibri" w:hAnsi="Calibri"/>
                <w:sz w:val="19"/>
              </w:rPr>
              <w:t>13/16 — 81.3%</w:t>
            </w:r>
          </w:p>
        </w:tc>
        <w:tc>
          <w:tcPr>
            <w:tcW w:type="dxa" w:w="4608"/>
            <w:vAlign w:val="top"/>
          </w:tcPr>
          <w:p>
            <w:pPr>
              <w:spacing w:after="40" w:line="252" w:lineRule="auto"/>
            </w:pPr>
            <w:r>
              <w:rPr>
                <w:rFonts w:ascii="Calibri" w:hAnsi="Calibri"/>
                <w:sz w:val="19"/>
              </w:rPr>
              <w:t>Leading BI tool; Tableau follows at 8/16</w:t>
            </w:r>
          </w:p>
        </w:tc>
      </w:tr>
      <w:tr>
        <w:tc>
          <w:tcPr>
            <w:tcW w:type="dxa" w:w="2520"/>
            <w:vAlign w:val="top"/>
          </w:tcPr>
          <w:p>
            <w:pPr>
              <w:spacing w:after="40" w:line="252" w:lineRule="auto"/>
            </w:pPr>
            <w:r>
              <w:rPr>
                <w:rFonts w:ascii="Calibri" w:hAnsi="Calibri"/>
                <w:sz w:val="19"/>
              </w:rPr>
              <w:t>Excel anywhere</w:t>
            </w:r>
          </w:p>
        </w:tc>
        <w:tc>
          <w:tcPr>
            <w:tcW w:type="dxa" w:w="2232"/>
            <w:vAlign w:val="top"/>
          </w:tcPr>
          <w:p>
            <w:pPr>
              <w:spacing w:after="40" w:line="252" w:lineRule="auto"/>
            </w:pPr>
            <w:r>
              <w:rPr>
                <w:rFonts w:ascii="Calibri" w:hAnsi="Calibri"/>
                <w:sz w:val="19"/>
              </w:rPr>
              <w:t>10/16 — 62.5%</w:t>
            </w:r>
          </w:p>
        </w:tc>
        <w:tc>
          <w:tcPr>
            <w:tcW w:type="dxa" w:w="4608"/>
            <w:vAlign w:val="top"/>
          </w:tcPr>
          <w:p>
            <w:pPr>
              <w:spacing w:after="40" w:line="252" w:lineRule="auto"/>
            </w:pPr>
            <w:r>
              <w:rPr>
                <w:rFonts w:ascii="Calibri" w:hAnsi="Calibri"/>
                <w:sz w:val="19"/>
              </w:rPr>
              <w:t>Foundational but not universal in captured fields</w:t>
            </w:r>
          </w:p>
        </w:tc>
      </w:tr>
      <w:tr>
        <w:tc>
          <w:tcPr>
            <w:tcW w:type="dxa" w:w="2520"/>
            <w:vAlign w:val="top"/>
          </w:tcPr>
          <w:p>
            <w:pPr>
              <w:spacing w:after="40" w:line="252" w:lineRule="auto"/>
            </w:pPr>
            <w:r>
              <w:rPr>
                <w:rFonts w:ascii="Calibri" w:hAnsi="Calibri"/>
                <w:sz w:val="19"/>
              </w:rPr>
              <w:t>Python</w:t>
            </w:r>
          </w:p>
        </w:tc>
        <w:tc>
          <w:tcPr>
            <w:tcW w:type="dxa" w:w="2232"/>
            <w:vAlign w:val="top"/>
          </w:tcPr>
          <w:p>
            <w:pPr>
              <w:spacing w:after="40" w:line="252" w:lineRule="auto"/>
            </w:pPr>
            <w:r>
              <w:rPr>
                <w:rFonts w:ascii="Calibri" w:hAnsi="Calibri"/>
                <w:sz w:val="19"/>
              </w:rPr>
              <w:t>8/16 — 50.0%</w:t>
            </w:r>
          </w:p>
        </w:tc>
        <w:tc>
          <w:tcPr>
            <w:tcW w:type="dxa" w:w="4608"/>
            <w:vAlign w:val="top"/>
          </w:tcPr>
          <w:p>
            <w:pPr>
              <w:spacing w:after="40" w:line="252" w:lineRule="auto"/>
            </w:pPr>
            <w:r>
              <w:rPr>
                <w:rFonts w:ascii="Calibri" w:hAnsi="Calibri"/>
                <w:sz w:val="19"/>
              </w:rPr>
              <w:t>Strong secondary skill</w:t>
            </w:r>
          </w:p>
        </w:tc>
      </w:tr>
      <w:tr>
        <w:tc>
          <w:tcPr>
            <w:tcW w:type="dxa" w:w="2520"/>
            <w:vAlign w:val="top"/>
          </w:tcPr>
          <w:p>
            <w:pPr>
              <w:spacing w:after="40" w:line="252" w:lineRule="auto"/>
            </w:pPr>
            <w:r>
              <w:rPr>
                <w:rFonts w:ascii="Calibri" w:hAnsi="Calibri"/>
                <w:sz w:val="19"/>
              </w:rPr>
              <w:t>Portfolio/GitHub requested</w:t>
            </w:r>
          </w:p>
        </w:tc>
        <w:tc>
          <w:tcPr>
            <w:tcW w:type="dxa" w:w="2232"/>
            <w:vAlign w:val="top"/>
          </w:tcPr>
          <w:p>
            <w:pPr>
              <w:spacing w:after="40" w:line="252" w:lineRule="auto"/>
            </w:pPr>
            <w:r>
              <w:rPr>
                <w:rFonts w:ascii="Calibri" w:hAnsi="Calibri"/>
                <w:sz w:val="19"/>
              </w:rPr>
              <w:t>1/16 — 6.3%</w:t>
            </w:r>
          </w:p>
        </w:tc>
        <w:tc>
          <w:tcPr>
            <w:tcW w:type="dxa" w:w="4608"/>
            <w:vAlign w:val="top"/>
          </w:tcPr>
          <w:p>
            <w:pPr>
              <w:spacing w:after="40" w:line="252" w:lineRule="auto"/>
            </w:pPr>
            <w:r>
              <w:rPr>
                <w:rFonts w:ascii="Calibri" w:hAnsi="Calibri"/>
                <w:sz w:val="19"/>
              </w:rPr>
              <w:t>Challenges a 20-point market-led weight</w:t>
            </w:r>
          </w:p>
        </w:tc>
      </w:tr>
      <w:tr>
        <w:tc>
          <w:tcPr>
            <w:tcW w:type="dxa" w:w="2520"/>
            <w:vAlign w:val="top"/>
          </w:tcPr>
          <w:p>
            <w:pPr>
              <w:spacing w:after="40" w:line="252" w:lineRule="auto"/>
            </w:pPr>
            <w:r>
              <w:rPr>
                <w:rFonts w:ascii="Calibri" w:hAnsi="Calibri"/>
                <w:sz w:val="19"/>
              </w:rPr>
              <w:t>Degree required</w:t>
            </w:r>
          </w:p>
        </w:tc>
        <w:tc>
          <w:tcPr>
            <w:tcW w:type="dxa" w:w="2232"/>
            <w:vAlign w:val="top"/>
          </w:tcPr>
          <w:p>
            <w:pPr>
              <w:spacing w:after="40" w:line="252" w:lineRule="auto"/>
            </w:pPr>
            <w:r>
              <w:rPr>
                <w:rFonts w:ascii="Calibri" w:hAnsi="Calibri"/>
                <w:sz w:val="19"/>
              </w:rPr>
              <w:t>9/16 — 56.3%</w:t>
            </w:r>
          </w:p>
        </w:tc>
        <w:tc>
          <w:tcPr>
            <w:tcW w:type="dxa" w:w="4608"/>
            <w:vAlign w:val="top"/>
          </w:tcPr>
          <w:p>
            <w:pPr>
              <w:spacing w:after="40" w:line="252" w:lineRule="auto"/>
            </w:pPr>
            <w:r>
              <w:rPr>
                <w:rFonts w:ascii="Calibri" w:hAnsi="Calibri"/>
                <w:sz w:val="19"/>
              </w:rPr>
              <w:t>Important, with more alternative pathways than SE</w:t>
            </w:r>
          </w:p>
        </w:tc>
      </w:tr>
      <w:tr>
        <w:tc>
          <w:tcPr>
            <w:tcW w:type="dxa" w:w="2520"/>
            <w:vAlign w:val="top"/>
          </w:tcPr>
          <w:p>
            <w:pPr>
              <w:spacing w:after="40" w:line="252" w:lineRule="auto"/>
            </w:pPr>
            <w:r>
              <w:rPr>
                <w:rFonts w:ascii="Calibri" w:hAnsi="Calibri"/>
                <w:sz w:val="19"/>
              </w:rPr>
              <w:t>Hybrid work</w:t>
            </w:r>
          </w:p>
        </w:tc>
        <w:tc>
          <w:tcPr>
            <w:tcW w:type="dxa" w:w="2232"/>
            <w:vAlign w:val="top"/>
          </w:tcPr>
          <w:p>
            <w:pPr>
              <w:spacing w:after="40" w:line="252" w:lineRule="auto"/>
            </w:pPr>
            <w:r>
              <w:rPr>
                <w:rFonts w:ascii="Calibri" w:hAnsi="Calibri"/>
                <w:sz w:val="19"/>
              </w:rPr>
              <w:t>9/14 known — 64.3%</w:t>
            </w:r>
          </w:p>
        </w:tc>
        <w:tc>
          <w:tcPr>
            <w:tcW w:type="dxa" w:w="4608"/>
            <w:vAlign w:val="top"/>
          </w:tcPr>
          <w:p>
            <w:pPr>
              <w:spacing w:after="40" w:line="252" w:lineRule="auto"/>
            </w:pPr>
            <w:r>
              <w:rPr>
                <w:rFonts w:ascii="Calibri" w:hAnsi="Calibri"/>
                <w:sz w:val="19"/>
              </w:rPr>
              <w:t>Similar work-pattern profile to SE</w:t>
            </w:r>
          </w:p>
        </w:tc>
      </w:tr>
    </w:tbl>
    <w:tbl>
      <w:tblPr>
        <w:tblW w:type="dxa" w:w="9360"/>
        <w:jc w:val="left"/>
        <w:tblLayout w:type="fixed"/>
        <w:tblLook w:firstColumn="1" w:firstRow="1" w:lastColumn="0" w:lastRow="0" w:noHBand="0" w:noVBand="1" w:val="04A0"/>
        <w:tblInd w:w="120" w:type="dxa"/>
      </w:tblPr>
      <w:tblGrid>
        <w:gridCol w:w="173"/>
        <w:gridCol w:w="9187"/>
      </w:tblGrid>
      <w:tr>
        <w:tc>
          <w:tcPr>
            <w:tcW w:type="dxa" w:w="173"/>
            <w:tcMar>
              <w:top w:w="80" w:type="dxa"/>
              <w:start w:w="120" w:type="dxa"/>
              <w:bottom w:w="80" w:type="dxa"/>
              <w:end w:w="120" w:type="dxa"/>
            </w:tcMar>
            <w:shd w:fill="B7791F"/>
          </w:tcPr>
          <w:p>
            <w:r/>
          </w:p>
        </w:tc>
        <w:tc>
          <w:tcPr>
            <w:tcW w:type="dxa" w:w="9187"/>
            <w:tcMar>
              <w:top w:w="80" w:type="dxa"/>
              <w:start w:w="120" w:type="dxa"/>
              <w:bottom w:w="80" w:type="dxa"/>
              <w:end w:w="120" w:type="dxa"/>
            </w:tcMar>
            <w:shd w:fill="FFF8E6"/>
            <w:vAlign w:val="center"/>
          </w:tcPr>
          <w:p>
            <w:pPr>
              <w:spacing w:after="40"/>
            </w:pPr>
            <w:r>
              <w:rPr>
                <w:rFonts w:ascii="Calibri" w:hAnsi="Calibri"/>
                <w:b/>
                <w:color w:val="102A43"/>
              </w:rPr>
              <w:t>Important caution on data cleaning</w:t>
            </w:r>
          </w:p>
          <w:p>
            <w:pPr>
              <w:spacing w:after="0"/>
            </w:pPr>
            <w:r>
              <w:t>Only 1/16 posts is explicitly coded with Data Cleaning in the structured core-skill field. This is insufficient evidence to remove the competency: the field may under-capture wording that appears elsewhere in full adverts.</w:t>
            </w:r>
          </w:p>
        </w:tc>
      </w:tr>
    </w:tbl>
    <w:p>
      <w:pPr>
        <w:spacing w:after="0"/>
      </w:pPr>
    </w:p>
    <w:p>
      <w:r>
        <w:br w:type="page"/>
      </w:r>
    </w:p>
    <w:p>
      <w:pPr>
        <w:pStyle w:val="Heading1"/>
      </w:pPr>
      <w:r>
        <w:t>6. Cross-track comparison</w:t>
      </w:r>
    </w:p>
    <w:p>
      <w:pPr>
        <w:spacing w:after="60"/>
        <w:jc w:val="center"/>
      </w:pPr>
      <w:r>
        <w:drawing>
          <wp:inline xmlns:a="http://schemas.openxmlformats.org/drawingml/2006/main" xmlns:pic="http://schemas.openxmlformats.org/drawingml/2006/picture">
            <wp:extent cx="5943600" cy="2524324"/>
            <wp:docPr id="5" name="Picture 5"/>
            <wp:cNvGraphicFramePr>
              <a:graphicFrameLocks noChangeAspect="1"/>
            </wp:cNvGraphicFramePr>
            <a:graphic>
              <a:graphicData uri="http://schemas.openxmlformats.org/drawingml/2006/picture">
                <pic:pic>
                  <pic:nvPicPr>
                    <pic:cNvPr id="0" name="qualifications.png"/>
                    <pic:cNvPicPr/>
                  </pic:nvPicPr>
                  <pic:blipFill>
                    <a:blip r:embed="rId15"/>
                    <a:stretch>
                      <a:fillRect/>
                    </a:stretch>
                  </pic:blipFill>
                  <pic:spPr>
                    <a:xfrm>
                      <a:off x="0" y="0"/>
                      <a:ext cx="5943600" cy="2524324"/>
                    </a:xfrm>
                    <a:prstGeom prst="rect"/>
                  </pic:spPr>
                </pic:pic>
              </a:graphicData>
            </a:graphic>
          </wp:inline>
        </w:drawing>
      </w:r>
    </w:p>
    <w:p>
      <w:pPr>
        <w:spacing w:after="100"/>
        <w:jc w:val="center"/>
      </w:pPr>
      <w:r>
        <w:rPr>
          <w:rFonts w:ascii="Calibri" w:hAnsi="Calibri"/>
          <w:i/>
          <w:color w:val="52606D"/>
          <w:sz w:val="18"/>
        </w:rPr>
        <w:t>Figure 5. Qualification wording differs in degree, not direction.</w:t>
      </w:r>
    </w:p>
    <w:tbl>
      <w:tblPr>
        <w:tblStyle w:val="TableGrid"/>
        <w:tblW w:type="dxa" w:w="9360"/>
        <w:jc w:val="left"/>
        <w:tblLayout w:type="fixed"/>
        <w:tblLook w:firstColumn="1" w:firstRow="1" w:lastColumn="0" w:lastRow="0" w:noHBand="0" w:noVBand="1" w:val="04A0"/>
        <w:tblInd w:w="120" w:type="dxa"/>
      </w:tblPr>
      <w:tblGrid>
        <w:gridCol w:w="2736"/>
        <w:gridCol w:w="1800"/>
        <w:gridCol w:w="1800"/>
        <w:gridCol w:w="3024"/>
      </w:tblGrid>
      <w:tr>
        <w:trPr>
          <w:tblHeader w:val="true"/>
        </w:trPr>
        <w:tc>
          <w:tcPr>
            <w:tcW w:type="dxa" w:w="2736"/>
            <w:tcMar>
              <w:top w:w="80" w:type="dxa"/>
              <w:start w:w="120" w:type="dxa"/>
              <w:bottom w:w="80" w:type="dxa"/>
              <w:end w:w="120" w:type="dxa"/>
            </w:tcMar>
            <w:shd w:fill="102A43"/>
            <w:vAlign w:val="center"/>
          </w:tcPr>
          <w:p>
            <w:r>
              <w:rPr>
                <w:rFonts w:ascii="Calibri" w:hAnsi="Calibri"/>
                <w:b/>
                <w:color w:val="FFFFFF"/>
                <w:sz w:val="20"/>
              </w:rPr>
              <w:t>Comparable dimension</w:t>
            </w:r>
          </w:p>
        </w:tc>
        <w:tc>
          <w:tcPr>
            <w:tcW w:type="dxa" w:w="1800"/>
            <w:tcMar>
              <w:top w:w="80" w:type="dxa"/>
              <w:start w:w="120" w:type="dxa"/>
              <w:bottom w:w="80" w:type="dxa"/>
              <w:end w:w="120" w:type="dxa"/>
            </w:tcMar>
            <w:shd w:fill="102A43"/>
            <w:vAlign w:val="center"/>
          </w:tcPr>
          <w:p>
            <w:r>
              <w:rPr>
                <w:rFonts w:ascii="Calibri" w:hAnsi="Calibri"/>
                <w:b/>
                <w:color w:val="FFFFFF"/>
                <w:sz w:val="20"/>
              </w:rPr>
              <w:t>SE</w:t>
            </w:r>
          </w:p>
        </w:tc>
        <w:tc>
          <w:tcPr>
            <w:tcW w:type="dxa" w:w="1800"/>
            <w:tcMar>
              <w:top w:w="80" w:type="dxa"/>
              <w:start w:w="120" w:type="dxa"/>
              <w:bottom w:w="80" w:type="dxa"/>
              <w:end w:w="120" w:type="dxa"/>
            </w:tcMar>
            <w:shd w:fill="102A43"/>
            <w:vAlign w:val="center"/>
          </w:tcPr>
          <w:p>
            <w:r>
              <w:rPr>
                <w:rFonts w:ascii="Calibri" w:hAnsi="Calibri"/>
                <w:b/>
                <w:color w:val="FFFFFF"/>
                <w:sz w:val="20"/>
              </w:rPr>
              <w:t>DA</w:t>
            </w:r>
          </w:p>
        </w:tc>
        <w:tc>
          <w:tcPr>
            <w:tcW w:type="dxa" w:w="3024"/>
            <w:tcMar>
              <w:top w:w="80" w:type="dxa"/>
              <w:start w:w="120" w:type="dxa"/>
              <w:bottom w:w="80" w:type="dxa"/>
              <w:end w:w="120" w:type="dxa"/>
            </w:tcMar>
            <w:shd w:fill="102A43"/>
            <w:vAlign w:val="center"/>
          </w:tcPr>
          <w:p>
            <w:r>
              <w:rPr>
                <w:rFonts w:ascii="Calibri" w:hAnsi="Calibri"/>
                <w:b/>
                <w:color w:val="FFFFFF"/>
                <w:sz w:val="20"/>
              </w:rPr>
              <w:t>Meaning</w:t>
            </w:r>
          </w:p>
        </w:tc>
      </w:tr>
      <w:tr>
        <w:tc>
          <w:tcPr>
            <w:tcW w:type="dxa" w:w="2736"/>
            <w:vAlign w:val="top"/>
          </w:tcPr>
          <w:p>
            <w:pPr>
              <w:spacing w:after="40" w:line="252" w:lineRule="auto"/>
            </w:pPr>
            <w:r>
              <w:rPr>
                <w:rFonts w:ascii="Calibri" w:hAnsi="Calibri"/>
                <w:sz w:val="19"/>
              </w:rPr>
              <w:t>Degree required</w:t>
            </w:r>
          </w:p>
        </w:tc>
        <w:tc>
          <w:tcPr>
            <w:tcW w:type="dxa" w:w="1800"/>
            <w:vAlign w:val="top"/>
          </w:tcPr>
          <w:p>
            <w:pPr>
              <w:spacing w:after="40" w:line="252" w:lineRule="auto"/>
            </w:pPr>
            <w:r>
              <w:rPr>
                <w:rFonts w:ascii="Calibri" w:hAnsi="Calibri"/>
                <w:sz w:val="19"/>
              </w:rPr>
              <w:t>16/22 — 72.7%</w:t>
            </w:r>
          </w:p>
        </w:tc>
        <w:tc>
          <w:tcPr>
            <w:tcW w:type="dxa" w:w="1800"/>
            <w:vAlign w:val="top"/>
          </w:tcPr>
          <w:p>
            <w:pPr>
              <w:spacing w:after="40" w:line="252" w:lineRule="auto"/>
            </w:pPr>
            <w:r>
              <w:rPr>
                <w:rFonts w:ascii="Calibri" w:hAnsi="Calibri"/>
                <w:sz w:val="19"/>
              </w:rPr>
              <w:t>9/16 — 56.3%</w:t>
            </w:r>
          </w:p>
        </w:tc>
        <w:tc>
          <w:tcPr>
            <w:tcW w:type="dxa" w:w="3024"/>
            <w:vAlign w:val="top"/>
          </w:tcPr>
          <w:p>
            <w:pPr>
              <w:spacing w:after="40" w:line="252" w:lineRule="auto"/>
            </w:pPr>
            <w:r>
              <w:rPr>
                <w:rFonts w:ascii="Calibri" w:hAnsi="Calibri"/>
                <w:sz w:val="19"/>
              </w:rPr>
              <w:t>More prevalent in SE</w:t>
            </w:r>
          </w:p>
        </w:tc>
      </w:tr>
      <w:tr>
        <w:tc>
          <w:tcPr>
            <w:tcW w:type="dxa" w:w="2736"/>
            <w:vAlign w:val="top"/>
          </w:tcPr>
          <w:p>
            <w:pPr>
              <w:spacing w:after="40" w:line="252" w:lineRule="auto"/>
            </w:pPr>
            <w:r>
              <w:rPr>
                <w:rFonts w:ascii="Calibri" w:hAnsi="Calibri"/>
                <w:sz w:val="19"/>
              </w:rPr>
              <w:t>No qualification specified</w:t>
            </w:r>
          </w:p>
        </w:tc>
        <w:tc>
          <w:tcPr>
            <w:tcW w:type="dxa" w:w="1800"/>
            <w:vAlign w:val="top"/>
          </w:tcPr>
          <w:p>
            <w:pPr>
              <w:spacing w:after="40" w:line="252" w:lineRule="auto"/>
            </w:pPr>
            <w:r>
              <w:rPr>
                <w:rFonts w:ascii="Calibri" w:hAnsi="Calibri"/>
                <w:sz w:val="19"/>
              </w:rPr>
              <w:t>6/22 — 27.3%</w:t>
            </w:r>
          </w:p>
        </w:tc>
        <w:tc>
          <w:tcPr>
            <w:tcW w:type="dxa" w:w="1800"/>
            <w:vAlign w:val="top"/>
          </w:tcPr>
          <w:p>
            <w:pPr>
              <w:spacing w:after="40" w:line="252" w:lineRule="auto"/>
            </w:pPr>
            <w:r>
              <w:rPr>
                <w:rFonts w:ascii="Calibri" w:hAnsi="Calibri"/>
                <w:sz w:val="19"/>
              </w:rPr>
              <w:t>5/16 — 31.3%</w:t>
            </w:r>
          </w:p>
        </w:tc>
        <w:tc>
          <w:tcPr>
            <w:tcW w:type="dxa" w:w="3024"/>
            <w:vAlign w:val="top"/>
          </w:tcPr>
          <w:p>
            <w:pPr>
              <w:spacing w:after="40" w:line="252" w:lineRule="auto"/>
            </w:pPr>
            <w:r>
              <w:rPr>
                <w:rFonts w:ascii="Calibri" w:hAnsi="Calibri"/>
                <w:sz w:val="19"/>
              </w:rPr>
              <w:t>Meaningful minority in both</w:t>
            </w:r>
          </w:p>
        </w:tc>
      </w:tr>
      <w:tr>
        <w:tc>
          <w:tcPr>
            <w:tcW w:type="dxa" w:w="2736"/>
            <w:vAlign w:val="top"/>
          </w:tcPr>
          <w:p>
            <w:pPr>
              <w:spacing w:after="40" w:line="252" w:lineRule="auto"/>
            </w:pPr>
            <w:r>
              <w:rPr>
                <w:rFonts w:ascii="Calibri" w:hAnsi="Calibri"/>
                <w:sz w:val="19"/>
              </w:rPr>
              <w:t>Portfolio requested</w:t>
            </w:r>
          </w:p>
        </w:tc>
        <w:tc>
          <w:tcPr>
            <w:tcW w:type="dxa" w:w="1800"/>
            <w:vAlign w:val="top"/>
          </w:tcPr>
          <w:p>
            <w:pPr>
              <w:spacing w:after="40" w:line="252" w:lineRule="auto"/>
            </w:pPr>
            <w:r>
              <w:rPr>
                <w:rFonts w:ascii="Calibri" w:hAnsi="Calibri"/>
                <w:sz w:val="19"/>
              </w:rPr>
              <w:t>3/22 — 13.6%</w:t>
            </w:r>
          </w:p>
        </w:tc>
        <w:tc>
          <w:tcPr>
            <w:tcW w:type="dxa" w:w="1800"/>
            <w:vAlign w:val="top"/>
          </w:tcPr>
          <w:p>
            <w:pPr>
              <w:spacing w:after="40" w:line="252" w:lineRule="auto"/>
            </w:pPr>
            <w:r>
              <w:rPr>
                <w:rFonts w:ascii="Calibri" w:hAnsi="Calibri"/>
                <w:sz w:val="19"/>
              </w:rPr>
              <w:t>1/16 — 6.3%</w:t>
            </w:r>
          </w:p>
        </w:tc>
        <w:tc>
          <w:tcPr>
            <w:tcW w:type="dxa" w:w="3024"/>
            <w:vAlign w:val="top"/>
          </w:tcPr>
          <w:p>
            <w:pPr>
              <w:spacing w:after="40" w:line="252" w:lineRule="auto"/>
            </w:pPr>
            <w:r>
              <w:rPr>
                <w:rFonts w:ascii="Calibri" w:hAnsi="Calibri"/>
                <w:sz w:val="19"/>
              </w:rPr>
              <w:t>Rarely explicit</w:t>
            </w:r>
          </w:p>
        </w:tc>
      </w:tr>
      <w:tr>
        <w:tc>
          <w:tcPr>
            <w:tcW w:type="dxa" w:w="2736"/>
            <w:vAlign w:val="top"/>
          </w:tcPr>
          <w:p>
            <w:pPr>
              <w:spacing w:after="40" w:line="252" w:lineRule="auto"/>
            </w:pPr>
            <w:r>
              <w:rPr>
                <w:rFonts w:ascii="Calibri" w:hAnsi="Calibri"/>
                <w:sz w:val="19"/>
              </w:rPr>
              <w:t>Hybrid among known</w:t>
            </w:r>
          </w:p>
        </w:tc>
        <w:tc>
          <w:tcPr>
            <w:tcW w:type="dxa" w:w="1800"/>
            <w:vAlign w:val="top"/>
          </w:tcPr>
          <w:p>
            <w:pPr>
              <w:spacing w:after="40" w:line="252" w:lineRule="auto"/>
            </w:pPr>
            <w:r>
              <w:rPr>
                <w:rFonts w:ascii="Calibri" w:hAnsi="Calibri"/>
                <w:sz w:val="19"/>
              </w:rPr>
              <w:t>14/21 — 66.7%</w:t>
            </w:r>
          </w:p>
        </w:tc>
        <w:tc>
          <w:tcPr>
            <w:tcW w:type="dxa" w:w="1800"/>
            <w:vAlign w:val="top"/>
          </w:tcPr>
          <w:p>
            <w:pPr>
              <w:spacing w:after="40" w:line="252" w:lineRule="auto"/>
            </w:pPr>
            <w:r>
              <w:rPr>
                <w:rFonts w:ascii="Calibri" w:hAnsi="Calibri"/>
                <w:sz w:val="19"/>
              </w:rPr>
              <w:t>9/14 — 64.3%</w:t>
            </w:r>
          </w:p>
        </w:tc>
        <w:tc>
          <w:tcPr>
            <w:tcW w:type="dxa" w:w="3024"/>
            <w:vAlign w:val="top"/>
          </w:tcPr>
          <w:p>
            <w:pPr>
              <w:spacing w:after="40" w:line="252" w:lineRule="auto"/>
            </w:pPr>
            <w:r>
              <w:rPr>
                <w:rFonts w:ascii="Calibri" w:hAnsi="Calibri"/>
                <w:sz w:val="19"/>
              </w:rPr>
              <w:t>Near-identical pattern</w:t>
            </w:r>
          </w:p>
        </w:tc>
      </w:tr>
      <w:tr>
        <w:tc>
          <w:tcPr>
            <w:tcW w:type="dxa" w:w="2736"/>
            <w:vAlign w:val="top"/>
          </w:tcPr>
          <w:p>
            <w:pPr>
              <w:spacing w:after="40" w:line="252" w:lineRule="auto"/>
            </w:pPr>
            <w:r>
              <w:rPr>
                <w:rFonts w:ascii="Calibri" w:hAnsi="Calibri"/>
                <w:sz w:val="19"/>
              </w:rPr>
              <w:t>Remote among known</w:t>
            </w:r>
          </w:p>
        </w:tc>
        <w:tc>
          <w:tcPr>
            <w:tcW w:type="dxa" w:w="1800"/>
            <w:vAlign w:val="top"/>
          </w:tcPr>
          <w:p>
            <w:pPr>
              <w:spacing w:after="40" w:line="252" w:lineRule="auto"/>
            </w:pPr>
            <w:r>
              <w:rPr>
                <w:rFonts w:ascii="Calibri" w:hAnsi="Calibri"/>
                <w:sz w:val="19"/>
              </w:rPr>
              <w:t>2/21 — 9.5%</w:t>
            </w:r>
          </w:p>
        </w:tc>
        <w:tc>
          <w:tcPr>
            <w:tcW w:type="dxa" w:w="1800"/>
            <w:vAlign w:val="top"/>
          </w:tcPr>
          <w:p>
            <w:pPr>
              <w:spacing w:after="40" w:line="252" w:lineRule="auto"/>
            </w:pPr>
            <w:r>
              <w:rPr>
                <w:rFonts w:ascii="Calibri" w:hAnsi="Calibri"/>
                <w:sz w:val="19"/>
              </w:rPr>
              <w:t>1/14 — 7.1%</w:t>
            </w:r>
          </w:p>
        </w:tc>
        <w:tc>
          <w:tcPr>
            <w:tcW w:type="dxa" w:w="3024"/>
            <w:vAlign w:val="top"/>
          </w:tcPr>
          <w:p>
            <w:pPr>
              <w:spacing w:after="40" w:line="252" w:lineRule="auto"/>
            </w:pPr>
            <w:r>
              <w:rPr>
                <w:rFonts w:ascii="Calibri" w:hAnsi="Calibri"/>
                <w:sz w:val="19"/>
              </w:rPr>
              <w:t>Minority pattern</w:t>
            </w:r>
          </w:p>
        </w:tc>
      </w:tr>
    </w:tbl>
    <w:p>
      <w:pPr>
        <w:pStyle w:val="Heading2"/>
      </w:pPr>
      <w:r>
        <w:t>Skill combinations</w:t>
      </w:r>
    </w:p>
    <w:tbl>
      <w:tblPr>
        <w:tblStyle w:val="TableGrid"/>
        <w:tblW w:type="dxa" w:w="9360"/>
        <w:jc w:val="left"/>
        <w:tblLayout w:type="fixed"/>
        <w:tblLook w:firstColumn="1" w:firstRow="1" w:lastColumn="0" w:lastRow="0" w:noHBand="0" w:noVBand="1" w:val="04A0"/>
        <w:tblInd w:w="120" w:type="dxa"/>
      </w:tblPr>
      <w:tblGrid>
        <w:gridCol w:w="1008"/>
        <w:gridCol w:w="2448"/>
        <w:gridCol w:w="1152"/>
        <w:gridCol w:w="4752"/>
      </w:tblGrid>
      <w:tr>
        <w:trPr>
          <w:tblHeader w:val="true"/>
        </w:trPr>
        <w:tc>
          <w:tcPr>
            <w:tcW w:type="dxa" w:w="1008"/>
            <w:tcMar>
              <w:top w:w="80" w:type="dxa"/>
              <w:start w:w="120" w:type="dxa"/>
              <w:bottom w:w="80" w:type="dxa"/>
              <w:end w:w="120" w:type="dxa"/>
            </w:tcMar>
            <w:shd w:fill="102A43"/>
            <w:vAlign w:val="center"/>
          </w:tcPr>
          <w:p>
            <w:r>
              <w:rPr>
                <w:rFonts w:ascii="Calibri" w:hAnsi="Calibri"/>
                <w:b/>
                <w:color w:val="FFFFFF"/>
                <w:sz w:val="20"/>
              </w:rPr>
              <w:t>Track</w:t>
            </w:r>
          </w:p>
        </w:tc>
        <w:tc>
          <w:tcPr>
            <w:tcW w:type="dxa" w:w="2448"/>
            <w:tcMar>
              <w:top w:w="80" w:type="dxa"/>
              <w:start w:w="120" w:type="dxa"/>
              <w:bottom w:w="80" w:type="dxa"/>
              <w:end w:w="120" w:type="dxa"/>
            </w:tcMar>
            <w:shd w:fill="102A43"/>
            <w:vAlign w:val="center"/>
          </w:tcPr>
          <w:p>
            <w:r>
              <w:rPr>
                <w:rFonts w:ascii="Calibri" w:hAnsi="Calibri"/>
                <w:b/>
                <w:color w:val="FFFFFF"/>
                <w:sz w:val="20"/>
              </w:rPr>
              <w:t>Pair</w:t>
            </w:r>
          </w:p>
        </w:tc>
        <w:tc>
          <w:tcPr>
            <w:tcW w:type="dxa" w:w="1152"/>
            <w:tcMar>
              <w:top w:w="80" w:type="dxa"/>
              <w:start w:w="120" w:type="dxa"/>
              <w:bottom w:w="80" w:type="dxa"/>
              <w:end w:w="120" w:type="dxa"/>
            </w:tcMar>
            <w:shd w:fill="102A43"/>
            <w:vAlign w:val="center"/>
          </w:tcPr>
          <w:p>
            <w:r>
              <w:rPr>
                <w:rFonts w:ascii="Calibri" w:hAnsi="Calibri"/>
                <w:b/>
                <w:color w:val="FFFFFF"/>
                <w:sz w:val="20"/>
              </w:rPr>
              <w:t>Posts</w:t>
            </w:r>
          </w:p>
        </w:tc>
        <w:tc>
          <w:tcPr>
            <w:tcW w:type="dxa" w:w="4752"/>
            <w:tcMar>
              <w:top w:w="80" w:type="dxa"/>
              <w:start w:w="120" w:type="dxa"/>
              <w:bottom w:w="80" w:type="dxa"/>
              <w:end w:w="120" w:type="dxa"/>
            </w:tcMar>
            <w:shd w:fill="102A43"/>
            <w:vAlign w:val="center"/>
          </w:tcPr>
          <w:p>
            <w:r>
              <w:rPr>
                <w:rFonts w:ascii="Calibri" w:hAnsi="Calibri"/>
                <w:b/>
                <w:color w:val="FFFFFF"/>
                <w:sz w:val="20"/>
              </w:rPr>
              <w:t>Interpretation</w:t>
            </w:r>
          </w:p>
        </w:tc>
      </w:tr>
      <w:tr>
        <w:tc>
          <w:tcPr>
            <w:tcW w:type="dxa" w:w="1008"/>
            <w:vAlign w:val="top"/>
          </w:tcPr>
          <w:p>
            <w:pPr>
              <w:spacing w:after="40" w:line="252" w:lineRule="auto"/>
            </w:pPr>
            <w:r>
              <w:rPr>
                <w:rFonts w:ascii="Calibri" w:hAnsi="Calibri"/>
                <w:sz w:val="19"/>
              </w:rPr>
              <w:t>SE</w:t>
            </w:r>
          </w:p>
        </w:tc>
        <w:tc>
          <w:tcPr>
            <w:tcW w:type="dxa" w:w="2448"/>
            <w:vAlign w:val="top"/>
          </w:tcPr>
          <w:p>
            <w:pPr>
              <w:spacing w:after="40" w:line="252" w:lineRule="auto"/>
            </w:pPr>
            <w:r>
              <w:rPr>
                <w:rFonts w:ascii="Calibri" w:hAnsi="Calibri"/>
                <w:sz w:val="19"/>
              </w:rPr>
              <w:t>.NET + C#</w:t>
            </w:r>
          </w:p>
        </w:tc>
        <w:tc>
          <w:tcPr>
            <w:tcW w:type="dxa" w:w="1152"/>
            <w:vAlign w:val="top"/>
          </w:tcPr>
          <w:p>
            <w:pPr>
              <w:spacing w:after="40" w:line="252" w:lineRule="auto"/>
            </w:pPr>
            <w:r>
              <w:rPr>
                <w:rFonts w:ascii="Calibri" w:hAnsi="Calibri"/>
                <w:sz w:val="19"/>
              </w:rPr>
              <w:t>10/22</w:t>
            </w:r>
          </w:p>
        </w:tc>
        <w:tc>
          <w:tcPr>
            <w:tcW w:type="dxa" w:w="4752"/>
            <w:vAlign w:val="top"/>
          </w:tcPr>
          <w:p>
            <w:pPr>
              <w:spacing w:after="40" w:line="252" w:lineRule="auto"/>
            </w:pPr>
            <w:r>
              <w:rPr>
                <w:rFonts w:ascii="Calibri" w:hAnsi="Calibri"/>
                <w:sz w:val="19"/>
              </w:rPr>
              <w:t>Most repeated SE pair</w:t>
            </w:r>
          </w:p>
        </w:tc>
      </w:tr>
      <w:tr>
        <w:tc>
          <w:tcPr>
            <w:tcW w:type="dxa" w:w="1008"/>
            <w:vAlign w:val="top"/>
          </w:tcPr>
          <w:p>
            <w:pPr>
              <w:spacing w:after="40" w:line="252" w:lineRule="auto"/>
            </w:pPr>
            <w:r>
              <w:rPr>
                <w:rFonts w:ascii="Calibri" w:hAnsi="Calibri"/>
                <w:sz w:val="19"/>
              </w:rPr>
              <w:t>SE</w:t>
            </w:r>
          </w:p>
        </w:tc>
        <w:tc>
          <w:tcPr>
            <w:tcW w:type="dxa" w:w="2448"/>
            <w:vAlign w:val="top"/>
          </w:tcPr>
          <w:p>
            <w:pPr>
              <w:spacing w:after="40" w:line="252" w:lineRule="auto"/>
            </w:pPr>
            <w:r>
              <w:rPr>
                <w:rFonts w:ascii="Calibri" w:hAnsi="Calibri"/>
                <w:sz w:val="19"/>
              </w:rPr>
              <w:t>HTML/CSS + JavaScript</w:t>
            </w:r>
          </w:p>
        </w:tc>
        <w:tc>
          <w:tcPr>
            <w:tcW w:type="dxa" w:w="1152"/>
            <w:vAlign w:val="top"/>
          </w:tcPr>
          <w:p>
            <w:pPr>
              <w:spacing w:after="40" w:line="252" w:lineRule="auto"/>
            </w:pPr>
            <w:r>
              <w:rPr>
                <w:rFonts w:ascii="Calibri" w:hAnsi="Calibri"/>
                <w:sz w:val="19"/>
              </w:rPr>
              <w:t>9/22</w:t>
            </w:r>
          </w:p>
        </w:tc>
        <w:tc>
          <w:tcPr>
            <w:tcW w:type="dxa" w:w="4752"/>
            <w:vAlign w:val="top"/>
          </w:tcPr>
          <w:p>
            <w:pPr>
              <w:spacing w:after="40" w:line="252" w:lineRule="auto"/>
            </w:pPr>
            <w:r>
              <w:rPr>
                <w:rFonts w:ascii="Calibri" w:hAnsi="Calibri"/>
                <w:sz w:val="19"/>
              </w:rPr>
              <w:t>Common web foundation</w:t>
            </w:r>
          </w:p>
        </w:tc>
      </w:tr>
      <w:tr>
        <w:tc>
          <w:tcPr>
            <w:tcW w:type="dxa" w:w="1008"/>
            <w:vAlign w:val="top"/>
          </w:tcPr>
          <w:p>
            <w:pPr>
              <w:spacing w:after="40" w:line="252" w:lineRule="auto"/>
            </w:pPr>
            <w:r>
              <w:rPr>
                <w:rFonts w:ascii="Calibri" w:hAnsi="Calibri"/>
                <w:sz w:val="19"/>
              </w:rPr>
              <w:t>SE</w:t>
            </w:r>
          </w:p>
        </w:tc>
        <w:tc>
          <w:tcPr>
            <w:tcW w:type="dxa" w:w="2448"/>
            <w:vAlign w:val="top"/>
          </w:tcPr>
          <w:p>
            <w:pPr>
              <w:spacing w:after="40" w:line="252" w:lineRule="auto"/>
            </w:pPr>
            <w:r>
              <w:rPr>
                <w:rFonts w:ascii="Calibri" w:hAnsi="Calibri"/>
                <w:sz w:val="19"/>
              </w:rPr>
              <w:t>Git/GitHub + SQL</w:t>
            </w:r>
          </w:p>
        </w:tc>
        <w:tc>
          <w:tcPr>
            <w:tcW w:type="dxa" w:w="1152"/>
            <w:vAlign w:val="top"/>
          </w:tcPr>
          <w:p>
            <w:pPr>
              <w:spacing w:after="40" w:line="252" w:lineRule="auto"/>
            </w:pPr>
            <w:r>
              <w:rPr>
                <w:rFonts w:ascii="Calibri" w:hAnsi="Calibri"/>
                <w:sz w:val="19"/>
              </w:rPr>
              <w:t>9/22</w:t>
            </w:r>
          </w:p>
        </w:tc>
        <w:tc>
          <w:tcPr>
            <w:tcW w:type="dxa" w:w="4752"/>
            <w:vAlign w:val="top"/>
          </w:tcPr>
          <w:p>
            <w:pPr>
              <w:spacing w:after="40" w:line="252" w:lineRule="auto"/>
            </w:pPr>
            <w:r>
              <w:rPr>
                <w:rFonts w:ascii="Calibri" w:hAnsi="Calibri"/>
                <w:sz w:val="19"/>
              </w:rPr>
              <w:t>Version control and data access often coexist</w:t>
            </w:r>
          </w:p>
        </w:tc>
      </w:tr>
      <w:tr>
        <w:tc>
          <w:tcPr>
            <w:tcW w:type="dxa" w:w="1008"/>
            <w:vAlign w:val="top"/>
          </w:tcPr>
          <w:p>
            <w:pPr>
              <w:spacing w:after="40" w:line="252" w:lineRule="auto"/>
            </w:pPr>
            <w:r>
              <w:rPr>
                <w:rFonts w:ascii="Calibri" w:hAnsi="Calibri"/>
                <w:sz w:val="19"/>
              </w:rPr>
              <w:t>DA</w:t>
            </w:r>
          </w:p>
        </w:tc>
        <w:tc>
          <w:tcPr>
            <w:tcW w:type="dxa" w:w="2448"/>
            <w:vAlign w:val="top"/>
          </w:tcPr>
          <w:p>
            <w:pPr>
              <w:spacing w:after="40" w:line="252" w:lineRule="auto"/>
            </w:pPr>
            <w:r>
              <w:rPr>
                <w:rFonts w:ascii="Calibri" w:hAnsi="Calibri"/>
                <w:sz w:val="19"/>
              </w:rPr>
              <w:t>Power BI + SQL</w:t>
            </w:r>
          </w:p>
        </w:tc>
        <w:tc>
          <w:tcPr>
            <w:tcW w:type="dxa" w:w="1152"/>
            <w:vAlign w:val="top"/>
          </w:tcPr>
          <w:p>
            <w:pPr>
              <w:spacing w:after="40" w:line="252" w:lineRule="auto"/>
            </w:pPr>
            <w:r>
              <w:rPr>
                <w:rFonts w:ascii="Calibri" w:hAnsi="Calibri"/>
                <w:sz w:val="19"/>
              </w:rPr>
              <w:t>11/16</w:t>
            </w:r>
          </w:p>
        </w:tc>
        <w:tc>
          <w:tcPr>
            <w:tcW w:type="dxa" w:w="4752"/>
            <w:vAlign w:val="top"/>
          </w:tcPr>
          <w:p>
            <w:pPr>
              <w:spacing w:after="40" w:line="252" w:lineRule="auto"/>
            </w:pPr>
            <w:r>
              <w:rPr>
                <w:rFonts w:ascii="Calibri" w:hAnsi="Calibri"/>
                <w:sz w:val="19"/>
              </w:rPr>
              <w:t>Dominant DA combination</w:t>
            </w:r>
          </w:p>
        </w:tc>
      </w:tr>
      <w:tr>
        <w:tc>
          <w:tcPr>
            <w:tcW w:type="dxa" w:w="1008"/>
            <w:vAlign w:val="top"/>
          </w:tcPr>
          <w:p>
            <w:pPr>
              <w:spacing w:after="40" w:line="252" w:lineRule="auto"/>
            </w:pPr>
            <w:r>
              <w:rPr>
                <w:rFonts w:ascii="Calibri" w:hAnsi="Calibri"/>
                <w:sz w:val="19"/>
              </w:rPr>
              <w:t>DA</w:t>
            </w:r>
          </w:p>
        </w:tc>
        <w:tc>
          <w:tcPr>
            <w:tcW w:type="dxa" w:w="2448"/>
            <w:vAlign w:val="top"/>
          </w:tcPr>
          <w:p>
            <w:pPr>
              <w:spacing w:after="40" w:line="252" w:lineRule="auto"/>
            </w:pPr>
            <w:r>
              <w:rPr>
                <w:rFonts w:ascii="Calibri" w:hAnsi="Calibri"/>
                <w:sz w:val="19"/>
              </w:rPr>
              <w:t>Excel + Power BI</w:t>
            </w:r>
          </w:p>
        </w:tc>
        <w:tc>
          <w:tcPr>
            <w:tcW w:type="dxa" w:w="1152"/>
            <w:vAlign w:val="top"/>
          </w:tcPr>
          <w:p>
            <w:pPr>
              <w:spacing w:after="40" w:line="252" w:lineRule="auto"/>
            </w:pPr>
            <w:r>
              <w:rPr>
                <w:rFonts w:ascii="Calibri" w:hAnsi="Calibri"/>
                <w:sz w:val="19"/>
              </w:rPr>
              <w:t>9/16</w:t>
            </w:r>
          </w:p>
        </w:tc>
        <w:tc>
          <w:tcPr>
            <w:tcW w:type="dxa" w:w="4752"/>
            <w:vAlign w:val="top"/>
          </w:tcPr>
          <w:p>
            <w:pPr>
              <w:spacing w:after="40" w:line="252" w:lineRule="auto"/>
            </w:pPr>
            <w:r>
              <w:rPr>
                <w:rFonts w:ascii="Calibri" w:hAnsi="Calibri"/>
                <w:sz w:val="19"/>
              </w:rPr>
              <w:t>Spreadsheet-to-dashboard pathway</w:t>
            </w:r>
          </w:p>
        </w:tc>
      </w:tr>
      <w:tr>
        <w:tc>
          <w:tcPr>
            <w:tcW w:type="dxa" w:w="1008"/>
            <w:vAlign w:val="top"/>
          </w:tcPr>
          <w:p>
            <w:pPr>
              <w:spacing w:after="40" w:line="252" w:lineRule="auto"/>
            </w:pPr>
            <w:r>
              <w:rPr>
                <w:rFonts w:ascii="Calibri" w:hAnsi="Calibri"/>
                <w:sz w:val="19"/>
              </w:rPr>
              <w:t>DA</w:t>
            </w:r>
          </w:p>
        </w:tc>
        <w:tc>
          <w:tcPr>
            <w:tcW w:type="dxa" w:w="2448"/>
            <w:vAlign w:val="top"/>
          </w:tcPr>
          <w:p>
            <w:pPr>
              <w:spacing w:after="40" w:line="252" w:lineRule="auto"/>
            </w:pPr>
            <w:r>
              <w:rPr>
                <w:rFonts w:ascii="Calibri" w:hAnsi="Calibri"/>
                <w:sz w:val="19"/>
              </w:rPr>
              <w:t>Python + SQL</w:t>
            </w:r>
          </w:p>
        </w:tc>
        <w:tc>
          <w:tcPr>
            <w:tcW w:type="dxa" w:w="1152"/>
            <w:vAlign w:val="top"/>
          </w:tcPr>
          <w:p>
            <w:pPr>
              <w:spacing w:after="40" w:line="252" w:lineRule="auto"/>
            </w:pPr>
            <w:r>
              <w:rPr>
                <w:rFonts w:ascii="Calibri" w:hAnsi="Calibri"/>
                <w:sz w:val="19"/>
              </w:rPr>
              <w:t>7/16</w:t>
            </w:r>
          </w:p>
        </w:tc>
        <w:tc>
          <w:tcPr>
            <w:tcW w:type="dxa" w:w="4752"/>
            <w:vAlign w:val="top"/>
          </w:tcPr>
          <w:p>
            <w:pPr>
              <w:spacing w:after="40" w:line="252" w:lineRule="auto"/>
            </w:pPr>
            <w:r>
              <w:rPr>
                <w:rFonts w:ascii="Calibri" w:hAnsi="Calibri"/>
                <w:sz w:val="19"/>
              </w:rPr>
              <w:t>Technical analysis pathway</w:t>
            </w:r>
          </w:p>
        </w:tc>
      </w:tr>
    </w:tbl>
    <w:p>
      <w:r>
        <w:br w:type="page"/>
      </w:r>
    </w:p>
    <w:p>
      <w:pPr>
        <w:pStyle w:val="Heading1"/>
      </w:pPr>
      <w:r>
        <w:t>7. Soft skills and readiness signals</w:t>
      </w:r>
    </w:p>
    <w:p>
      <w:r>
        <w:t>Themes were counted at post level. A post counts once per theme even when several phrases map to that theme. Original phrases and mappings remain available in the analysis workbook.</w:t>
      </w:r>
    </w:p>
    <w:p>
      <w:pPr>
        <w:spacing w:after="60"/>
        <w:jc w:val="center"/>
      </w:pPr>
      <w:r>
        <w:drawing>
          <wp:inline xmlns:a="http://schemas.openxmlformats.org/drawingml/2006/main" xmlns:pic="http://schemas.openxmlformats.org/drawingml/2006/picture">
            <wp:extent cx="5943600" cy="2524324"/>
            <wp:docPr id="6" name="Picture 6"/>
            <wp:cNvGraphicFramePr>
              <a:graphicFrameLocks noChangeAspect="1"/>
            </wp:cNvGraphicFramePr>
            <a:graphic>
              <a:graphicData uri="http://schemas.openxmlformats.org/drawingml/2006/picture">
                <pic:pic>
                  <pic:nvPicPr>
                    <pic:cNvPr id="0" name="themes.png"/>
                    <pic:cNvPicPr/>
                  </pic:nvPicPr>
                  <pic:blipFill>
                    <a:blip r:embed="rId16"/>
                    <a:stretch>
                      <a:fillRect/>
                    </a:stretch>
                  </pic:blipFill>
                  <pic:spPr>
                    <a:xfrm>
                      <a:off x="0" y="0"/>
                      <a:ext cx="5943600" cy="2524324"/>
                    </a:xfrm>
                    <a:prstGeom prst="rect"/>
                  </pic:spPr>
                </pic:pic>
              </a:graphicData>
            </a:graphic>
          </wp:inline>
        </w:drawing>
      </w:r>
    </w:p>
    <w:p>
      <w:pPr>
        <w:spacing w:after="100"/>
        <w:jc w:val="center"/>
      </w:pPr>
      <w:r>
        <w:rPr>
          <w:rFonts w:ascii="Calibri" w:hAnsi="Calibri"/>
          <w:i/>
          <w:color w:val="52606D"/>
          <w:sz w:val="18"/>
        </w:rPr>
        <w:t>Figure 6. Counts represent posts with at least one coded phrase in the theme.</w:t>
      </w:r>
    </w:p>
    <w:tbl>
      <w:tblPr>
        <w:tblStyle w:val="TableGrid"/>
        <w:tblW w:type="dxa" w:w="9360"/>
        <w:jc w:val="left"/>
        <w:tblLayout w:type="fixed"/>
        <w:tblLook w:firstColumn="1" w:firstRow="1" w:lastColumn="0" w:lastRow="0" w:noHBand="0" w:noVBand="1" w:val="04A0"/>
        <w:tblInd w:w="120" w:type="dxa"/>
      </w:tblPr>
      <w:tblGrid>
        <w:gridCol w:w="3744"/>
        <w:gridCol w:w="2808"/>
        <w:gridCol w:w="2808"/>
      </w:tblGrid>
      <w:tr>
        <w:trPr>
          <w:tblHeader w:val="true"/>
        </w:trPr>
        <w:tc>
          <w:tcPr>
            <w:tcW w:type="dxa" w:w="3744"/>
            <w:tcMar>
              <w:top w:w="80" w:type="dxa"/>
              <w:start w:w="120" w:type="dxa"/>
              <w:bottom w:w="80" w:type="dxa"/>
              <w:end w:w="120" w:type="dxa"/>
            </w:tcMar>
            <w:shd w:fill="102A43"/>
            <w:vAlign w:val="center"/>
          </w:tcPr>
          <w:p>
            <w:r>
              <w:rPr>
                <w:rFonts w:ascii="Calibri" w:hAnsi="Calibri"/>
                <w:b/>
                <w:color w:val="FFFFFF"/>
                <w:sz w:val="20"/>
              </w:rPr>
              <w:t>Theme</w:t>
            </w:r>
          </w:p>
        </w:tc>
        <w:tc>
          <w:tcPr>
            <w:tcW w:type="dxa" w:w="2808"/>
            <w:tcMar>
              <w:top w:w="80" w:type="dxa"/>
              <w:start w:w="120" w:type="dxa"/>
              <w:bottom w:w="80" w:type="dxa"/>
              <w:end w:w="120" w:type="dxa"/>
            </w:tcMar>
            <w:shd w:fill="102A43"/>
            <w:vAlign w:val="center"/>
          </w:tcPr>
          <w:p>
            <w:r>
              <w:rPr>
                <w:rFonts w:ascii="Calibri" w:hAnsi="Calibri"/>
                <w:b/>
                <w:color w:val="FFFFFF"/>
                <w:sz w:val="20"/>
              </w:rPr>
              <w:t>SE</w:t>
            </w:r>
          </w:p>
        </w:tc>
        <w:tc>
          <w:tcPr>
            <w:tcW w:type="dxa" w:w="2808"/>
            <w:tcMar>
              <w:top w:w="80" w:type="dxa"/>
              <w:start w:w="120" w:type="dxa"/>
              <w:bottom w:w="80" w:type="dxa"/>
              <w:end w:w="120" w:type="dxa"/>
            </w:tcMar>
            <w:shd w:fill="102A43"/>
            <w:vAlign w:val="center"/>
          </w:tcPr>
          <w:p>
            <w:r>
              <w:rPr>
                <w:rFonts w:ascii="Calibri" w:hAnsi="Calibri"/>
                <w:b/>
                <w:color w:val="FFFFFF"/>
                <w:sz w:val="20"/>
              </w:rPr>
              <w:t>DA</w:t>
            </w:r>
          </w:p>
        </w:tc>
      </w:tr>
      <w:tr>
        <w:tc>
          <w:tcPr>
            <w:tcW w:type="dxa" w:w="3744"/>
            <w:vAlign w:val="top"/>
          </w:tcPr>
          <w:p>
            <w:pPr>
              <w:spacing w:after="40" w:line="252" w:lineRule="auto"/>
            </w:pPr>
            <w:r>
              <w:rPr>
                <w:rFonts w:ascii="Calibri" w:hAnsi="Calibri"/>
                <w:sz w:val="19"/>
              </w:rPr>
              <w:t>Collaboration</w:t>
            </w:r>
          </w:p>
        </w:tc>
        <w:tc>
          <w:tcPr>
            <w:tcW w:type="dxa" w:w="2808"/>
            <w:vAlign w:val="top"/>
          </w:tcPr>
          <w:p>
            <w:pPr>
              <w:spacing w:after="40" w:line="252" w:lineRule="auto"/>
            </w:pPr>
            <w:r>
              <w:rPr>
                <w:rFonts w:ascii="Calibri" w:hAnsi="Calibri"/>
                <w:sz w:val="19"/>
              </w:rPr>
              <w:t>17/22 — 77.3%</w:t>
            </w:r>
          </w:p>
        </w:tc>
        <w:tc>
          <w:tcPr>
            <w:tcW w:type="dxa" w:w="2808"/>
            <w:vAlign w:val="top"/>
          </w:tcPr>
          <w:p>
            <w:pPr>
              <w:spacing w:after="40" w:line="252" w:lineRule="auto"/>
            </w:pPr>
            <w:r>
              <w:rPr>
                <w:rFonts w:ascii="Calibri" w:hAnsi="Calibri"/>
                <w:sz w:val="19"/>
              </w:rPr>
              <w:t>8/16 — 50.0%</w:t>
            </w:r>
          </w:p>
        </w:tc>
      </w:tr>
      <w:tr>
        <w:tc>
          <w:tcPr>
            <w:tcW w:type="dxa" w:w="3744"/>
            <w:vAlign w:val="top"/>
          </w:tcPr>
          <w:p>
            <w:pPr>
              <w:spacing w:after="40" w:line="252" w:lineRule="auto"/>
            </w:pPr>
            <w:r>
              <w:rPr>
                <w:rFonts w:ascii="Calibri" w:hAnsi="Calibri"/>
                <w:sz w:val="19"/>
              </w:rPr>
              <w:t>Problem-solving</w:t>
            </w:r>
          </w:p>
        </w:tc>
        <w:tc>
          <w:tcPr>
            <w:tcW w:type="dxa" w:w="2808"/>
            <w:vAlign w:val="top"/>
          </w:tcPr>
          <w:p>
            <w:pPr>
              <w:spacing w:after="40" w:line="252" w:lineRule="auto"/>
            </w:pPr>
            <w:r>
              <w:rPr>
                <w:rFonts w:ascii="Calibri" w:hAnsi="Calibri"/>
                <w:sz w:val="19"/>
              </w:rPr>
              <w:t>11/22 — 50.0%</w:t>
            </w:r>
          </w:p>
        </w:tc>
        <w:tc>
          <w:tcPr>
            <w:tcW w:type="dxa" w:w="2808"/>
            <w:vAlign w:val="top"/>
          </w:tcPr>
          <w:p>
            <w:pPr>
              <w:spacing w:after="40" w:line="252" w:lineRule="auto"/>
            </w:pPr>
            <w:r>
              <w:rPr>
                <w:rFonts w:ascii="Calibri" w:hAnsi="Calibri"/>
                <w:sz w:val="19"/>
              </w:rPr>
              <w:t>9/16 — 56.2%</w:t>
            </w:r>
          </w:p>
        </w:tc>
      </w:tr>
      <w:tr>
        <w:tc>
          <w:tcPr>
            <w:tcW w:type="dxa" w:w="3744"/>
            <w:vAlign w:val="top"/>
          </w:tcPr>
          <w:p>
            <w:pPr>
              <w:spacing w:after="40" w:line="252" w:lineRule="auto"/>
            </w:pPr>
            <w:r>
              <w:rPr>
                <w:rFonts w:ascii="Calibri" w:hAnsi="Calibri"/>
                <w:sz w:val="19"/>
              </w:rPr>
              <w:t>Attention to detail</w:t>
            </w:r>
          </w:p>
        </w:tc>
        <w:tc>
          <w:tcPr>
            <w:tcW w:type="dxa" w:w="2808"/>
            <w:vAlign w:val="top"/>
          </w:tcPr>
          <w:p>
            <w:pPr>
              <w:spacing w:after="40" w:line="252" w:lineRule="auto"/>
            </w:pPr>
            <w:r>
              <w:rPr>
                <w:rFonts w:ascii="Calibri" w:hAnsi="Calibri"/>
                <w:sz w:val="19"/>
              </w:rPr>
              <w:t>5/22 — 22.7%</w:t>
            </w:r>
          </w:p>
        </w:tc>
        <w:tc>
          <w:tcPr>
            <w:tcW w:type="dxa" w:w="2808"/>
            <w:vAlign w:val="top"/>
          </w:tcPr>
          <w:p>
            <w:pPr>
              <w:spacing w:after="40" w:line="252" w:lineRule="auto"/>
            </w:pPr>
            <w:r>
              <w:rPr>
                <w:rFonts w:ascii="Calibri" w:hAnsi="Calibri"/>
                <w:sz w:val="19"/>
              </w:rPr>
              <w:t>8/16 — 50.0%</w:t>
            </w:r>
          </w:p>
        </w:tc>
      </w:tr>
      <w:tr>
        <w:tc>
          <w:tcPr>
            <w:tcW w:type="dxa" w:w="3744"/>
            <w:vAlign w:val="top"/>
          </w:tcPr>
          <w:p>
            <w:pPr>
              <w:spacing w:after="40" w:line="252" w:lineRule="auto"/>
            </w:pPr>
            <w:r>
              <w:rPr>
                <w:rFonts w:ascii="Calibri" w:hAnsi="Calibri"/>
                <w:sz w:val="19"/>
              </w:rPr>
              <w:t>Self-management</w:t>
            </w:r>
          </w:p>
        </w:tc>
        <w:tc>
          <w:tcPr>
            <w:tcW w:type="dxa" w:w="2808"/>
            <w:vAlign w:val="top"/>
          </w:tcPr>
          <w:p>
            <w:pPr>
              <w:spacing w:after="40" w:line="252" w:lineRule="auto"/>
            </w:pPr>
            <w:r>
              <w:rPr>
                <w:rFonts w:ascii="Calibri" w:hAnsi="Calibri"/>
                <w:sz w:val="19"/>
              </w:rPr>
              <w:t>5/22 — 22.7%</w:t>
            </w:r>
          </w:p>
        </w:tc>
        <w:tc>
          <w:tcPr>
            <w:tcW w:type="dxa" w:w="2808"/>
            <w:vAlign w:val="top"/>
          </w:tcPr>
          <w:p>
            <w:pPr>
              <w:spacing w:after="40" w:line="252" w:lineRule="auto"/>
            </w:pPr>
            <w:r>
              <w:rPr>
                <w:rFonts w:ascii="Calibri" w:hAnsi="Calibri"/>
                <w:sz w:val="19"/>
              </w:rPr>
              <w:t>6/16 — 37.5%</w:t>
            </w:r>
          </w:p>
        </w:tc>
      </w:tr>
      <w:tr>
        <w:tc>
          <w:tcPr>
            <w:tcW w:type="dxa" w:w="3744"/>
            <w:vAlign w:val="top"/>
          </w:tcPr>
          <w:p>
            <w:pPr>
              <w:spacing w:after="40" w:line="252" w:lineRule="auto"/>
            </w:pPr>
            <w:r>
              <w:rPr>
                <w:rFonts w:ascii="Calibri" w:hAnsi="Calibri"/>
                <w:sz w:val="19"/>
              </w:rPr>
              <w:t>Communication</w:t>
            </w:r>
          </w:p>
        </w:tc>
        <w:tc>
          <w:tcPr>
            <w:tcW w:type="dxa" w:w="2808"/>
            <w:vAlign w:val="top"/>
          </w:tcPr>
          <w:p>
            <w:pPr>
              <w:spacing w:after="40" w:line="252" w:lineRule="auto"/>
            </w:pPr>
            <w:r>
              <w:rPr>
                <w:rFonts w:ascii="Calibri" w:hAnsi="Calibri"/>
                <w:sz w:val="19"/>
              </w:rPr>
              <w:t>5/22 — 22.7%</w:t>
            </w:r>
          </w:p>
        </w:tc>
        <w:tc>
          <w:tcPr>
            <w:tcW w:type="dxa" w:w="2808"/>
            <w:vAlign w:val="top"/>
          </w:tcPr>
          <w:p>
            <w:pPr>
              <w:spacing w:after="40" w:line="252" w:lineRule="auto"/>
            </w:pPr>
            <w:r>
              <w:rPr>
                <w:rFonts w:ascii="Calibri" w:hAnsi="Calibri"/>
                <w:sz w:val="19"/>
              </w:rPr>
              <w:t>4/16 — 25.0%</w:t>
            </w:r>
          </w:p>
        </w:tc>
      </w:tr>
      <w:tr>
        <w:tc>
          <w:tcPr>
            <w:tcW w:type="dxa" w:w="3744"/>
            <w:vAlign w:val="top"/>
          </w:tcPr>
          <w:p>
            <w:pPr>
              <w:spacing w:after="40" w:line="252" w:lineRule="auto"/>
            </w:pPr>
            <w:r>
              <w:rPr>
                <w:rFonts w:ascii="Calibri" w:hAnsi="Calibri"/>
                <w:sz w:val="19"/>
              </w:rPr>
              <w:t>Learning and initiative</w:t>
            </w:r>
          </w:p>
        </w:tc>
        <w:tc>
          <w:tcPr>
            <w:tcW w:type="dxa" w:w="2808"/>
            <w:vAlign w:val="top"/>
          </w:tcPr>
          <w:p>
            <w:pPr>
              <w:spacing w:after="40" w:line="252" w:lineRule="auto"/>
            </w:pPr>
            <w:r>
              <w:rPr>
                <w:rFonts w:ascii="Calibri" w:hAnsi="Calibri"/>
                <w:sz w:val="19"/>
              </w:rPr>
              <w:t>6/22 — 27.3%</w:t>
            </w:r>
          </w:p>
        </w:tc>
        <w:tc>
          <w:tcPr>
            <w:tcW w:type="dxa" w:w="2808"/>
            <w:vAlign w:val="top"/>
          </w:tcPr>
          <w:p>
            <w:pPr>
              <w:spacing w:after="40" w:line="252" w:lineRule="auto"/>
            </w:pPr>
            <w:r>
              <w:rPr>
                <w:rFonts w:ascii="Calibri" w:hAnsi="Calibri"/>
                <w:sz w:val="19"/>
              </w:rPr>
              <w:t>2/16 — 12.5%</w:t>
            </w:r>
          </w:p>
        </w:tc>
      </w:tr>
    </w:tbl>
    <w:tbl>
      <w:tblPr>
        <w:tblW w:type="dxa" w:w="9360"/>
        <w:jc w:val="left"/>
        <w:tblLayout w:type="fixed"/>
        <w:tblLook w:firstColumn="1" w:firstRow="1" w:lastColumn="0" w:lastRow="0" w:noHBand="0" w:noVBand="1" w:val="04A0"/>
        <w:tblInd w:w="120" w:type="dxa"/>
      </w:tblPr>
      <w:tblGrid>
        <w:gridCol w:w="173"/>
        <w:gridCol w:w="9187"/>
      </w:tblGrid>
      <w:tr>
        <w:tc>
          <w:tcPr>
            <w:tcW w:type="dxa" w:w="173"/>
            <w:tcMar>
              <w:top w:w="80" w:type="dxa"/>
              <w:start w:w="120" w:type="dxa"/>
              <w:bottom w:w="80" w:type="dxa"/>
              <w:end w:w="120" w:type="dxa"/>
            </w:tcMar>
            <w:shd w:fill="6B46C1"/>
          </w:tcPr>
          <w:p>
            <w:r/>
          </w:p>
        </w:tc>
        <w:tc>
          <w:tcPr>
            <w:tcW w:type="dxa" w:w="9187"/>
            <w:tcMar>
              <w:top w:w="80" w:type="dxa"/>
              <w:start w:w="120" w:type="dxa"/>
              <w:bottom w:w="80" w:type="dxa"/>
              <w:end w:w="120" w:type="dxa"/>
            </w:tcMar>
            <w:shd w:fill="F3E8FF"/>
            <w:vAlign w:val="center"/>
          </w:tcPr>
          <w:p>
            <w:pPr>
              <w:spacing w:after="40"/>
            </w:pPr>
            <w:r>
              <w:rPr>
                <w:rFonts w:ascii="Calibri" w:hAnsi="Calibri"/>
                <w:b/>
                <w:color w:val="102A43"/>
              </w:rPr>
              <w:t>Interpretation boundary</w:t>
            </w:r>
          </w:p>
          <w:p>
            <w:pPr>
              <w:spacing w:after="0"/>
            </w:pPr>
            <w:r>
              <w:t>Job adverts show that employers mention behavioural capabilities, but they do not validate the rubric's rule that unsupported phrases such as “team player” must score zero. That remains an assessment-design judgment to test on candidate CVs.</w:t>
            </w:r>
          </w:p>
        </w:tc>
      </w:tr>
    </w:tbl>
    <w:p>
      <w:pPr>
        <w:spacing w:after="0"/>
      </w:pPr>
    </w:p>
    <w:p>
      <w:r>
        <w:br w:type="page"/>
      </w:r>
    </w:p>
    <w:p>
      <w:pPr>
        <w:pStyle w:val="Heading1"/>
      </w:pPr>
      <w:r>
        <w:t>8. Rubric V1 evidence matrix</w:t>
      </w:r>
    </w:p>
    <w:p>
      <w:r>
        <w:t>Verdicts describe how well the job-post sample supports each assumption. They do not implement the Phase 8 decision.</w:t>
      </w:r>
    </w:p>
    <w:tbl>
      <w:tblPr>
        <w:tblStyle w:val="TableGrid"/>
        <w:tblW w:type="dxa" w:w="9360"/>
        <w:jc w:val="left"/>
        <w:tblLayout w:type="fixed"/>
        <w:tblLook w:firstColumn="1" w:firstRow="1" w:lastColumn="0" w:lastRow="0" w:noHBand="0" w:noVBand="1" w:val="04A0"/>
        <w:tblInd w:w="120" w:type="dxa"/>
      </w:tblPr>
      <w:tblGrid>
        <w:gridCol w:w="792"/>
        <w:gridCol w:w="3816"/>
        <w:gridCol w:w="3240"/>
        <w:gridCol w:w="1512"/>
      </w:tblGrid>
      <w:tr>
        <w:trPr>
          <w:tblHeader w:val="true"/>
        </w:trPr>
        <w:tc>
          <w:tcPr>
            <w:tcW w:type="dxa" w:w="792"/>
            <w:tcMar>
              <w:top w:w="80" w:type="dxa"/>
              <w:start w:w="120" w:type="dxa"/>
              <w:bottom w:w="80" w:type="dxa"/>
              <w:end w:w="120" w:type="dxa"/>
            </w:tcMar>
            <w:shd w:fill="102A43"/>
            <w:vAlign w:val="center"/>
          </w:tcPr>
          <w:p>
            <w:r>
              <w:rPr>
                <w:rFonts w:ascii="Calibri" w:hAnsi="Calibri"/>
                <w:b/>
                <w:color w:val="FFFFFF"/>
                <w:sz w:val="18"/>
              </w:rPr>
              <w:t>Track</w:t>
            </w:r>
          </w:p>
        </w:tc>
        <w:tc>
          <w:tcPr>
            <w:tcW w:type="dxa" w:w="3816"/>
            <w:tcMar>
              <w:top w:w="80" w:type="dxa"/>
              <w:start w:w="120" w:type="dxa"/>
              <w:bottom w:w="80" w:type="dxa"/>
              <w:end w:w="120" w:type="dxa"/>
            </w:tcMar>
            <w:shd w:fill="102A43"/>
            <w:vAlign w:val="center"/>
          </w:tcPr>
          <w:p>
            <w:r>
              <w:rPr>
                <w:rFonts w:ascii="Calibri" w:hAnsi="Calibri"/>
                <w:b/>
                <w:color w:val="FFFFFF"/>
                <w:sz w:val="18"/>
              </w:rPr>
              <w:t>Rubric assumption</w:t>
            </w:r>
          </w:p>
        </w:tc>
        <w:tc>
          <w:tcPr>
            <w:tcW w:type="dxa" w:w="3240"/>
            <w:tcMar>
              <w:top w:w="80" w:type="dxa"/>
              <w:start w:w="120" w:type="dxa"/>
              <w:bottom w:w="80" w:type="dxa"/>
              <w:end w:w="120" w:type="dxa"/>
            </w:tcMar>
            <w:shd w:fill="102A43"/>
            <w:vAlign w:val="center"/>
          </w:tcPr>
          <w:p>
            <w:r>
              <w:rPr>
                <w:rFonts w:ascii="Calibri" w:hAnsi="Calibri"/>
                <w:b/>
                <w:color w:val="FFFFFF"/>
                <w:sz w:val="18"/>
              </w:rPr>
              <w:t>Evidence</w:t>
            </w:r>
          </w:p>
        </w:tc>
        <w:tc>
          <w:tcPr>
            <w:tcW w:type="dxa" w:w="1512"/>
            <w:tcMar>
              <w:top w:w="80" w:type="dxa"/>
              <w:start w:w="120" w:type="dxa"/>
              <w:bottom w:w="80" w:type="dxa"/>
              <w:end w:w="120" w:type="dxa"/>
            </w:tcMar>
            <w:shd w:fill="102A43"/>
            <w:vAlign w:val="center"/>
          </w:tcPr>
          <w:p>
            <w:r>
              <w:rPr>
                <w:rFonts w:ascii="Calibri" w:hAnsi="Calibri"/>
                <w:b/>
                <w:color w:val="FFFFFF"/>
                <w:sz w:val="18"/>
              </w:rPr>
              <w:t>Verdict</w:t>
            </w:r>
          </w:p>
        </w:tc>
      </w:tr>
      <w:tr>
        <w:tc>
          <w:tcPr>
            <w:tcW w:type="dxa" w:w="792"/>
            <w:vAlign w:val="top"/>
          </w:tcPr>
          <w:p>
            <w:pPr>
              <w:spacing w:after="40" w:line="252" w:lineRule="auto"/>
            </w:pPr>
            <w:r>
              <w:rPr>
                <w:rFonts w:ascii="Calibri" w:hAnsi="Calibri"/>
                <w:sz w:val="17"/>
              </w:rPr>
              <w:t>SE</w:t>
            </w:r>
          </w:p>
        </w:tc>
        <w:tc>
          <w:tcPr>
            <w:tcW w:type="dxa" w:w="3816"/>
            <w:vAlign w:val="top"/>
          </w:tcPr>
          <w:p>
            <w:pPr>
              <w:spacing w:after="40" w:line="252" w:lineRule="auto"/>
            </w:pPr>
            <w:r>
              <w:rPr>
                <w:rFonts w:ascii="Calibri" w:hAnsi="Calibri"/>
                <w:sz w:val="17"/>
              </w:rPr>
              <w:t>A specifically named programming language is foundational.</w:t>
            </w:r>
          </w:p>
        </w:tc>
        <w:tc>
          <w:tcPr>
            <w:tcW w:type="dxa" w:w="3240"/>
            <w:vAlign w:val="top"/>
          </w:tcPr>
          <w:p>
            <w:pPr>
              <w:spacing w:after="40" w:line="252" w:lineRule="auto"/>
            </w:pPr>
            <w:r>
              <w:rPr>
                <w:rFonts w:ascii="Calibri" w:hAnsi="Calibri"/>
                <w:sz w:val="17"/>
              </w:rPr>
              <w:t>Posts naming at least one programming language — 20/22 — 90.9%</w:t>
            </w:r>
          </w:p>
        </w:tc>
        <w:tc>
          <w:tcPr>
            <w:tcW w:type="dxa" w:w="1512"/>
            <w:vAlign w:val="top"/>
            <w:shd w:fill="E6FFFA"/>
          </w:tcPr>
          <w:p>
            <w:pPr>
              <w:spacing w:after="40" w:line="252" w:lineRule="auto"/>
            </w:pPr>
            <w:r>
              <w:rPr>
                <w:rFonts w:ascii="Calibri" w:hAnsi="Calibri"/>
                <w:sz w:val="17"/>
              </w:rPr>
              <w:t>Supported</w:t>
            </w:r>
          </w:p>
        </w:tc>
      </w:tr>
      <w:tr>
        <w:tc>
          <w:tcPr>
            <w:tcW w:type="dxa" w:w="792"/>
            <w:vAlign w:val="top"/>
          </w:tcPr>
          <w:p>
            <w:pPr>
              <w:spacing w:after="40" w:line="252" w:lineRule="auto"/>
            </w:pPr>
            <w:r>
              <w:rPr>
                <w:rFonts w:ascii="Calibri" w:hAnsi="Calibri"/>
                <w:sz w:val="17"/>
              </w:rPr>
              <w:t>SE</w:t>
            </w:r>
          </w:p>
        </w:tc>
        <w:tc>
          <w:tcPr>
            <w:tcW w:type="dxa" w:w="3816"/>
            <w:vAlign w:val="top"/>
          </w:tcPr>
          <w:p>
            <w:pPr>
              <w:spacing w:after="40" w:line="252" w:lineRule="auto"/>
            </w:pPr>
            <w:r>
              <w:rPr>
                <w:rFonts w:ascii="Calibri" w:hAnsi="Calibri"/>
                <w:sz w:val="17"/>
              </w:rPr>
              <w:t>Missing Git should cap Core Technical Skills below the strong band.</w:t>
            </w:r>
          </w:p>
        </w:tc>
        <w:tc>
          <w:tcPr>
            <w:tcW w:type="dxa" w:w="3240"/>
            <w:vAlign w:val="top"/>
          </w:tcPr>
          <w:p>
            <w:pPr>
              <w:spacing w:after="40" w:line="252" w:lineRule="auto"/>
            </w:pPr>
            <w:r>
              <w:rPr>
                <w:rFonts w:ascii="Calibri" w:hAnsi="Calibri"/>
                <w:sz w:val="17"/>
              </w:rPr>
              <w:t>Posts explicitly naming Git/GitHub — 11/22 — 50.0%</w:t>
            </w:r>
          </w:p>
        </w:tc>
        <w:tc>
          <w:tcPr>
            <w:tcW w:type="dxa" w:w="1512"/>
            <w:vAlign w:val="top"/>
            <w:shd w:fill="E8F1FA"/>
          </w:tcPr>
          <w:p>
            <w:pPr>
              <w:spacing w:after="40" w:line="252" w:lineRule="auto"/>
            </w:pPr>
            <w:r>
              <w:rPr>
                <w:rFonts w:ascii="Calibri" w:hAnsi="Calibri"/>
                <w:sz w:val="17"/>
              </w:rPr>
              <w:t>Partially supported</w:t>
            </w:r>
          </w:p>
        </w:tc>
      </w:tr>
      <w:tr>
        <w:tc>
          <w:tcPr>
            <w:tcW w:type="dxa" w:w="792"/>
            <w:vAlign w:val="top"/>
          </w:tcPr>
          <w:p>
            <w:pPr>
              <w:spacing w:after="40" w:line="252" w:lineRule="auto"/>
            </w:pPr>
            <w:r>
              <w:rPr>
                <w:rFonts w:ascii="Calibri" w:hAnsi="Calibri"/>
                <w:sz w:val="17"/>
              </w:rPr>
              <w:t>SE</w:t>
            </w:r>
          </w:p>
        </w:tc>
        <w:tc>
          <w:tcPr>
            <w:tcW w:type="dxa" w:w="3816"/>
            <w:vAlign w:val="top"/>
          </w:tcPr>
          <w:p>
            <w:pPr>
              <w:spacing w:after="40" w:line="252" w:lineRule="auto"/>
            </w:pPr>
            <w:r>
              <w:rPr>
                <w:rFonts w:ascii="Calibri" w:hAnsi="Calibri"/>
                <w:sz w:val="17"/>
              </w:rPr>
              <w:t>A named framework is important for strong tool readiness.</w:t>
            </w:r>
          </w:p>
        </w:tc>
        <w:tc>
          <w:tcPr>
            <w:tcW w:type="dxa" w:w="3240"/>
            <w:vAlign w:val="top"/>
          </w:tcPr>
          <w:p>
            <w:pPr>
              <w:spacing w:after="40" w:line="252" w:lineRule="auto"/>
            </w:pPr>
            <w:r>
              <w:rPr>
                <w:rFonts w:ascii="Calibri" w:hAnsi="Calibri"/>
                <w:sz w:val="17"/>
              </w:rPr>
              <w:t>Posts naming at least one framework/library — 14/22 — 63.6%</w:t>
            </w:r>
          </w:p>
        </w:tc>
        <w:tc>
          <w:tcPr>
            <w:tcW w:type="dxa" w:w="1512"/>
            <w:vAlign w:val="top"/>
            <w:shd w:fill="E8F1FA"/>
          </w:tcPr>
          <w:p>
            <w:pPr>
              <w:spacing w:after="40" w:line="252" w:lineRule="auto"/>
            </w:pPr>
            <w:r>
              <w:rPr>
                <w:rFonts w:ascii="Calibri" w:hAnsi="Calibri"/>
                <w:sz w:val="17"/>
              </w:rPr>
              <w:t>Partially supported</w:t>
            </w:r>
          </w:p>
        </w:tc>
      </w:tr>
      <w:tr>
        <w:tc>
          <w:tcPr>
            <w:tcW w:type="dxa" w:w="792"/>
            <w:vAlign w:val="top"/>
          </w:tcPr>
          <w:p>
            <w:pPr>
              <w:spacing w:after="40" w:line="252" w:lineRule="auto"/>
            </w:pPr>
            <w:r>
              <w:rPr>
                <w:rFonts w:ascii="Calibri" w:hAnsi="Calibri"/>
                <w:sz w:val="17"/>
              </w:rPr>
              <w:t>SE</w:t>
            </w:r>
          </w:p>
        </w:tc>
        <w:tc>
          <w:tcPr>
            <w:tcW w:type="dxa" w:w="3816"/>
            <w:vAlign w:val="top"/>
          </w:tcPr>
          <w:p>
            <w:pPr>
              <w:spacing w:after="40" w:line="252" w:lineRule="auto"/>
            </w:pPr>
            <w:r>
              <w:rPr>
                <w:rFonts w:ascii="Calibri" w:hAnsi="Calibri"/>
                <w:sz w:val="17"/>
              </w:rPr>
              <w:t>Deployment awareness is a useful differentiator rather than a baseline requirement.</w:t>
            </w:r>
          </w:p>
        </w:tc>
        <w:tc>
          <w:tcPr>
            <w:tcW w:type="dxa" w:w="3240"/>
            <w:vAlign w:val="top"/>
          </w:tcPr>
          <w:p>
            <w:pPr>
              <w:spacing w:after="40" w:line="252" w:lineRule="auto"/>
            </w:pPr>
            <w:r>
              <w:rPr>
                <w:rFonts w:ascii="Calibri" w:hAnsi="Calibri"/>
                <w:sz w:val="17"/>
              </w:rPr>
              <w:t>Posts naming AWS, Azure or Docker — 8/22 — 36.4%</w:t>
            </w:r>
          </w:p>
        </w:tc>
        <w:tc>
          <w:tcPr>
            <w:tcW w:type="dxa" w:w="1512"/>
            <w:vAlign w:val="top"/>
            <w:shd w:fill="E6FFFA"/>
          </w:tcPr>
          <w:p>
            <w:pPr>
              <w:spacing w:after="40" w:line="252" w:lineRule="auto"/>
            </w:pPr>
            <w:r>
              <w:rPr>
                <w:rFonts w:ascii="Calibri" w:hAnsi="Calibri"/>
                <w:sz w:val="17"/>
              </w:rPr>
              <w:t>Supported</w:t>
            </w:r>
          </w:p>
        </w:tc>
      </w:tr>
      <w:tr>
        <w:tc>
          <w:tcPr>
            <w:tcW w:type="dxa" w:w="792"/>
            <w:vAlign w:val="top"/>
          </w:tcPr>
          <w:p>
            <w:pPr>
              <w:spacing w:after="40" w:line="252" w:lineRule="auto"/>
            </w:pPr>
            <w:r>
              <w:rPr>
                <w:rFonts w:ascii="Calibri" w:hAnsi="Calibri"/>
                <w:sz w:val="17"/>
              </w:rPr>
              <w:t>SE</w:t>
            </w:r>
          </w:p>
        </w:tc>
        <w:tc>
          <w:tcPr>
            <w:tcW w:type="dxa" w:w="3816"/>
            <w:vAlign w:val="top"/>
          </w:tcPr>
          <w:p>
            <w:pPr>
              <w:spacing w:after="40" w:line="252" w:lineRule="auto"/>
            </w:pPr>
            <w:r>
              <w:rPr>
                <w:rFonts w:ascii="Calibri" w:hAnsi="Calibri"/>
                <w:sz w:val="17"/>
              </w:rPr>
              <w:t>Project and portfolio proof warrants 25% of the total readiness score.</w:t>
            </w:r>
          </w:p>
        </w:tc>
        <w:tc>
          <w:tcPr>
            <w:tcW w:type="dxa" w:w="3240"/>
            <w:vAlign w:val="top"/>
          </w:tcPr>
          <w:p>
            <w:pPr>
              <w:spacing w:after="40" w:line="252" w:lineRule="auto"/>
            </w:pPr>
            <w:r>
              <w:rPr>
                <w:rFonts w:ascii="Calibri" w:hAnsi="Calibri"/>
                <w:sz w:val="17"/>
              </w:rPr>
              <w:t>Posts explicitly requesting portfolio/GitHub proof — 3/22 — 13.6%</w:t>
            </w:r>
          </w:p>
        </w:tc>
        <w:tc>
          <w:tcPr>
            <w:tcW w:type="dxa" w:w="1512"/>
            <w:vAlign w:val="top"/>
            <w:shd w:fill="FFF5F5"/>
          </w:tcPr>
          <w:p>
            <w:pPr>
              <w:spacing w:after="40" w:line="252" w:lineRule="auto"/>
            </w:pPr>
            <w:r>
              <w:rPr>
                <w:rFonts w:ascii="Calibri" w:hAnsi="Calibri"/>
                <w:sz w:val="17"/>
              </w:rPr>
              <w:t>Challenged</w:t>
            </w:r>
          </w:p>
        </w:tc>
      </w:tr>
      <w:tr>
        <w:tc>
          <w:tcPr>
            <w:tcW w:type="dxa" w:w="792"/>
            <w:vAlign w:val="top"/>
          </w:tcPr>
          <w:p>
            <w:pPr>
              <w:spacing w:after="40" w:line="252" w:lineRule="auto"/>
            </w:pPr>
            <w:r>
              <w:rPr>
                <w:rFonts w:ascii="Calibri" w:hAnsi="Calibri"/>
                <w:sz w:val="17"/>
              </w:rPr>
              <w:t>SE</w:t>
            </w:r>
          </w:p>
        </w:tc>
        <w:tc>
          <w:tcPr>
            <w:tcW w:type="dxa" w:w="3816"/>
            <w:vAlign w:val="top"/>
          </w:tcPr>
          <w:p>
            <w:pPr>
              <w:spacing w:after="40" w:line="252" w:lineRule="auto"/>
            </w:pPr>
            <w:r>
              <w:rPr>
                <w:rFonts w:ascii="Calibri" w:hAnsi="Calibri"/>
                <w:sz w:val="17"/>
              </w:rPr>
              <w:t>README quality, repository organisation and deployment quality indicate readiness.</w:t>
            </w:r>
          </w:p>
        </w:tc>
        <w:tc>
          <w:tcPr>
            <w:tcW w:type="dxa" w:w="3240"/>
            <w:vAlign w:val="top"/>
          </w:tcPr>
          <w:p>
            <w:pPr>
              <w:spacing w:after="40" w:line="252" w:lineRule="auto"/>
            </w:pPr>
            <w:r>
              <w:rPr>
                <w:rFonts w:ascii="Calibri" w:hAnsi="Calibri"/>
                <w:sz w:val="17"/>
              </w:rPr>
              <w:t>Not directly observable in structured job-post fields</w:t>
            </w:r>
          </w:p>
        </w:tc>
        <w:tc>
          <w:tcPr>
            <w:tcW w:type="dxa" w:w="1512"/>
            <w:vAlign w:val="top"/>
            <w:shd w:fill="F3E8FF"/>
          </w:tcPr>
          <w:p>
            <w:pPr>
              <w:spacing w:after="40" w:line="252" w:lineRule="auto"/>
            </w:pPr>
            <w:r>
              <w:rPr>
                <w:rFonts w:ascii="Calibri" w:hAnsi="Calibri"/>
                <w:sz w:val="17"/>
              </w:rPr>
              <w:t>Not measurable from job-post data</w:t>
            </w:r>
          </w:p>
        </w:tc>
      </w:tr>
      <w:tr>
        <w:tc>
          <w:tcPr>
            <w:tcW w:type="dxa" w:w="792"/>
            <w:vAlign w:val="top"/>
          </w:tcPr>
          <w:p>
            <w:pPr>
              <w:spacing w:after="40" w:line="252" w:lineRule="auto"/>
            </w:pPr>
            <w:r>
              <w:rPr>
                <w:rFonts w:ascii="Calibri" w:hAnsi="Calibri"/>
                <w:sz w:val="17"/>
              </w:rPr>
              <w:t>DA</w:t>
            </w:r>
          </w:p>
        </w:tc>
        <w:tc>
          <w:tcPr>
            <w:tcW w:type="dxa" w:w="3816"/>
            <w:vAlign w:val="top"/>
          </w:tcPr>
          <w:p>
            <w:pPr>
              <w:spacing w:after="40" w:line="252" w:lineRule="auto"/>
            </w:pPr>
            <w:r>
              <w:rPr>
                <w:rFonts w:ascii="Calibri" w:hAnsi="Calibri"/>
                <w:sz w:val="17"/>
              </w:rPr>
              <w:t>SQL is the most important entry-level technical skill and missing it should cap the strong band.</w:t>
            </w:r>
          </w:p>
        </w:tc>
        <w:tc>
          <w:tcPr>
            <w:tcW w:type="dxa" w:w="3240"/>
            <w:vAlign w:val="top"/>
          </w:tcPr>
          <w:p>
            <w:pPr>
              <w:spacing w:after="40" w:line="252" w:lineRule="auto"/>
            </w:pPr>
            <w:r>
              <w:rPr>
                <w:rFonts w:ascii="Calibri" w:hAnsi="Calibri"/>
                <w:sz w:val="17"/>
              </w:rPr>
              <w:t>Posts explicitly naming SQL — 13/16 — 81.2%</w:t>
            </w:r>
          </w:p>
        </w:tc>
        <w:tc>
          <w:tcPr>
            <w:tcW w:type="dxa" w:w="1512"/>
            <w:vAlign w:val="top"/>
            <w:shd w:fill="E6FFFA"/>
          </w:tcPr>
          <w:p>
            <w:pPr>
              <w:spacing w:after="40" w:line="252" w:lineRule="auto"/>
            </w:pPr>
            <w:r>
              <w:rPr>
                <w:rFonts w:ascii="Calibri" w:hAnsi="Calibri"/>
                <w:sz w:val="17"/>
              </w:rPr>
              <w:t>Supported</w:t>
            </w:r>
          </w:p>
        </w:tc>
      </w:tr>
      <w:tr>
        <w:tc>
          <w:tcPr>
            <w:tcW w:type="dxa" w:w="792"/>
            <w:vAlign w:val="top"/>
          </w:tcPr>
          <w:p>
            <w:pPr>
              <w:spacing w:after="40" w:line="252" w:lineRule="auto"/>
            </w:pPr>
            <w:r>
              <w:rPr>
                <w:rFonts w:ascii="Calibri" w:hAnsi="Calibri"/>
                <w:sz w:val="17"/>
              </w:rPr>
              <w:t>DA</w:t>
            </w:r>
          </w:p>
        </w:tc>
        <w:tc>
          <w:tcPr>
            <w:tcW w:type="dxa" w:w="3816"/>
            <w:vAlign w:val="top"/>
          </w:tcPr>
          <w:p>
            <w:pPr>
              <w:spacing w:after="40" w:line="252" w:lineRule="auto"/>
            </w:pPr>
            <w:r>
              <w:rPr>
                <w:rFonts w:ascii="Calibri" w:hAnsi="Calibri"/>
                <w:sz w:val="17"/>
              </w:rPr>
              <w:t>Excel or spreadsheet capability is foundational.</w:t>
            </w:r>
          </w:p>
        </w:tc>
        <w:tc>
          <w:tcPr>
            <w:tcW w:type="dxa" w:w="3240"/>
            <w:vAlign w:val="top"/>
          </w:tcPr>
          <w:p>
            <w:pPr>
              <w:spacing w:after="40" w:line="252" w:lineRule="auto"/>
            </w:pPr>
            <w:r>
              <w:rPr>
                <w:rFonts w:ascii="Calibri" w:hAnsi="Calibri"/>
                <w:sz w:val="17"/>
              </w:rPr>
              <w:t>Posts naming Excel in any captured skill/tool field — 10/16 — 62.5%</w:t>
            </w:r>
          </w:p>
        </w:tc>
        <w:tc>
          <w:tcPr>
            <w:tcW w:type="dxa" w:w="1512"/>
            <w:vAlign w:val="top"/>
            <w:shd w:fill="E8F1FA"/>
          </w:tcPr>
          <w:p>
            <w:pPr>
              <w:spacing w:after="40" w:line="252" w:lineRule="auto"/>
            </w:pPr>
            <w:r>
              <w:rPr>
                <w:rFonts w:ascii="Calibri" w:hAnsi="Calibri"/>
                <w:sz w:val="17"/>
              </w:rPr>
              <w:t>Partially supported</w:t>
            </w:r>
          </w:p>
        </w:tc>
      </w:tr>
      <w:tr>
        <w:tc>
          <w:tcPr>
            <w:tcW w:type="dxa" w:w="792"/>
            <w:vAlign w:val="top"/>
          </w:tcPr>
          <w:p>
            <w:pPr>
              <w:spacing w:after="40" w:line="252" w:lineRule="auto"/>
            </w:pPr>
            <w:r>
              <w:rPr>
                <w:rFonts w:ascii="Calibri" w:hAnsi="Calibri"/>
                <w:sz w:val="17"/>
              </w:rPr>
              <w:t>DA</w:t>
            </w:r>
          </w:p>
        </w:tc>
        <w:tc>
          <w:tcPr>
            <w:tcW w:type="dxa" w:w="3816"/>
            <w:vAlign w:val="top"/>
          </w:tcPr>
          <w:p>
            <w:pPr>
              <w:spacing w:after="40" w:line="252" w:lineRule="auto"/>
            </w:pPr>
            <w:r>
              <w:rPr>
                <w:rFonts w:ascii="Calibri" w:hAnsi="Calibri"/>
                <w:sz w:val="17"/>
              </w:rPr>
              <w:t>Power BI is the leading BI differentiator in the South African sample.</w:t>
            </w:r>
          </w:p>
        </w:tc>
        <w:tc>
          <w:tcPr>
            <w:tcW w:type="dxa" w:w="3240"/>
            <w:vAlign w:val="top"/>
          </w:tcPr>
          <w:p>
            <w:pPr>
              <w:spacing w:after="40" w:line="252" w:lineRule="auto"/>
            </w:pPr>
            <w:r>
              <w:rPr>
                <w:rFonts w:ascii="Calibri" w:hAnsi="Calibri"/>
                <w:sz w:val="17"/>
              </w:rPr>
              <w:t>Power BI mentions (compared with Tableau) — 13/16 — 81.2%</w:t>
            </w:r>
          </w:p>
        </w:tc>
        <w:tc>
          <w:tcPr>
            <w:tcW w:type="dxa" w:w="1512"/>
            <w:vAlign w:val="top"/>
            <w:shd w:fill="E6FFFA"/>
          </w:tcPr>
          <w:p>
            <w:pPr>
              <w:spacing w:after="40" w:line="252" w:lineRule="auto"/>
            </w:pPr>
            <w:r>
              <w:rPr>
                <w:rFonts w:ascii="Calibri" w:hAnsi="Calibri"/>
                <w:sz w:val="17"/>
              </w:rPr>
              <w:t>Supported</w:t>
            </w:r>
          </w:p>
        </w:tc>
      </w:tr>
      <w:tr>
        <w:tc>
          <w:tcPr>
            <w:tcW w:type="dxa" w:w="792"/>
            <w:vAlign w:val="top"/>
          </w:tcPr>
          <w:p>
            <w:pPr>
              <w:spacing w:after="40" w:line="252" w:lineRule="auto"/>
            </w:pPr>
            <w:r>
              <w:rPr>
                <w:rFonts w:ascii="Calibri" w:hAnsi="Calibri"/>
                <w:sz w:val="17"/>
              </w:rPr>
              <w:t>DA</w:t>
            </w:r>
          </w:p>
        </w:tc>
        <w:tc>
          <w:tcPr>
            <w:tcW w:type="dxa" w:w="3816"/>
            <w:vAlign w:val="top"/>
          </w:tcPr>
          <w:p>
            <w:pPr>
              <w:spacing w:after="40" w:line="252" w:lineRule="auto"/>
            </w:pPr>
            <w:r>
              <w:rPr>
                <w:rFonts w:ascii="Calibri" w:hAnsi="Calibri"/>
                <w:sz w:val="17"/>
              </w:rPr>
              <w:t>Python is valuable but not universally required.</w:t>
            </w:r>
          </w:p>
        </w:tc>
        <w:tc>
          <w:tcPr>
            <w:tcW w:type="dxa" w:w="3240"/>
            <w:vAlign w:val="top"/>
          </w:tcPr>
          <w:p>
            <w:pPr>
              <w:spacing w:after="40" w:line="252" w:lineRule="auto"/>
            </w:pPr>
            <w:r>
              <w:rPr>
                <w:rFonts w:ascii="Calibri" w:hAnsi="Calibri"/>
                <w:sz w:val="17"/>
              </w:rPr>
              <w:t>Posts naming Python — 8/16 — 50.0%</w:t>
            </w:r>
          </w:p>
        </w:tc>
        <w:tc>
          <w:tcPr>
            <w:tcW w:type="dxa" w:w="1512"/>
            <w:vAlign w:val="top"/>
            <w:shd w:fill="E6FFFA"/>
          </w:tcPr>
          <w:p>
            <w:pPr>
              <w:spacing w:after="40" w:line="252" w:lineRule="auto"/>
            </w:pPr>
            <w:r>
              <w:rPr>
                <w:rFonts w:ascii="Calibri" w:hAnsi="Calibri"/>
                <w:sz w:val="17"/>
              </w:rPr>
              <w:t>Supported</w:t>
            </w:r>
          </w:p>
        </w:tc>
      </w:tr>
      <w:tr>
        <w:tc>
          <w:tcPr>
            <w:tcW w:type="dxa" w:w="792"/>
            <w:vAlign w:val="top"/>
          </w:tcPr>
          <w:p>
            <w:pPr>
              <w:spacing w:after="40" w:line="252" w:lineRule="auto"/>
            </w:pPr>
            <w:r>
              <w:rPr>
                <w:rFonts w:ascii="Calibri" w:hAnsi="Calibri"/>
                <w:sz w:val="17"/>
              </w:rPr>
              <w:t>DA</w:t>
            </w:r>
          </w:p>
        </w:tc>
        <w:tc>
          <w:tcPr>
            <w:tcW w:type="dxa" w:w="3816"/>
            <w:vAlign w:val="top"/>
          </w:tcPr>
          <w:p>
            <w:pPr>
              <w:spacing w:after="40" w:line="252" w:lineRule="auto"/>
            </w:pPr>
            <w:r>
              <w:rPr>
                <w:rFonts w:ascii="Calibri" w:hAnsi="Calibri"/>
                <w:sz w:val="17"/>
              </w:rPr>
              <w:t>Data cleaning is a central market requirement.</w:t>
            </w:r>
          </w:p>
        </w:tc>
        <w:tc>
          <w:tcPr>
            <w:tcW w:type="dxa" w:w="3240"/>
            <w:vAlign w:val="top"/>
          </w:tcPr>
          <w:p>
            <w:pPr>
              <w:spacing w:after="40" w:line="252" w:lineRule="auto"/>
            </w:pPr>
            <w:r>
              <w:rPr>
                <w:rFonts w:ascii="Calibri" w:hAnsi="Calibri"/>
                <w:sz w:val="17"/>
              </w:rPr>
              <w:t>Posts explicitly coded with Data Cleaning — 1/16 — 6.2%</w:t>
            </w:r>
          </w:p>
        </w:tc>
        <w:tc>
          <w:tcPr>
            <w:tcW w:type="dxa" w:w="1512"/>
            <w:vAlign w:val="top"/>
            <w:shd w:fill="FFF8E6"/>
          </w:tcPr>
          <w:p>
            <w:pPr>
              <w:spacing w:after="40" w:line="252" w:lineRule="auto"/>
            </w:pPr>
            <w:r>
              <w:rPr>
                <w:rFonts w:ascii="Calibri" w:hAnsi="Calibri"/>
                <w:sz w:val="17"/>
              </w:rPr>
              <w:t>Insufficient evidence</w:t>
            </w:r>
          </w:p>
        </w:tc>
      </w:tr>
      <w:tr>
        <w:tc>
          <w:tcPr>
            <w:tcW w:type="dxa" w:w="792"/>
            <w:vAlign w:val="top"/>
          </w:tcPr>
          <w:p>
            <w:pPr>
              <w:spacing w:after="40" w:line="252" w:lineRule="auto"/>
            </w:pPr>
            <w:r>
              <w:rPr>
                <w:rFonts w:ascii="Calibri" w:hAnsi="Calibri"/>
                <w:sz w:val="17"/>
              </w:rPr>
              <w:t>DA</w:t>
            </w:r>
          </w:p>
        </w:tc>
        <w:tc>
          <w:tcPr>
            <w:tcW w:type="dxa" w:w="3816"/>
            <w:vAlign w:val="top"/>
          </w:tcPr>
          <w:p>
            <w:pPr>
              <w:spacing w:after="40" w:line="252" w:lineRule="auto"/>
            </w:pPr>
            <w:r>
              <w:rPr>
                <w:rFonts w:ascii="Calibri" w:hAnsi="Calibri"/>
                <w:sz w:val="17"/>
              </w:rPr>
              <w:t>Project and portfolio proof warrants 20% of the readiness score.</w:t>
            </w:r>
          </w:p>
        </w:tc>
        <w:tc>
          <w:tcPr>
            <w:tcW w:type="dxa" w:w="3240"/>
            <w:vAlign w:val="top"/>
          </w:tcPr>
          <w:p>
            <w:pPr>
              <w:spacing w:after="40" w:line="252" w:lineRule="auto"/>
            </w:pPr>
            <w:r>
              <w:rPr>
                <w:rFonts w:ascii="Calibri" w:hAnsi="Calibri"/>
                <w:sz w:val="17"/>
              </w:rPr>
              <w:t>Posts explicitly requesting portfolio/GitHub proof — 1/16 — 6.2%</w:t>
            </w:r>
          </w:p>
        </w:tc>
        <w:tc>
          <w:tcPr>
            <w:tcW w:type="dxa" w:w="1512"/>
            <w:vAlign w:val="top"/>
            <w:shd w:fill="FFF5F5"/>
          </w:tcPr>
          <w:p>
            <w:pPr>
              <w:spacing w:after="40" w:line="252" w:lineRule="auto"/>
            </w:pPr>
            <w:r>
              <w:rPr>
                <w:rFonts w:ascii="Calibri" w:hAnsi="Calibri"/>
                <w:sz w:val="17"/>
              </w:rPr>
              <w:t>Challenged</w:t>
            </w:r>
          </w:p>
        </w:tc>
      </w:tr>
      <w:tr>
        <w:tc>
          <w:tcPr>
            <w:tcW w:type="dxa" w:w="792"/>
            <w:vAlign w:val="top"/>
          </w:tcPr>
          <w:p>
            <w:pPr>
              <w:spacing w:after="40" w:line="252" w:lineRule="auto"/>
            </w:pPr>
            <w:r>
              <w:rPr>
                <w:rFonts w:ascii="Calibri" w:hAnsi="Calibri"/>
                <w:sz w:val="17"/>
              </w:rPr>
              <w:t>Both</w:t>
            </w:r>
          </w:p>
        </w:tc>
        <w:tc>
          <w:tcPr>
            <w:tcW w:type="dxa" w:w="3816"/>
            <w:vAlign w:val="top"/>
          </w:tcPr>
          <w:p>
            <w:pPr>
              <w:spacing w:after="40" w:line="252" w:lineRule="auto"/>
            </w:pPr>
            <w:r>
              <w:rPr>
                <w:rFonts w:ascii="Calibri" w:hAnsi="Calibri"/>
                <w:sz w:val="17"/>
              </w:rPr>
              <w:t>CV structure, clarity and specificity can be market-validated from job posts.</w:t>
            </w:r>
          </w:p>
        </w:tc>
        <w:tc>
          <w:tcPr>
            <w:tcW w:type="dxa" w:w="3240"/>
            <w:vAlign w:val="top"/>
          </w:tcPr>
          <w:p>
            <w:pPr>
              <w:spacing w:after="40" w:line="252" w:lineRule="auto"/>
            </w:pPr>
            <w:r>
              <w:rPr>
                <w:rFonts w:ascii="Calibri" w:hAnsi="Calibri"/>
                <w:sz w:val="17"/>
              </w:rPr>
              <w:t>Candidate-CV quality is not observable in job adverts</w:t>
            </w:r>
          </w:p>
        </w:tc>
        <w:tc>
          <w:tcPr>
            <w:tcW w:type="dxa" w:w="1512"/>
            <w:vAlign w:val="top"/>
            <w:shd w:fill="F3E8FF"/>
          </w:tcPr>
          <w:p>
            <w:pPr>
              <w:spacing w:after="40" w:line="252" w:lineRule="auto"/>
            </w:pPr>
            <w:r>
              <w:rPr>
                <w:rFonts w:ascii="Calibri" w:hAnsi="Calibri"/>
                <w:sz w:val="17"/>
              </w:rPr>
              <w:t>Not measurable from job-post data</w:t>
            </w:r>
          </w:p>
        </w:tc>
      </w:tr>
    </w:tbl>
    <w:p>
      <w:pPr>
        <w:spacing w:before="80" w:after="80"/>
      </w:pPr>
      <w:r>
        <w:rPr>
          <w:rFonts w:ascii="Calibri" w:hAnsi="Calibri"/>
          <w:i/>
          <w:color w:val="52606D"/>
          <w:sz w:val="17"/>
        </w:rPr>
        <w:t>Source: Rubric V1 compared with the locked main-sample frequency tables.</w:t>
      </w:r>
    </w:p>
    <w:p>
      <w:r>
        <w:br w:type="page"/>
      </w:r>
    </w:p>
    <w:p>
      <w:pPr>
        <w:pStyle w:val="Heading1"/>
      </w:pPr>
      <w:r>
        <w:t>9. Phase 8 decision queue</w:t>
      </w:r>
    </w:p>
    <w:tbl>
      <w:tblPr>
        <w:tblStyle w:val="TableGrid"/>
        <w:tblW w:type="dxa" w:w="9360"/>
        <w:jc w:val="left"/>
        <w:tblLayout w:type="fixed"/>
        <w:tblLook w:firstColumn="1" w:firstRow="1" w:lastColumn="0" w:lastRow="0" w:noHBand="0" w:noVBand="1" w:val="04A0"/>
        <w:tblInd w:w="120" w:type="dxa"/>
      </w:tblPr>
      <w:tblGrid>
        <w:gridCol w:w="648"/>
        <w:gridCol w:w="1008"/>
        <w:gridCol w:w="7704"/>
      </w:tblGrid>
      <w:tr>
        <w:trPr>
          <w:tblHeader w:val="true"/>
        </w:trPr>
        <w:tc>
          <w:tcPr>
            <w:tcW w:type="dxa" w:w="648"/>
            <w:tcMar>
              <w:top w:w="80" w:type="dxa"/>
              <w:start w:w="120" w:type="dxa"/>
              <w:bottom w:w="80" w:type="dxa"/>
              <w:end w:w="120" w:type="dxa"/>
            </w:tcMar>
            <w:shd w:fill="B7791F"/>
            <w:vAlign w:val="center"/>
          </w:tcPr>
          <w:p>
            <w:r>
              <w:rPr>
                <w:rFonts w:ascii="Calibri" w:hAnsi="Calibri"/>
                <w:b/>
                <w:color w:val="FFFFFF"/>
                <w:sz w:val="18"/>
              </w:rPr>
              <w:t>#</w:t>
            </w:r>
          </w:p>
        </w:tc>
        <w:tc>
          <w:tcPr>
            <w:tcW w:type="dxa" w:w="1008"/>
            <w:tcMar>
              <w:top w:w="80" w:type="dxa"/>
              <w:start w:w="120" w:type="dxa"/>
              <w:bottom w:w="80" w:type="dxa"/>
              <w:end w:w="120" w:type="dxa"/>
            </w:tcMar>
            <w:shd w:fill="B7791F"/>
            <w:vAlign w:val="center"/>
          </w:tcPr>
          <w:p>
            <w:r>
              <w:rPr>
                <w:rFonts w:ascii="Calibri" w:hAnsi="Calibri"/>
                <w:b/>
                <w:color w:val="FFFFFF"/>
                <w:sz w:val="18"/>
              </w:rPr>
              <w:t>Track</w:t>
            </w:r>
          </w:p>
        </w:tc>
        <w:tc>
          <w:tcPr>
            <w:tcW w:type="dxa" w:w="7704"/>
            <w:tcMar>
              <w:top w:w="80" w:type="dxa"/>
              <w:start w:w="120" w:type="dxa"/>
              <w:bottom w:w="80" w:type="dxa"/>
              <w:end w:w="120" w:type="dxa"/>
            </w:tcMar>
            <w:shd w:fill="B7791F"/>
            <w:vAlign w:val="center"/>
          </w:tcPr>
          <w:p>
            <w:r>
              <w:rPr>
                <w:rFonts w:ascii="Calibri" w:hAnsi="Calibri"/>
                <w:b/>
                <w:color w:val="FFFFFF"/>
                <w:sz w:val="18"/>
              </w:rPr>
              <w:t>Calibration question</w:t>
            </w:r>
          </w:p>
        </w:tc>
      </w:tr>
      <w:tr>
        <w:tc>
          <w:tcPr>
            <w:tcW w:type="dxa" w:w="648"/>
            <w:vAlign w:val="top"/>
          </w:tcPr>
          <w:p>
            <w:pPr>
              <w:spacing w:after="40" w:line="252" w:lineRule="auto"/>
            </w:pPr>
            <w:r>
              <w:rPr>
                <w:rFonts w:ascii="Calibri" w:hAnsi="Calibri"/>
                <w:sz w:val="17"/>
              </w:rPr>
              <w:t>1</w:t>
            </w:r>
          </w:p>
        </w:tc>
        <w:tc>
          <w:tcPr>
            <w:tcW w:type="dxa" w:w="1008"/>
            <w:vAlign w:val="top"/>
          </w:tcPr>
          <w:p>
            <w:pPr>
              <w:spacing w:after="40" w:line="252" w:lineRule="auto"/>
            </w:pPr>
            <w:r>
              <w:rPr>
                <w:rFonts w:ascii="Calibri" w:hAnsi="Calibri"/>
                <w:sz w:val="17"/>
              </w:rPr>
              <w:t>SE</w:t>
            </w:r>
          </w:p>
        </w:tc>
        <w:tc>
          <w:tcPr>
            <w:tcW w:type="dxa" w:w="7704"/>
            <w:vAlign w:val="top"/>
          </w:tcPr>
          <w:p>
            <w:pPr>
              <w:spacing w:after="40" w:line="252" w:lineRule="auto"/>
            </w:pPr>
            <w:r>
              <w:rPr>
                <w:rFonts w:ascii="Calibri" w:hAnsi="Calibri"/>
                <w:sz w:val="17"/>
              </w:rPr>
              <w:t>Keep named-language evidence central, but avoid privileging one language without track-specific justification.</w:t>
            </w:r>
          </w:p>
        </w:tc>
      </w:tr>
      <w:tr>
        <w:tc>
          <w:tcPr>
            <w:tcW w:type="dxa" w:w="648"/>
            <w:vAlign w:val="top"/>
          </w:tcPr>
          <w:p>
            <w:pPr>
              <w:spacing w:after="40" w:line="252" w:lineRule="auto"/>
            </w:pPr>
            <w:r>
              <w:rPr>
                <w:rFonts w:ascii="Calibri" w:hAnsi="Calibri"/>
                <w:sz w:val="17"/>
              </w:rPr>
              <w:t>2</w:t>
            </w:r>
          </w:p>
        </w:tc>
        <w:tc>
          <w:tcPr>
            <w:tcW w:type="dxa" w:w="1008"/>
            <w:vAlign w:val="top"/>
          </w:tcPr>
          <w:p>
            <w:pPr>
              <w:spacing w:after="40" w:line="252" w:lineRule="auto"/>
            </w:pPr>
            <w:r>
              <w:rPr>
                <w:rFonts w:ascii="Calibri" w:hAnsi="Calibri"/>
                <w:sz w:val="17"/>
              </w:rPr>
              <w:t>SE</w:t>
            </w:r>
          </w:p>
        </w:tc>
        <w:tc>
          <w:tcPr>
            <w:tcW w:type="dxa" w:w="7704"/>
            <w:vAlign w:val="top"/>
          </w:tcPr>
          <w:p>
            <w:pPr>
              <w:spacing w:after="40" w:line="252" w:lineRule="auto"/>
            </w:pPr>
            <w:r>
              <w:rPr>
                <w:rFonts w:ascii="Calibri" w:hAnsi="Calibri"/>
                <w:sz w:val="17"/>
              </w:rPr>
              <w:t>Should Git remain a material signal but lose the absolute category cap because only half of adverts name it?</w:t>
            </w:r>
          </w:p>
        </w:tc>
      </w:tr>
      <w:tr>
        <w:tc>
          <w:tcPr>
            <w:tcW w:type="dxa" w:w="648"/>
            <w:vAlign w:val="top"/>
          </w:tcPr>
          <w:p>
            <w:pPr>
              <w:spacing w:after="40" w:line="252" w:lineRule="auto"/>
            </w:pPr>
            <w:r>
              <w:rPr>
                <w:rFonts w:ascii="Calibri" w:hAnsi="Calibri"/>
                <w:sz w:val="17"/>
              </w:rPr>
              <w:t>3</w:t>
            </w:r>
          </w:p>
        </w:tc>
        <w:tc>
          <w:tcPr>
            <w:tcW w:type="dxa" w:w="1008"/>
            <w:vAlign w:val="top"/>
          </w:tcPr>
          <w:p>
            <w:pPr>
              <w:spacing w:after="40" w:line="252" w:lineRule="auto"/>
            </w:pPr>
            <w:r>
              <w:rPr>
                <w:rFonts w:ascii="Calibri" w:hAnsi="Calibri"/>
                <w:sz w:val="17"/>
              </w:rPr>
              <w:t>SE</w:t>
            </w:r>
          </w:p>
        </w:tc>
        <w:tc>
          <w:tcPr>
            <w:tcW w:type="dxa" w:w="7704"/>
            <w:vAlign w:val="top"/>
          </w:tcPr>
          <w:p>
            <w:pPr>
              <w:spacing w:after="40" w:line="252" w:lineRule="auto"/>
            </w:pPr>
            <w:r>
              <w:rPr>
                <w:rFonts w:ascii="Calibri" w:hAnsi="Calibri"/>
                <w:sz w:val="17"/>
              </w:rPr>
              <w:t>Should framework evidence strengthen a score without being mandatory for every entry-level role?</w:t>
            </w:r>
          </w:p>
        </w:tc>
      </w:tr>
      <w:tr>
        <w:tc>
          <w:tcPr>
            <w:tcW w:type="dxa" w:w="648"/>
            <w:vAlign w:val="top"/>
          </w:tcPr>
          <w:p>
            <w:pPr>
              <w:spacing w:after="40" w:line="252" w:lineRule="auto"/>
            </w:pPr>
            <w:r>
              <w:rPr>
                <w:rFonts w:ascii="Calibri" w:hAnsi="Calibri"/>
                <w:sz w:val="17"/>
              </w:rPr>
              <w:t>4</w:t>
            </w:r>
          </w:p>
        </w:tc>
        <w:tc>
          <w:tcPr>
            <w:tcW w:type="dxa" w:w="1008"/>
            <w:vAlign w:val="top"/>
          </w:tcPr>
          <w:p>
            <w:pPr>
              <w:spacing w:after="40" w:line="252" w:lineRule="auto"/>
            </w:pPr>
            <w:r>
              <w:rPr>
                <w:rFonts w:ascii="Calibri" w:hAnsi="Calibri"/>
                <w:sz w:val="17"/>
              </w:rPr>
              <w:t>SE</w:t>
            </w:r>
          </w:p>
        </w:tc>
        <w:tc>
          <w:tcPr>
            <w:tcW w:type="dxa" w:w="7704"/>
            <w:vAlign w:val="top"/>
          </w:tcPr>
          <w:p>
            <w:pPr>
              <w:spacing w:after="40" w:line="252" w:lineRule="auto"/>
            </w:pPr>
            <w:r>
              <w:rPr>
                <w:rFonts w:ascii="Calibri" w:hAnsi="Calibri"/>
                <w:sz w:val="17"/>
              </w:rPr>
              <w:t>Retain deployment as bonus evidence and define a modest maximum contribution.</w:t>
            </w:r>
          </w:p>
        </w:tc>
      </w:tr>
      <w:tr>
        <w:tc>
          <w:tcPr>
            <w:tcW w:type="dxa" w:w="648"/>
            <w:vAlign w:val="top"/>
          </w:tcPr>
          <w:p>
            <w:pPr>
              <w:spacing w:after="40" w:line="252" w:lineRule="auto"/>
            </w:pPr>
            <w:r>
              <w:rPr>
                <w:rFonts w:ascii="Calibri" w:hAnsi="Calibri"/>
                <w:sz w:val="17"/>
              </w:rPr>
              <w:t>5</w:t>
            </w:r>
          </w:p>
        </w:tc>
        <w:tc>
          <w:tcPr>
            <w:tcW w:type="dxa" w:w="1008"/>
            <w:vAlign w:val="top"/>
          </w:tcPr>
          <w:p>
            <w:pPr>
              <w:spacing w:after="40" w:line="252" w:lineRule="auto"/>
            </w:pPr>
            <w:r>
              <w:rPr>
                <w:rFonts w:ascii="Calibri" w:hAnsi="Calibri"/>
                <w:sz w:val="17"/>
              </w:rPr>
              <w:t>SE</w:t>
            </w:r>
          </w:p>
        </w:tc>
        <w:tc>
          <w:tcPr>
            <w:tcW w:type="dxa" w:w="7704"/>
            <w:vAlign w:val="top"/>
          </w:tcPr>
          <w:p>
            <w:pPr>
              <w:spacing w:after="40" w:line="252" w:lineRule="auto"/>
            </w:pPr>
            <w:r>
              <w:rPr>
                <w:rFonts w:ascii="Calibri" w:hAnsi="Calibri"/>
                <w:sz w:val="17"/>
              </w:rPr>
              <w:t>Is 25 points proportionate, or should portfolio proof remain valuable without dominating direct employer evidence?</w:t>
            </w:r>
          </w:p>
        </w:tc>
      </w:tr>
      <w:tr>
        <w:tc>
          <w:tcPr>
            <w:tcW w:type="dxa" w:w="648"/>
            <w:vAlign w:val="top"/>
          </w:tcPr>
          <w:p>
            <w:pPr>
              <w:spacing w:after="40" w:line="252" w:lineRule="auto"/>
            </w:pPr>
            <w:r>
              <w:rPr>
                <w:rFonts w:ascii="Calibri" w:hAnsi="Calibri"/>
                <w:sz w:val="17"/>
              </w:rPr>
              <w:t>6</w:t>
            </w:r>
          </w:p>
        </w:tc>
        <w:tc>
          <w:tcPr>
            <w:tcW w:type="dxa" w:w="1008"/>
            <w:vAlign w:val="top"/>
          </w:tcPr>
          <w:p>
            <w:pPr>
              <w:spacing w:after="40" w:line="252" w:lineRule="auto"/>
            </w:pPr>
            <w:r>
              <w:rPr>
                <w:rFonts w:ascii="Calibri" w:hAnsi="Calibri"/>
                <w:sz w:val="17"/>
              </w:rPr>
              <w:t>SE</w:t>
            </w:r>
          </w:p>
        </w:tc>
        <w:tc>
          <w:tcPr>
            <w:tcW w:type="dxa" w:w="7704"/>
            <w:vAlign w:val="top"/>
          </w:tcPr>
          <w:p>
            <w:pPr>
              <w:spacing w:after="40" w:line="252" w:lineRule="auto"/>
            </w:pPr>
            <w:r>
              <w:rPr>
                <w:rFonts w:ascii="Calibri" w:hAnsi="Calibri"/>
                <w:sz w:val="17"/>
              </w:rPr>
              <w:t>Retain as product judgment, validate through candidate testing, and avoid claiming market validation.</w:t>
            </w:r>
          </w:p>
        </w:tc>
      </w:tr>
      <w:tr>
        <w:tc>
          <w:tcPr>
            <w:tcW w:type="dxa" w:w="648"/>
            <w:vAlign w:val="top"/>
          </w:tcPr>
          <w:p>
            <w:pPr>
              <w:spacing w:after="40" w:line="252" w:lineRule="auto"/>
            </w:pPr>
            <w:r>
              <w:rPr>
                <w:rFonts w:ascii="Calibri" w:hAnsi="Calibri"/>
                <w:sz w:val="17"/>
              </w:rPr>
              <w:t>7</w:t>
            </w:r>
          </w:p>
        </w:tc>
        <w:tc>
          <w:tcPr>
            <w:tcW w:type="dxa" w:w="1008"/>
            <w:vAlign w:val="top"/>
          </w:tcPr>
          <w:p>
            <w:pPr>
              <w:spacing w:after="40" w:line="252" w:lineRule="auto"/>
            </w:pPr>
            <w:r>
              <w:rPr>
                <w:rFonts w:ascii="Calibri" w:hAnsi="Calibri"/>
                <w:sz w:val="17"/>
              </w:rPr>
              <w:t>DA</w:t>
            </w:r>
          </w:p>
        </w:tc>
        <w:tc>
          <w:tcPr>
            <w:tcW w:type="dxa" w:w="7704"/>
            <w:vAlign w:val="top"/>
          </w:tcPr>
          <w:p>
            <w:pPr>
              <w:spacing w:after="40" w:line="252" w:lineRule="auto"/>
            </w:pPr>
            <w:r>
              <w:rPr>
                <w:rFonts w:ascii="Calibri" w:hAnsi="Calibri"/>
                <w:sz w:val="17"/>
              </w:rPr>
              <w:t>Keep SQL central; decide whether 81.3% prevalence justifies the current hard cap or a steep scoring penalty.</w:t>
            </w:r>
          </w:p>
        </w:tc>
      </w:tr>
      <w:tr>
        <w:tc>
          <w:tcPr>
            <w:tcW w:type="dxa" w:w="648"/>
            <w:vAlign w:val="top"/>
          </w:tcPr>
          <w:p>
            <w:pPr>
              <w:spacing w:after="40" w:line="252" w:lineRule="auto"/>
            </w:pPr>
            <w:r>
              <w:rPr>
                <w:rFonts w:ascii="Calibri" w:hAnsi="Calibri"/>
                <w:sz w:val="17"/>
              </w:rPr>
              <w:t>8</w:t>
            </w:r>
          </w:p>
        </w:tc>
        <w:tc>
          <w:tcPr>
            <w:tcW w:type="dxa" w:w="1008"/>
            <w:vAlign w:val="top"/>
          </w:tcPr>
          <w:p>
            <w:pPr>
              <w:spacing w:after="40" w:line="252" w:lineRule="auto"/>
            </w:pPr>
            <w:r>
              <w:rPr>
                <w:rFonts w:ascii="Calibri" w:hAnsi="Calibri"/>
                <w:sz w:val="17"/>
              </w:rPr>
              <w:t>DA</w:t>
            </w:r>
          </w:p>
        </w:tc>
        <w:tc>
          <w:tcPr>
            <w:tcW w:type="dxa" w:w="7704"/>
            <w:vAlign w:val="top"/>
          </w:tcPr>
          <w:p>
            <w:pPr>
              <w:spacing w:after="40" w:line="252" w:lineRule="auto"/>
            </w:pPr>
            <w:r>
              <w:rPr>
                <w:rFonts w:ascii="Calibri" w:hAnsi="Calibri"/>
                <w:sz w:val="17"/>
              </w:rPr>
              <w:t>Keep Excel important but distinguish basic listing from advanced analytical use.</w:t>
            </w:r>
          </w:p>
        </w:tc>
      </w:tr>
      <w:tr>
        <w:tc>
          <w:tcPr>
            <w:tcW w:type="dxa" w:w="648"/>
            <w:vAlign w:val="top"/>
          </w:tcPr>
          <w:p>
            <w:pPr>
              <w:spacing w:after="40" w:line="252" w:lineRule="auto"/>
            </w:pPr>
            <w:r>
              <w:rPr>
                <w:rFonts w:ascii="Calibri" w:hAnsi="Calibri"/>
                <w:sz w:val="17"/>
              </w:rPr>
              <w:t>9</w:t>
            </w:r>
          </w:p>
        </w:tc>
        <w:tc>
          <w:tcPr>
            <w:tcW w:type="dxa" w:w="1008"/>
            <w:vAlign w:val="top"/>
          </w:tcPr>
          <w:p>
            <w:pPr>
              <w:spacing w:after="40" w:line="252" w:lineRule="auto"/>
            </w:pPr>
            <w:r>
              <w:rPr>
                <w:rFonts w:ascii="Calibri" w:hAnsi="Calibri"/>
                <w:sz w:val="17"/>
              </w:rPr>
              <w:t>DA</w:t>
            </w:r>
          </w:p>
        </w:tc>
        <w:tc>
          <w:tcPr>
            <w:tcW w:type="dxa" w:w="7704"/>
            <w:vAlign w:val="top"/>
          </w:tcPr>
          <w:p>
            <w:pPr>
              <w:spacing w:after="40" w:line="252" w:lineRule="auto"/>
            </w:pPr>
            <w:r>
              <w:rPr>
                <w:rFonts w:ascii="Calibri" w:hAnsi="Calibri"/>
                <w:sz w:val="17"/>
              </w:rPr>
              <w:t>Keep Power BI prominent while allowing equivalent BI tools to earn substantial credit.</w:t>
            </w:r>
          </w:p>
        </w:tc>
      </w:tr>
      <w:tr>
        <w:tc>
          <w:tcPr>
            <w:tcW w:type="dxa" w:w="648"/>
            <w:vAlign w:val="top"/>
          </w:tcPr>
          <w:p>
            <w:pPr>
              <w:spacing w:after="40" w:line="252" w:lineRule="auto"/>
            </w:pPr>
            <w:r>
              <w:rPr>
                <w:rFonts w:ascii="Calibri" w:hAnsi="Calibri"/>
                <w:sz w:val="17"/>
              </w:rPr>
              <w:t>10</w:t>
            </w:r>
          </w:p>
        </w:tc>
        <w:tc>
          <w:tcPr>
            <w:tcW w:type="dxa" w:w="1008"/>
            <w:vAlign w:val="top"/>
          </w:tcPr>
          <w:p>
            <w:pPr>
              <w:spacing w:after="40" w:line="252" w:lineRule="auto"/>
            </w:pPr>
            <w:r>
              <w:rPr>
                <w:rFonts w:ascii="Calibri" w:hAnsi="Calibri"/>
                <w:sz w:val="17"/>
              </w:rPr>
              <w:t>DA</w:t>
            </w:r>
          </w:p>
        </w:tc>
        <w:tc>
          <w:tcPr>
            <w:tcW w:type="dxa" w:w="7704"/>
            <w:vAlign w:val="top"/>
          </w:tcPr>
          <w:p>
            <w:pPr>
              <w:spacing w:after="40" w:line="252" w:lineRule="auto"/>
            </w:pPr>
            <w:r>
              <w:rPr>
                <w:rFonts w:ascii="Calibri" w:hAnsi="Calibri"/>
                <w:sz w:val="17"/>
              </w:rPr>
              <w:t>Keep Python as a strong secondary skill rather than a prerequisite for a strong overall score.</w:t>
            </w:r>
          </w:p>
        </w:tc>
      </w:tr>
      <w:tr>
        <w:tc>
          <w:tcPr>
            <w:tcW w:type="dxa" w:w="648"/>
            <w:vAlign w:val="top"/>
          </w:tcPr>
          <w:p>
            <w:pPr>
              <w:spacing w:after="40" w:line="252" w:lineRule="auto"/>
            </w:pPr>
            <w:r>
              <w:rPr>
                <w:rFonts w:ascii="Calibri" w:hAnsi="Calibri"/>
                <w:sz w:val="17"/>
              </w:rPr>
              <w:t>11</w:t>
            </w:r>
          </w:p>
        </w:tc>
        <w:tc>
          <w:tcPr>
            <w:tcW w:type="dxa" w:w="1008"/>
            <w:vAlign w:val="top"/>
          </w:tcPr>
          <w:p>
            <w:pPr>
              <w:spacing w:after="40" w:line="252" w:lineRule="auto"/>
            </w:pPr>
            <w:r>
              <w:rPr>
                <w:rFonts w:ascii="Calibri" w:hAnsi="Calibri"/>
                <w:sz w:val="17"/>
              </w:rPr>
              <w:t>DA</w:t>
            </w:r>
          </w:p>
        </w:tc>
        <w:tc>
          <w:tcPr>
            <w:tcW w:type="dxa" w:w="7704"/>
            <w:vAlign w:val="top"/>
          </w:tcPr>
          <w:p>
            <w:pPr>
              <w:spacing w:after="40" w:line="252" w:lineRule="auto"/>
            </w:pPr>
            <w:r>
              <w:rPr>
                <w:rFonts w:ascii="Calibri" w:hAnsi="Calibri"/>
                <w:sz w:val="17"/>
              </w:rPr>
              <w:t>Do not remove the competency solely because the structured field captured it rarely; verify against fuller wording or candidate testing.</w:t>
            </w:r>
          </w:p>
        </w:tc>
      </w:tr>
      <w:tr>
        <w:tc>
          <w:tcPr>
            <w:tcW w:type="dxa" w:w="648"/>
            <w:vAlign w:val="top"/>
          </w:tcPr>
          <w:p>
            <w:pPr>
              <w:spacing w:after="40" w:line="252" w:lineRule="auto"/>
            </w:pPr>
            <w:r>
              <w:rPr>
                <w:rFonts w:ascii="Calibri" w:hAnsi="Calibri"/>
                <w:sz w:val="17"/>
              </w:rPr>
              <w:t>12</w:t>
            </w:r>
          </w:p>
        </w:tc>
        <w:tc>
          <w:tcPr>
            <w:tcW w:type="dxa" w:w="1008"/>
            <w:vAlign w:val="top"/>
          </w:tcPr>
          <w:p>
            <w:pPr>
              <w:spacing w:after="40" w:line="252" w:lineRule="auto"/>
            </w:pPr>
            <w:r>
              <w:rPr>
                <w:rFonts w:ascii="Calibri" w:hAnsi="Calibri"/>
                <w:sz w:val="17"/>
              </w:rPr>
              <w:t>DA</w:t>
            </w:r>
          </w:p>
        </w:tc>
        <w:tc>
          <w:tcPr>
            <w:tcW w:type="dxa" w:w="7704"/>
            <w:vAlign w:val="top"/>
          </w:tcPr>
          <w:p>
            <w:pPr>
              <w:spacing w:after="40" w:line="252" w:lineRule="auto"/>
            </w:pPr>
            <w:r>
              <w:rPr>
                <w:rFonts w:ascii="Calibri" w:hAnsi="Calibri"/>
                <w:sz w:val="17"/>
              </w:rPr>
              <w:t>Reduce or reframe the weight unless candidate testing shows portfolio proof predicts report usefulness.</w:t>
            </w:r>
          </w:p>
        </w:tc>
      </w:tr>
      <w:tr>
        <w:tc>
          <w:tcPr>
            <w:tcW w:type="dxa" w:w="648"/>
            <w:vAlign w:val="top"/>
          </w:tcPr>
          <w:p>
            <w:pPr>
              <w:spacing w:after="40" w:line="252" w:lineRule="auto"/>
            </w:pPr>
            <w:r>
              <w:rPr>
                <w:rFonts w:ascii="Calibri" w:hAnsi="Calibri"/>
                <w:sz w:val="17"/>
              </w:rPr>
              <w:t>13</w:t>
            </w:r>
          </w:p>
        </w:tc>
        <w:tc>
          <w:tcPr>
            <w:tcW w:type="dxa" w:w="1008"/>
            <w:vAlign w:val="top"/>
          </w:tcPr>
          <w:p>
            <w:pPr>
              <w:spacing w:after="40" w:line="252" w:lineRule="auto"/>
            </w:pPr>
            <w:r>
              <w:rPr>
                <w:rFonts w:ascii="Calibri" w:hAnsi="Calibri"/>
                <w:sz w:val="17"/>
              </w:rPr>
              <w:t>Both</w:t>
            </w:r>
          </w:p>
        </w:tc>
        <w:tc>
          <w:tcPr>
            <w:tcW w:type="dxa" w:w="7704"/>
            <w:vAlign w:val="top"/>
          </w:tcPr>
          <w:p>
            <w:pPr>
              <w:spacing w:after="40" w:line="252" w:lineRule="auto"/>
            </w:pPr>
            <w:r>
              <w:rPr>
                <w:rFonts w:ascii="Calibri" w:hAnsi="Calibri"/>
                <w:sz w:val="17"/>
              </w:rPr>
              <w:t>Retain only as an assessment-quality criterion and validate during end-to-end candidate testing.</w:t>
            </w:r>
          </w:p>
        </w:tc>
      </w:tr>
    </w:tbl>
    <w:p>
      <w:pPr>
        <w:pStyle w:val="Heading2"/>
      </w:pPr>
      <w:r>
        <w:t>Definition of Phase 7 completion</w:t>
      </w:r>
    </w:p>
    <w:tbl>
      <w:tblPr>
        <w:tblStyle w:val="TableGrid"/>
        <w:tblW w:type="dxa" w:w="9360"/>
        <w:jc w:val="left"/>
        <w:tblLayout w:type="fixed"/>
        <w:tblLook w:firstColumn="1" w:firstRow="1" w:lastColumn="0" w:lastRow="0" w:noHBand="0" w:noVBand="1" w:val="04A0"/>
        <w:tblInd w:w="120" w:type="dxa"/>
      </w:tblPr>
      <w:tblGrid>
        <w:gridCol w:w="2520"/>
        <w:gridCol w:w="6840"/>
      </w:tblGrid>
      <w:tr>
        <w:trPr>
          <w:tblHeader w:val="true"/>
        </w:trPr>
        <w:tc>
          <w:tcPr>
            <w:tcW w:type="dxa" w:w="2520"/>
            <w:tcMar>
              <w:top w:w="80" w:type="dxa"/>
              <w:start w:w="120" w:type="dxa"/>
              <w:bottom w:w="80" w:type="dxa"/>
              <w:end w:w="120" w:type="dxa"/>
            </w:tcMar>
            <w:shd w:fill="102A43"/>
            <w:vAlign w:val="center"/>
          </w:tcPr>
          <w:p>
            <w:r>
              <w:rPr>
                <w:rFonts w:ascii="Calibri" w:hAnsi="Calibri"/>
                <w:b/>
                <w:color w:val="FFFFFF"/>
                <w:sz w:val="20"/>
              </w:rPr>
              <w:t>Completion test</w:t>
            </w:r>
          </w:p>
        </w:tc>
        <w:tc>
          <w:tcPr>
            <w:tcW w:type="dxa" w:w="6840"/>
            <w:tcMar>
              <w:top w:w="80" w:type="dxa"/>
              <w:start w:w="120" w:type="dxa"/>
              <w:bottom w:w="80" w:type="dxa"/>
              <w:end w:w="120" w:type="dxa"/>
            </w:tcMar>
            <w:shd w:fill="102A43"/>
            <w:vAlign w:val="center"/>
          </w:tcPr>
          <w:p>
            <w:r>
              <w:rPr>
                <w:rFonts w:ascii="Calibri" w:hAnsi="Calibri"/>
                <w:b/>
                <w:color w:val="FFFFFF"/>
                <w:sz w:val="20"/>
              </w:rPr>
              <w:t>Outcome</w:t>
            </w:r>
          </w:p>
        </w:tc>
      </w:tr>
      <w:tr>
        <w:tc>
          <w:tcPr>
            <w:tcW w:type="dxa" w:w="2520"/>
            <w:vAlign w:val="top"/>
          </w:tcPr>
          <w:p>
            <w:pPr>
              <w:spacing w:after="40" w:line="252" w:lineRule="auto"/>
            </w:pPr>
            <w:r>
              <w:rPr>
                <w:rFonts w:ascii="Calibri" w:hAnsi="Calibri"/>
                <w:sz w:val="19"/>
              </w:rPr>
              <w:t>Frequency tables</w:t>
            </w:r>
          </w:p>
        </w:tc>
        <w:tc>
          <w:tcPr>
            <w:tcW w:type="dxa" w:w="6840"/>
            <w:vAlign w:val="top"/>
          </w:tcPr>
          <w:p>
            <w:pPr>
              <w:spacing w:after="40" w:line="252" w:lineRule="auto"/>
            </w:pPr>
            <w:r>
              <w:rPr>
                <w:rFonts w:ascii="Calibri" w:hAnsi="Calibri"/>
                <w:sz w:val="19"/>
              </w:rPr>
              <w:t>Complete for track-specific skills, tools, qualifications, experience and work arrangements</w:t>
            </w:r>
          </w:p>
        </w:tc>
      </w:tr>
      <w:tr>
        <w:tc>
          <w:tcPr>
            <w:tcW w:type="dxa" w:w="2520"/>
            <w:vAlign w:val="top"/>
          </w:tcPr>
          <w:p>
            <w:pPr>
              <w:spacing w:after="40" w:line="252" w:lineRule="auto"/>
            </w:pPr>
            <w:r>
              <w:rPr>
                <w:rFonts w:ascii="Calibri" w:hAnsi="Calibri"/>
                <w:sz w:val="19"/>
              </w:rPr>
              <w:t>Qualitative coding</w:t>
            </w:r>
          </w:p>
        </w:tc>
        <w:tc>
          <w:tcPr>
            <w:tcW w:type="dxa" w:w="6840"/>
            <w:vAlign w:val="top"/>
          </w:tcPr>
          <w:p>
            <w:pPr>
              <w:spacing w:after="40" w:line="252" w:lineRule="auto"/>
            </w:pPr>
            <w:r>
              <w:rPr>
                <w:rFonts w:ascii="Calibri" w:hAnsi="Calibri"/>
                <w:sz w:val="19"/>
              </w:rPr>
              <w:t>Complete with original phrases, themes and unique post-theme flags</w:t>
            </w:r>
          </w:p>
        </w:tc>
      </w:tr>
      <w:tr>
        <w:tc>
          <w:tcPr>
            <w:tcW w:type="dxa" w:w="2520"/>
            <w:vAlign w:val="top"/>
          </w:tcPr>
          <w:p>
            <w:pPr>
              <w:spacing w:after="40" w:line="252" w:lineRule="auto"/>
            </w:pPr>
            <w:r>
              <w:rPr>
                <w:rFonts w:ascii="Calibri" w:hAnsi="Calibri"/>
                <w:sz w:val="19"/>
              </w:rPr>
              <w:t>Cross-track comparison</w:t>
            </w:r>
          </w:p>
        </w:tc>
        <w:tc>
          <w:tcPr>
            <w:tcW w:type="dxa" w:w="6840"/>
            <w:vAlign w:val="top"/>
          </w:tcPr>
          <w:p>
            <w:pPr>
              <w:spacing w:after="40" w:line="252" w:lineRule="auto"/>
            </w:pPr>
            <w:r>
              <w:rPr>
                <w:rFonts w:ascii="Calibri" w:hAnsi="Calibri"/>
                <w:sz w:val="19"/>
              </w:rPr>
              <w:t>Complete for genuinely comparable dimensions</w:t>
            </w:r>
          </w:p>
        </w:tc>
      </w:tr>
      <w:tr>
        <w:tc>
          <w:tcPr>
            <w:tcW w:type="dxa" w:w="2520"/>
            <w:vAlign w:val="top"/>
          </w:tcPr>
          <w:p>
            <w:pPr>
              <w:spacing w:after="40" w:line="252" w:lineRule="auto"/>
            </w:pPr>
            <w:r>
              <w:rPr>
                <w:rFonts w:ascii="Calibri" w:hAnsi="Calibri"/>
                <w:sz w:val="19"/>
              </w:rPr>
              <w:t>Rubric evidence</w:t>
            </w:r>
          </w:p>
        </w:tc>
        <w:tc>
          <w:tcPr>
            <w:tcW w:type="dxa" w:w="6840"/>
            <w:vAlign w:val="top"/>
          </w:tcPr>
          <w:p>
            <w:pPr>
              <w:spacing w:after="40" w:line="252" w:lineRule="auto"/>
            </w:pPr>
            <w:r>
              <w:rPr>
                <w:rFonts w:ascii="Calibri" w:hAnsi="Calibri"/>
                <w:sz w:val="19"/>
              </w:rPr>
              <w:t>Complete with supported, partial, challenged, insufficient and not-measurable verdicts</w:t>
            </w:r>
          </w:p>
        </w:tc>
      </w:tr>
      <w:tr>
        <w:tc>
          <w:tcPr>
            <w:tcW w:type="dxa" w:w="2520"/>
            <w:vAlign w:val="top"/>
          </w:tcPr>
          <w:p>
            <w:pPr>
              <w:spacing w:after="40" w:line="252" w:lineRule="auto"/>
            </w:pPr>
            <w:r>
              <w:rPr>
                <w:rFonts w:ascii="Calibri" w:hAnsi="Calibri"/>
                <w:sz w:val="19"/>
              </w:rPr>
              <w:t>Reproducibility</w:t>
            </w:r>
          </w:p>
        </w:tc>
        <w:tc>
          <w:tcPr>
            <w:tcW w:type="dxa" w:w="6840"/>
            <w:vAlign w:val="top"/>
          </w:tcPr>
          <w:p>
            <w:pPr>
              <w:spacing w:after="40" w:line="252" w:lineRule="auto"/>
            </w:pPr>
            <w:r>
              <w:rPr>
                <w:rFonts w:ascii="Calibri" w:hAnsi="Calibri"/>
                <w:sz w:val="19"/>
              </w:rPr>
              <w:t>Workbook formulas reproduce summary counts from auditable coding and source sheets</w:t>
            </w:r>
          </w:p>
        </w:tc>
      </w:tr>
      <w:tr>
        <w:tc>
          <w:tcPr>
            <w:tcW w:type="dxa" w:w="2520"/>
            <w:vAlign w:val="top"/>
          </w:tcPr>
          <w:p>
            <w:pPr>
              <w:spacing w:after="40" w:line="252" w:lineRule="auto"/>
            </w:pPr>
            <w:r>
              <w:rPr>
                <w:rFonts w:ascii="Calibri" w:hAnsi="Calibri"/>
                <w:sz w:val="19"/>
              </w:rPr>
              <w:t>Rubric changes</w:t>
            </w:r>
          </w:p>
        </w:tc>
        <w:tc>
          <w:tcPr>
            <w:tcW w:type="dxa" w:w="6840"/>
            <w:vAlign w:val="top"/>
          </w:tcPr>
          <w:p>
            <w:pPr>
              <w:spacing w:after="40" w:line="252" w:lineRule="auto"/>
            </w:pPr>
            <w:r>
              <w:rPr>
                <w:rFonts w:ascii="Calibri" w:hAnsi="Calibri"/>
                <w:sz w:val="19"/>
              </w:rPr>
              <w:t>None made; decision queue handed to Phase 8</w:t>
            </w:r>
          </w:p>
        </w:tc>
      </w:tr>
    </w:tbl>
    <w:tbl>
      <w:tblPr>
        <w:tblW w:type="dxa" w:w="9360"/>
        <w:jc w:val="left"/>
        <w:tblLayout w:type="fixed"/>
        <w:tblLook w:firstColumn="1" w:firstRow="1" w:lastColumn="0" w:lastRow="0" w:noHBand="0" w:noVBand="1" w:val="04A0"/>
        <w:tblInd w:w="120" w:type="dxa"/>
      </w:tblPr>
      <w:tblGrid>
        <w:gridCol w:w="173"/>
        <w:gridCol w:w="9187"/>
      </w:tblGrid>
      <w:tr>
        <w:tc>
          <w:tcPr>
            <w:tcW w:type="dxa" w:w="173"/>
            <w:tcMar>
              <w:top w:w="80" w:type="dxa"/>
              <w:start w:w="120" w:type="dxa"/>
              <w:bottom w:w="80" w:type="dxa"/>
              <w:end w:w="120" w:type="dxa"/>
            </w:tcMar>
            <w:shd w:fill="167D7F"/>
          </w:tcPr>
          <w:p>
            <w:r/>
          </w:p>
        </w:tc>
        <w:tc>
          <w:tcPr>
            <w:tcW w:type="dxa" w:w="9187"/>
            <w:tcMar>
              <w:top w:w="80" w:type="dxa"/>
              <w:start w:w="120" w:type="dxa"/>
              <w:bottom w:w="80" w:type="dxa"/>
              <w:end w:w="120" w:type="dxa"/>
            </w:tcMar>
            <w:shd w:fill="DFF3F2"/>
            <w:vAlign w:val="center"/>
          </w:tcPr>
          <w:p>
            <w:pPr>
              <w:spacing w:after="40"/>
            </w:pPr>
            <w:r>
              <w:rPr>
                <w:rFonts w:ascii="Calibri" w:hAnsi="Calibri"/>
                <w:b/>
                <w:color w:val="102A43"/>
              </w:rPr>
              <w:t>Phase 7 status</w:t>
            </w:r>
          </w:p>
          <w:p>
            <w:pPr>
              <w:spacing w:after="0"/>
            </w:pPr>
            <w:r>
              <w:t>Complete. The next authorised phase is evidence-based rubric revision; the current files do not alter Rubric V1.</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2606D"/>
        <w:sz w:val="18"/>
      </w:rPr>
      <w:t xml:space="preserve">Page </w:t>
    </w:r>
    <w:r>
      <w:rPr>
        <w:rFonts w:ascii="Calibri" w:hAnsi="Calibri"/>
        <w:color w:val="52606D"/>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D9E2EC"/>
      </w:pBdr>
    </w:pPr>
    <w:r>
      <w:rPr>
        <w:rFonts w:ascii="Calibri" w:hAnsi="Calibri"/>
        <w:b/>
        <w:color w:val="52606D"/>
        <w:sz w:val="18"/>
      </w:rPr>
      <w:t>SKILLSIGNALZA  •  MARKET FINDINGS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5A9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5A9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SkillSignalZA Market Findings V1</dc:title>
  <dc:subject>Phase 7 market analysis</dc:subject>
  <dc:creator>SkillSignalZA</dc:creator>
  <cp:keywords>SkillSignalZA, South Africa, software engineering, data analytics, market analysis</cp:keywords>
  <dc:description>generated by python-docx</dc:description>
  <cp:lastModifiedBy/>
  <cp:revision>1</cp:revision>
  <dcterms:created xsi:type="dcterms:W3CDTF">2013-12-23T23:15:00Z</dcterms:created>
  <dcterms:modified xsi:type="dcterms:W3CDTF">2013-12-23T23:15:00Z</dcterms:modified>
  <cp:category/>
</cp:coreProperties>
</file>