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00" w:after="360" w:line="300" w:lineRule="auto"/>
        <w:jc w:val="center"/>
      </w:pPr>
      <w:r>
        <w:rPr>
          <w:rFonts w:ascii="Calibri" w:hAnsi="Calibri"/>
          <w:b/>
          <w:i w:val="0"/>
          <w:color w:val="0F766E"/>
          <w:sz w:val="20"/>
        </w:rPr>
        <w:t>SKILLSIGNALZA</w:t>
      </w:r>
    </w:p>
    <w:p>
      <w:pPr>
        <w:spacing w:before="0" w:after="160" w:line="240" w:lineRule="auto"/>
        <w:jc w:val="center"/>
      </w:pPr>
      <w:r>
        <w:rPr>
          <w:rFonts w:ascii="Calibri" w:hAnsi="Calibri"/>
          <w:b/>
          <w:i w:val="0"/>
          <w:color w:val="0B2545"/>
          <w:sz w:val="60"/>
        </w:rPr>
        <w:t>Rubric V2</w:t>
      </w:r>
    </w:p>
    <w:p>
      <w:pPr>
        <w:pStyle w:val="Subtitle"/>
        <w:jc w:val="center"/>
      </w:pPr>
      <w:r>
        <w:rPr>
          <w:rFonts w:ascii="Calibri" w:hAnsi="Calibri"/>
          <w:b w:val="0"/>
          <w:i/>
          <w:color w:val="667085"/>
          <w:sz w:val="28"/>
        </w:rPr>
        <w:t>Launch Candidate</w:t>
      </w:r>
    </w:p>
    <w:p>
      <w:pPr>
        <w:keepNext w:val="0"/>
        <w:spacing w:before="0" w:after="600" w:line="300" w:lineRule="auto"/>
        <w:jc w:val="center"/>
      </w:pPr>
      <w:r>
        <w:rPr>
          <w:rFonts w:ascii="Calibri" w:hAnsi="Calibri"/>
          <w:b w:val="0"/>
          <w:i w:val="0"/>
          <w:color w:val="1F4D78"/>
          <w:sz w:val="24"/>
        </w:rPr>
        <w:t>Evidence-based scoring for entry-level Software Engineering and Data Analytics application bundles in South Africa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Document field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Launch Candidate - provisional pending candidate testing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Approved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13 August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Assessment scope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CV plus candidate-provided links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Research 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22 Software Engineering + 16 Data Analytics retained job posts</w:t>
            </w:r>
          </w:p>
        </w:tc>
      </w:tr>
    </w:tbl>
    <w:p>
      <w:pPr>
        <w:spacing w:after="40" w:before="0"/>
      </w:pPr>
    </w:p>
    <w:p>
      <w:pPr>
        <w:keepNext w:val="0"/>
        <w:spacing w:before="320" w:after="0" w:line="300" w:lineRule="auto"/>
        <w:jc w:val="center"/>
      </w:pPr>
      <w:r>
        <w:rPr>
          <w:rFonts w:ascii="Calibri" w:hAnsi="Calibri"/>
          <w:b w:val="0"/>
          <w:i/>
          <w:color w:val="667085"/>
          <w:sz w:val="20"/>
        </w:rPr>
        <w:t>This rubric measures demonstrated application readiness. It does not measure hidden capability or predict hiring outcomes.</w:t>
      </w:r>
    </w:p>
    <w:p>
      <w:r>
        <w:br w:type="page"/>
      </w:r>
    </w:p>
    <w:p>
      <w:pPr>
        <w:pStyle w:val="Heading1"/>
      </w:pPr>
      <w:r>
        <w:t>1. Purpose and assessment boundary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Rubric V2 converts the approved Phase 8 calibration decisions into deterministic scoring instructions for the SkillSignalZA paid-MVP workflow. It is designed to support consistent manual-assisted assessment before a scoring worksheet or local tool is built in Phase 9.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6F4F1"/>
          <w:left w:val="single" w:sz="2" w:color="E6F4F1"/>
          <w:bottom w:val="single" w:sz="2" w:color="E6F4F1"/>
          <w:right w:val="single" w:sz="2" w:color="E6F4F1"/>
          <w:insideH w:val="single" w:sz="2" w:color="E6F4F1"/>
          <w:insideV w:val="single" w:sz="2" w:color="E6F4F1"/>
        </w:tblBorders>
      </w:tblPr>
      <w:tblGrid>
        <w:gridCol w:w="9360"/>
      </w:tblGrid>
      <w:tr>
        <w:tc>
          <w:tcPr>
            <w:tcW w:type="dxa" w:w="9360"/>
            <w:shd w:fill="E6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What the score means: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How strongly the candidate's submitted application bundle communicates readiness against the current South African entry-level benchmark.</w:t>
            </w:r>
          </w:p>
        </w:tc>
      </w:tr>
    </w:tbl>
    <w:p>
      <w:pPr>
        <w:spacing w:after="40"/>
      </w:pPr>
    </w:p>
    <w:p>
      <w:pPr>
        <w:pStyle w:val="Heading2"/>
      </w:pPr>
      <w:r>
        <w:t>1.1 Accepted evidence bundle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The candidate's CV.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Candidate-provided GitHub, GitLab, Bitbucket, portfolio, Kaggle, project, dashboard, or deployed-project links.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Other directly submitted professional evidence that can be safely attributed to the candidate.</w:t>
      </w:r>
    </w:p>
    <w:p>
      <w:pPr>
        <w:pStyle w:val="Heading2"/>
      </w:pPr>
      <w:r>
        <w:t>1.2 Explicit exclusions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Coding challenges, tests, interviews, live demonstrations, and capability assessments.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Skills or technologies inferred from related frameworks, libraries, qualifications, tools, or job titles.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Evidence found independently on the internet but not submitted by the candidate.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Claims about employability, hiring probability, intelligence, potential, or future performance.</w:t>
      </w:r>
    </w:p>
    <w:p>
      <w:pPr>
        <w:pStyle w:val="Heading1"/>
      </w:pPr>
      <w:r>
        <w:t>2. Shared scoring framework</w:t>
      </w:r>
    </w:p>
    <w:p>
      <w:pPr>
        <w:pStyle w:val="Heading2"/>
      </w:pPr>
      <w:r>
        <w:t>2.1 Evidence levels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800"/>
        <w:gridCol w:w="5160"/>
        <w:gridCol w:w="24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Level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Definition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Scoring use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Demonstrated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Directly supported by accessible submitted work, code, documentation, output, or a specific professional outcome.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 the criterion's demonstrated-point anchor.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Documented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Specifically described in the CV, coursework, certification, or experience with relevant context, but not directly verified through submitted work.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 the criterion's documented-point anchor.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Named only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skill or tool is explicitly named without enough context to establish depth or application.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Use the criterion's named-only anchor.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Missing or unverifiable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evidence is absent, inaccessible, too vague, or cannot be safely attributed to the candidate.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Award zero unless a criterion explicitly states otherwise.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2.2 Scoring mechanics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Use whole points only.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 category score cannot exceed its approved maximum; the raw total cannot exceed 100.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Unsupported claims earn zero for the criterion rather than a negative-point deduction.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Apply hard caps only after calculating the raw total.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If more than one cap applies, use the strictest cap.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When a cap changes the outcome, record both the raw score and the final capped score.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Record a short evidence note for each criterion so another assessor can audit the result.</w:t>
      </w:r>
    </w:p>
    <w:p>
      <w:pPr>
        <w:pStyle w:val="Heading2"/>
      </w:pPr>
      <w:r>
        <w:t>2.3 Overall score bands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296"/>
        <w:gridCol w:w="2880"/>
        <w:gridCol w:w="5184"/>
      </w:tblGrid>
      <w:tr>
        <w:trPr>
          <w:tblHeader w:val="true"/>
        </w:trP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Score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Band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Interpretation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80-100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Strong application evidence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Most benchmark signals are visible; the report should identify the remaining improvements without implying hiring certainty.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60-79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Developing application readiness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credible foundation is visible, but material gaps limit the strength of the submitted bundle.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40-59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Foundation visible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Some relevant evidence exists, but major improvements are needed before the bundle communicates broad readiness.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0-39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Limited application evidence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The submitted bundle does not yet communicate sufficient readiness against the benchmark.</w:t>
            </w:r>
          </w:p>
        </w:tc>
      </w:tr>
    </w:tbl>
    <w:p>
      <w:pPr>
        <w:spacing w:after="4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2CC"/>
          <w:left w:val="single" w:sz="2" w:color="FFF2CC"/>
          <w:bottom w:val="single" w:sz="2" w:color="FFF2CC"/>
          <w:right w:val="single" w:sz="2" w:color="FFF2CC"/>
          <w:insideH w:val="single" w:sz="2" w:color="FFF2CC"/>
          <w:insideV w:val="single" w:sz="2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The numerical bands are retained from V1 and remain provisional until candidate testing provides distribution and usability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2.4 Qualification and market-access scoring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Qualification points estimate access to advertised opportunities. They do not prove technical or analytical ability, and missing qualifications create no automatic exclusion or overall score cap.</w:t>
      </w:r>
    </w:p>
    <w:p>
      <w:pPr>
        <w:pStyle w:val="Heading3"/>
      </w:pPr>
      <w:r>
        <w:t>Software Engineering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7920"/>
        <w:gridCol w:w="1440"/>
      </w:tblGrid>
      <w:tr>
        <w:trPr>
          <w:tblHeader w:val="true"/>
        </w:trPr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route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Points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Completed relevant qualification meeting the typical market threshold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Relevant qualification in progress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Substantial equivalent technical experience without the typical qualification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6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Relevant bootcamp or certifications supported by applied evidence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Adjacent qualification with limited relevant upskilling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relevant qualification, training, or equivalent experience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</w:t>
            </w:r>
          </w:p>
        </w:tc>
      </w:tr>
    </w:tbl>
    <w:p>
      <w:pPr>
        <w:spacing w:after="40" w:before="0"/>
      </w:pPr>
    </w:p>
    <w:p>
      <w:pPr>
        <w:pStyle w:val="Heading3"/>
      </w:pPr>
      <w:r>
        <w:t>Data Analytics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7920"/>
        <w:gridCol w:w="1440"/>
      </w:tblGrid>
      <w:tr>
        <w:trPr>
          <w:tblHeader w:val="true"/>
        </w:trPr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route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Points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Completed relevant qualification meeting the typical market threshold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7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Relevant qualification in progress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Substantial equivalent analytical experience without the typical qualification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Relevant bootcamp or certifications supported by applied evidence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Adjacent qualification with limited relevant upskilling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No relevant qualification, training, or equivalent experience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0</w:t>
            </w:r>
          </w:p>
        </w:tc>
      </w:tr>
    </w:tbl>
    <w:p>
      <w:pPr>
        <w:spacing w:after="40" w:before="0"/>
      </w:pPr>
    </w:p>
    <w:p>
      <w:pPr>
        <w:pStyle w:val="Heading2"/>
      </w:pPr>
      <w:r>
        <w:t>2.5 Required, preferred, and optional criteria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Common required criteria may receive high weights or an approved hard cap.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Preferred criteria add points but do not create caps or exclusions.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Rare technologies remain optional differentiators.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Candidate proficiency labels such as 'advanced' do not determine points without supporting evidence.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V2 is a general market benchmark, not a specific-vacancy matching system.</w:t>
      </w:r>
    </w:p>
    <w:p>
      <w:pPr>
        <w:pStyle w:val="Heading2"/>
      </w:pPr>
      <w:r>
        <w:t>2.6 Double-counting prevention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A repeated claim does not earn extra points. One evidence item may support distinct dimensions only when the rubric separates what is being measured.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SQL competency and a named database environment are distinct: one measures analytical use; the other measures platform familiarity.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Git workflow and GitHub project proof are distinct: one measures version-control practice; the other measures accessible work evidence.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 project may upgrade a skill's evidence level while project-category points assess relevance, depth, accessibility, and presentation.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The same wording copied between the CV and portfolio earns no additional credit.</w:t>
      </w:r>
    </w:p>
    <w:p>
      <w:r>
        <w:br w:type="page"/>
      </w:r>
    </w:p>
    <w:p>
      <w:pPr>
        <w:pStyle w:val="Heading1"/>
      </w:pPr>
      <w:r>
        <w:t>3. Software Engineering track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Track total: 100 points. Status: V2 Launch Candidate. The table below shows the approved category architecture.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7920"/>
        <w:gridCol w:w="1440"/>
      </w:tblGrid>
      <w:tr>
        <w:trPr>
          <w:tblHeader w:val="true"/>
        </w:trPr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Category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Weight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Core Technical Skills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35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Tools and Platforms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20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Applied Project Evidence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15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Application Alignment and Qualifications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20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Work Readiness Signals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10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Total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100</w:t>
            </w:r>
          </w:p>
        </w:tc>
      </w:tr>
    </w:tbl>
    <w:p>
      <w:pPr>
        <w:spacing w:after="4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8E6"/>
          <w:left w:val="single" w:sz="2" w:color="FCE8E6"/>
          <w:bottom w:val="single" w:sz="2" w:color="FCE8E6"/>
          <w:right w:val="single" w:sz="2" w:color="FCE8E6"/>
          <w:insideH w:val="single" w:sz="2" w:color="FCE8E6"/>
          <w:insideV w:val="single" w:sz="2" w:color="FCE8E6"/>
        </w:tblBorders>
      </w:tblPr>
      <w:tblGrid>
        <w:gridCol w:w="9360"/>
      </w:tblGrid>
      <w:t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Approved hard cap: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 specifically evidenced programming language anywhere in the submitted bundle: maximum final score 59. A named programming language appeared in 20 of 22 retained SE posts and is foundational to the track.</w:t>
            </w:r>
          </w:p>
        </w:tc>
      </w:tr>
    </w:tbl>
    <w:p>
      <w:pPr>
        <w:spacing w:after="40"/>
      </w:pPr>
    </w:p>
    <w:p>
      <w:pPr>
        <w:pStyle w:val="Heading2"/>
      </w:pPr>
      <w:r>
        <w:t>Core Technical Skills - 35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whether the bundle communicates a credible programming and software foundation.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Programming language evidence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Programming concepts and technical problem-solving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Application, API, and system fundamentals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Database fundamentals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Debugging and testing awareness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</w:tbl>
    <w:p>
      <w:pPr>
        <w:spacing w:after="40" w:before="0"/>
      </w:pPr>
    </w:p>
    <w:p>
      <w:pPr>
        <w:keepNext/>
        <w:spacing w:before="40" w:after="8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Criterion guidance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Programming language evidence: Any specifically evidenced language is eligible. No preferred-language list. If no language is evidenced anywhere, apply the overall cap of 59.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Programming concepts and technical problem-solving: Examples include functions, data structures, OOP, control flow, algorithms, and reasoned debugging.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Application, API, and system fundamentals: Credit specific evidence of application structure, APIs, client-server concepts, or system integration.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Database fundamentals: Measures database concepts and use; named database products are scored separately under Tools and Platforms.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Debugging and testing awareness: Testing or debugging must be specific enough to distinguish practice from a generic claim.</w:t>
      </w:r>
    </w:p>
    <w:p>
      <w:pPr>
        <w:pStyle w:val="Heading2"/>
      </w:pPr>
      <w:r>
        <w:t>Tools and Platforms - 20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explicit familiarity with the workflows and platforms used to build and ship software.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Version-control workflow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Framework or library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Database platform or tool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Development environment or command line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Collaborative repository platform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Deployment, container, or cloud awareness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</w:tbl>
    <w:p>
      <w:pPr>
        <w:spacing w:after="40" w:before="0"/>
      </w:pPr>
    </w:p>
    <w:p>
      <w:pPr>
        <w:keepNext/>
        <w:spacing w:before="40" w:after="8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Criterion guidance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Version-control workflow: Git is material but missing Git creates no category or overall cap.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Framework or library: A framework strengthens the score but is not mandatory. Do not infer a parent language.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Database platform or tool: Examples include PostgreSQL, MySQL, SQL Server, MongoDB, Firebase, or Supabase.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Development environment or command line: Do not award more than one point for merely naming an editor.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Collaborative repository platform: GitHub, GitLab, or Bitbucket may count here when platform use is distinct from Git workflow evidence.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Deployment, container, or cloud awareness: Maximum contribution is two points; this is a differentiator, not a baseline gate.</w:t>
      </w:r>
    </w:p>
    <w:p>
      <w:r>
        <w:br w:type="page"/>
      </w:r>
    </w:p>
    <w:p>
      <w:pPr>
        <w:pStyle w:val="Heading2"/>
      </w:pPr>
      <w:r>
        <w:t>Applied Project Evidence - 15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the relevance, depth, accessibility, and presentation of submitted software work.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Proof and accessibility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Problem definition and track relevance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Technical depth and ownership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Documentation and organisation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Pending candidate testing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Demonstrability or outcome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</w:tbl>
    <w:p>
      <w:pPr>
        <w:spacing w:after="4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2CC"/>
          <w:left w:val="single" w:sz="2" w:color="FFF2CC"/>
          <w:bottom w:val="single" w:sz="2" w:color="FFF2CC"/>
          <w:right w:val="single" w:sz="2" w:color="FFF2CC"/>
          <w:insideH w:val="single" w:sz="2" w:color="FFF2CC"/>
          <w:insideV w:val="single" w:sz="2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Category rule: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Without an accessible submitted project link, this category is capped at 8 of 15.</w:t>
            </w:r>
          </w:p>
        </w:tc>
      </w:tr>
    </w:tbl>
    <w:p>
      <w:pPr>
        <w:spacing w:after="40"/>
      </w:pPr>
    </w:p>
    <w:p>
      <w:pPr>
        <w:keepNext/>
        <w:spacing w:before="40" w:after="8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Criterion guidance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Proof and accessibility: Accessible candidate-provided code, portfolio, or deployed work earns the strongest credit.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Problem definition and track relevance: The candidate should explain what was built and why it is relevant.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Technical depth and ownership: Look for implementation detail, decisions, contribution, or modification beyond a tutorial clone.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Documentation and organisation: README and repository organisation are retained as provisional product-judgment criteria.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Demonstrability or outcome: Deployment, a working demo, test evidence, users, or a clear outcome may earn credit.</w:t>
      </w:r>
    </w:p>
    <w:p>
      <w:pPr>
        <w:pStyle w:val="Heading2"/>
      </w:pPr>
      <w:r>
        <w:t>Application Alignment and Qualifications - 20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likely access to advertised opportunities and whether the CV communicates a coherent Software Engineering application.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Qualification and market-access evidence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See qualification table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See qualification table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Target-role alignment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Specificity of skills and claims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Pending candidate testing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Evidence and outcomes in descriptions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Pending candidate testing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Structure and readability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</w:tbl>
    <w:p>
      <w:pPr>
        <w:spacing w:after="40" w:before="0"/>
      </w:pPr>
    </w:p>
    <w:p>
      <w:pPr>
        <w:keepNext/>
        <w:spacing w:before="40" w:after="8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Criterion guidance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Qualification and market-access evidence: Use the dedicated Software Engineering qualification table; qualifications do not prove technical ability and create no overall cap.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Target-role alignment: A separate professional summary is not mandatory if the target is otherwise clear.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Specificity of skills and claims: Named skills and contextual claims score above generic phrases.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Evidence and outcomes in descriptions: Credit concrete actions, scope, outputs, or outcomes; do not require invented metrics.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Structure and readability: Assess readability only. Do not penalise unexplained employment gaps or harmless visual preferences.</w:t>
      </w:r>
    </w:p>
    <w:p>
      <w:pPr>
        <w:pStyle w:val="Heading2"/>
      </w:pPr>
      <w:r>
        <w:t>Work Readiness Signals - 10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evidenced professional behaviours and exposure relevant to entry-level work.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Communication or documentation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Collaboration or teamwork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Professional exposure or responsibility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Initiative and continued learning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Self-management or applied problem-solving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</w:tbl>
    <w:p>
      <w:pPr>
        <w:spacing w:after="4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2CC"/>
          <w:left w:val="single" w:sz="2" w:color="FFF2CC"/>
          <w:bottom w:val="single" w:sz="2" w:color="FFF2CC"/>
          <w:right w:val="single" w:sz="2" w:color="FFF2CC"/>
          <w:insideH w:val="single" w:sz="2" w:color="FFF2CC"/>
          <w:insideV w:val="single" w:sz="2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Category rule: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Unsupported labels such as 'team player' or 'good communicator' earn zero.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Data Analytics track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Track total: 100 points. Status: V2 Launch Candidate. The table below shows the approved category architecture.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7920"/>
        <w:gridCol w:w="1440"/>
      </w:tblGrid>
      <w:tr>
        <w:trPr>
          <w:tblHeader w:val="true"/>
        </w:trPr>
        <w:tc>
          <w:tcPr>
            <w:tcW w:type="dxa" w:w="7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Category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Weight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Core Role Skills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40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Tools and Platforms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25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Applied Project Evidence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10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Application Alignment and Qualifications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15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Work Readiness Signals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10</w:t>
            </w:r>
          </w:p>
        </w:tc>
      </w:tr>
      <w:tr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Total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100</w:t>
            </w:r>
          </w:p>
        </w:tc>
      </w:tr>
    </w:tbl>
    <w:p>
      <w:pPr>
        <w:spacing w:after="4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8E6"/>
          <w:left w:val="single" w:sz="2" w:color="FCE8E6"/>
          <w:bottom w:val="single" w:sz="2" w:color="FCE8E6"/>
          <w:right w:val="single" w:sz="2" w:color="FCE8E6"/>
          <w:insideH w:val="single" w:sz="2" w:color="FCE8E6"/>
          <w:insideV w:val="single" w:sz="2" w:color="FCE8E6"/>
        </w:tblBorders>
      </w:tblPr>
      <w:tblGrid>
        <w:gridCol w:w="9360"/>
      </w:tblGrid>
      <w:t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Approved hard cap: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No SQL evidence anywhere in the submitted bundle: maximum final score 79. SQL appeared in 13 of 16 retained DA posts and is the most consistently requested technical skill in the track.</w:t>
            </w:r>
          </w:p>
        </w:tc>
      </w:tr>
    </w:tbl>
    <w:p>
      <w:pPr>
        <w:spacing w:after="40"/>
      </w:pPr>
    </w:p>
    <w:p>
      <w:pPr>
        <w:pStyle w:val="Heading2"/>
      </w:pPr>
      <w:r>
        <w:t>Core Role Skills - 40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the central analytical competencies most consistently visible in the market sample.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SQL competency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Spreadsheet analysis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8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Analysis, interpretation, and statistics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 cleaning and preparation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Pending candidate testing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Reporting and communication of findings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</w:tbl>
    <w:p>
      <w:pPr>
        <w:spacing w:after="40" w:before="0"/>
      </w:pPr>
    </w:p>
    <w:p>
      <w:pPr>
        <w:keepNext/>
        <w:spacing w:before="40" w:after="8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Criterion guidance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SQL competency: Look for querying, filtering, joins, aggregation, or database work. Missing SQL triggers the overall cap of 79.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Spreadsheet analysis: Advanced Excel use includes formulas, pivots, lookups, dashboards, Power Query, cleaning, or analysis. Demonstrated Google Sheets may earn up to 5 without Excel evidence.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Analysis, interpretation, and statistics: Credit evidence of finding patterns, applying statistics, drawing conclusions, or making recommendations.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Data cleaning and preparation: Retained without a hard cap because structured job-post evidence was insufficient, not disproving.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Reporting and communication of findings: Look for reports, presentations, dashboards, summaries, or recommendations intended for others.</w:t>
      </w:r>
    </w:p>
    <w:p>
      <w:pPr>
        <w:pStyle w:val="Heading2"/>
      </w:pPr>
      <w:r>
        <w:t>Tools and Platforms - 25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explicit familiarity with market-relevant analysis, visualisation, database, and transformation tools.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BI and visualisation capability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Power BI market-alignment point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Python, R, and relevant libraries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Database or data environment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Transformation, platform, or cloud tools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Tool breadth and integration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</w:tbl>
    <w:p>
      <w:pPr>
        <w:spacing w:after="40" w:before="0"/>
      </w:pPr>
    </w:p>
    <w:p>
      <w:pPr>
        <w:keepNext/>
        <w:spacing w:before="40" w:after="8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Criterion guidance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BI and visualisation capability: Power BI, Tableau, Looker Studio, or a comparable tool may demonstrate the competency.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Power BI market-alignment point: Award when Power BI is explicitly evidenced; Power BI appeared in 13 of 16 retained DA posts.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Python, R, and relevant libraries: Python is a strong secondary skill, not a gate. R may earn comparable analytical-programming credit.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Database or data environment: Examples include SQL Server, PostgreSQL, MySQL, BigQuery, or another named data environment.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Transformation, platform, or cloud tools: Examples include Power Query, Fabric, Azure, BigQuery, or related data tooling.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Tool breadth and integration: Award for a coherent multi-tool workflow, not for repeating a long tool list.</w:t>
      </w:r>
    </w:p>
    <w:p>
      <w:r>
        <w:br w:type="page"/>
      </w:r>
    </w:p>
    <w:p>
      <w:pPr>
        <w:pStyle w:val="Heading2"/>
      </w:pPr>
      <w:r>
        <w:t>Applied Project Evidence - 10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whether submitted data work shows a relevant question, sound process, findings, and usable presentation.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Proof and accessibility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Question, dataset, or business context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Cleaning, exploration, and analysis process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Pending candidate testing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Findings and visual communication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Reproducibility and presentation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Pending candidate testing</w:t>
            </w:r>
          </w:p>
        </w:tc>
      </w:tr>
    </w:tbl>
    <w:p>
      <w:pPr>
        <w:spacing w:after="4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2CC"/>
          <w:left w:val="single" w:sz="2" w:color="FFF2CC"/>
          <w:bottom w:val="single" w:sz="2" w:color="FFF2CC"/>
          <w:right w:val="single" w:sz="2" w:color="FFF2CC"/>
          <w:insideH w:val="single" w:sz="2" w:color="FFF2CC"/>
          <w:insideV w:val="single" w:sz="2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Category rule: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Without an accessible submitted project link, this category is capped at 6 of 10. A context-free dashboard screenshot cannot earn full credit.</w:t>
            </w:r>
          </w:p>
        </w:tc>
      </w:tr>
    </w:tbl>
    <w:p>
      <w:pPr>
        <w:spacing w:after="40"/>
      </w:pPr>
    </w:p>
    <w:p>
      <w:pPr>
        <w:pStyle w:val="Heading2"/>
      </w:pPr>
      <w:r>
        <w:t>Application Alignment and Qualifications - 15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likely access to advertised opportunities and whether the CV communicates a coherent Data Analytics application.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Qualification and market-access evidence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See qualification table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See qualification table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Target-role alignment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Specificity of tools and analytical claims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Pending candidate testing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Evidence and outcomes in descriptions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Pending candidate testing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Structure and readability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Product judgment</w:t>
            </w:r>
          </w:p>
        </w:tc>
      </w:tr>
    </w:tbl>
    <w:p>
      <w:pPr>
        <w:spacing w:after="40" w:before="0"/>
      </w:pPr>
    </w:p>
    <w:p>
      <w:pPr>
        <w:keepNext/>
        <w:spacing w:before="40" w:after="80" w:line="300" w:lineRule="auto"/>
        <w:jc w:val="left"/>
      </w:pPr>
      <w:r>
        <w:rPr>
          <w:rFonts w:ascii="Calibri" w:hAnsi="Calibri"/>
          <w:b/>
          <w:i w:val="0"/>
          <w:color w:val="1F4D78"/>
          <w:sz w:val="21"/>
        </w:rPr>
        <w:t>Criterion guidance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Qualification and market-access evidence: Use the dedicated Data Analytics qualification table; qualifications do not prove analytical ability and create no overall cap.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Structure and readability: Assess readability only. Do not penalise unexplained employment gaps or harmless visual preferences.</w:t>
      </w:r>
    </w:p>
    <w:p>
      <w:pPr>
        <w:pStyle w:val="Heading2"/>
      </w:pPr>
      <w:r>
        <w:t>Work Readiness Signals - 10 points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/>
          <w:color w:val="667085"/>
          <w:sz w:val="22"/>
        </w:rPr>
        <w:t>Measures evidenced behaviours associated with effective analytical work and professional interaction.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3456"/>
        <w:gridCol w:w="648"/>
        <w:gridCol w:w="792"/>
        <w:gridCol w:w="936"/>
        <w:gridCol w:w="792"/>
        <w:gridCol w:w="2736"/>
      </w:tblGrid>
      <w:tr>
        <w:trPr>
          <w:tblHeader w:val="true"/>
        </w:trP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Criterion</w:t>
            </w:r>
          </w:p>
        </w:tc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Max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High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Medium</w:t>
            </w:r>
          </w:p>
        </w:tc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Low</w:t>
            </w:r>
          </w:p>
        </w:tc>
        <w:tc>
          <w:tcPr>
            <w:tcW w:type="dxa" w:w="27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 basis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Applied problem-solving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Attention to detail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Collaboration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Communication or stakeholder interaction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Partially market-supported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Self-management and responsibility</w:t>
            </w:r>
          </w:p>
        </w:tc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Market-supported</w:t>
            </w:r>
          </w:p>
        </w:tc>
      </w:tr>
    </w:tbl>
    <w:p>
      <w:pPr>
        <w:spacing w:after="40" w:before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2CC"/>
          <w:left w:val="single" w:sz="2" w:color="FFF2CC"/>
          <w:bottom w:val="single" w:sz="2" w:color="FFF2CC"/>
          <w:right w:val="single" w:sz="2" w:color="FFF2CC"/>
          <w:insideH w:val="single" w:sz="2" w:color="FFF2CC"/>
          <w:insideV w:val="single" w:sz="2" w:color="FFF2CC"/>
        </w:tblBorders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Category rule: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Unsupported labels such as 'analytical thinker' or 'team player' earn zero.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Evidence review and flagging protocol</w:t>
      </w:r>
    </w:p>
    <w:p>
      <w:pPr>
        <w:pStyle w:val="Heading2"/>
      </w:pPr>
      <w:r>
        <w:t>5.1 Source handling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Inspect only candidate-submitted links.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Record the assessment date because links and repository content can change.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An inaccessible link earns no verification credit and creates no additional penalty.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 CV claim may still receive named-only or documented credit when a link cannot verify it.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When sources materially conflict, use the lower defensible evidence level and record the conflict.</w:t>
      </w:r>
    </w:p>
    <w:p>
      <w:pPr>
        <w:pStyle w:val="Heading2"/>
      </w:pPr>
      <w:r>
        <w:t>5.2 Not scorable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Use Not scorable only when: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No CV was submitted.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The CV is corrupted or unreadable.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Accessible content is insufficient to perform any defensible assessment.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6F4F1"/>
          <w:left w:val="single" w:sz="2" w:color="E6F4F1"/>
          <w:bottom w:val="single" w:sz="2" w:color="E6F4F1"/>
          <w:right w:val="single" w:sz="2" w:color="E6F4F1"/>
          <w:insideH w:val="single" w:sz="2" w:color="E6F4F1"/>
          <w:insideV w:val="single" w:sz="2" w:color="E6F4F1"/>
        </w:tblBorders>
      </w:tblPr>
      <w:tblGrid>
        <w:gridCol w:w="9360"/>
      </w:tblGrid>
      <w:tr>
        <w:tc>
          <w:tcPr>
            <w:tcW w:type="dxa" w:w="9360"/>
            <w:shd w:fill="E6F4F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40" w:after="40" w:line="288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 xml:space="preserve">Important: </w:t>
            </w:r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 weak CV or one with no relevant technical content should still receive a low score and useful recommendations rather than being excluded.</w:t>
            </w:r>
          </w:p>
        </w:tc>
      </w:tr>
    </w:tbl>
    <w:p>
      <w:pPr>
        <w:spacing w:after="40"/>
      </w:pPr>
    </w:p>
    <w:p>
      <w:pPr>
        <w:pStyle w:val="Heading2"/>
      </w:pPr>
      <w:r>
        <w:t>5.3 Manual-review flags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Clear track mismatch.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Material contradictions between the CV and submitted evidence.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Evidence ownership or authenticity is unclear.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Material ambiguity prevents confident classification.</w:t>
      </w:r>
    </w:p>
    <w:p>
      <w:pPr>
        <w:pStyle w:val="Heading1"/>
      </w:pPr>
      <w:r>
        <w:t>6. Evidence basis and validation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Label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Meaning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Market-supported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Directly supported by the retained job-post sample.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Partially market-supported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The evidence supports the direction but not an absolute rule or exact weight.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Product judgment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Retained because it improves assessment usefulness, without claiming market validation.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Pending candidate testing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Explicitly provisional and scheduled for scorer or candidate testing.</w:t>
            </w:r>
          </w:p>
        </w:tc>
      </w:tr>
    </w:tbl>
    <w:p>
      <w:pPr>
        <w:spacing w:after="40" w:before="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The following queue must be tested during the candidate-assessment and end-to-end phases: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1000"/>
        <w:gridCol w:w="2600"/>
        <w:gridCol w:w="576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Track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Item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Test action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Both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Evidence-level consistency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Have two assessors independently score the same bundle and compare criterion-level differences.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No-language cap at 59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Check whether the cap produces sensible outcomes across weak and otherwise strong bundles.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CV-only project cap at 8 of 15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Compare detailed CV projects with accessible repositories and deployed work.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README and repository quality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Define observable anchors and measure inter-assessor agreement.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No-SQL cap at 79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Check whether strong non-SQL candidates receive a fair but non-top-band result.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Excel versus Google Sheets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Review whether the five-point Sheets ceiling reflects real candidate evidence and market access.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Data-cleaning weight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Measure prevalence and diagnostic value across candidate bundles.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Power BI alignment point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Confirm the one-point market alignment does not unfairly discount equivalent BI capability.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Both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Qualification alternative routes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Review equivalent-experience and bootcamp scores against realistic market-access outcomes.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Both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CV clarity points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Measure whether assessors agree and whether feedback is useful to candidates.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Both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Score-band meanings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7"/>
              </w:rPr>
              <w:t>Review score distributions and report language after approximately five test candidates.</w:t>
            </w:r>
          </w:p>
        </w:tc>
      </w:tr>
    </w:tbl>
    <w:p>
      <w:pPr>
        <w:spacing w:after="40" w:before="0"/>
      </w:pPr>
    </w:p>
    <w:p>
      <w:pPr>
        <w:pStyle w:val="Heading1"/>
      </w:pPr>
      <w:r>
        <w:t>7. Assessor operating checklist</w:t>
      </w:r>
    </w:p>
    <w:p>
      <w:pPr>
        <w:pStyle w:val="Heading2"/>
      </w:pPr>
      <w:r>
        <w:t>Before scoring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Confirm the selected track and that the CV is readable.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List every submitted link and record whether it is accessible.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Check for track mismatch, contradictions, ambiguity, or unclear evidence ownership.</w:t>
      </w:r>
    </w:p>
    <w:p>
      <w:pPr>
        <w:pStyle w:val="Heading2"/>
      </w:pPr>
      <w:r>
        <w:t>During scoring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Score criterion by criterion using the exact anchors and maxima.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Record the evidence source and a short reason for each awarded score.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Apply double-counting rules and avoid inferred skills.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Calculate category subtotals and confirm none exceeds its maximum.</w:t>
      </w:r>
    </w:p>
    <w:p>
      <w:pPr>
        <w:pStyle w:val="Heading2"/>
      </w:pPr>
      <w:r>
        <w:t>After scoring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Calculate the raw total out of 100.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Apply the strictest applicable hard cap and record both scores when relevant.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Assign the provisional score band.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Record flags, strongest evidence, material gaps, and testing notes.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Complete the independent QA check before producing a customer report.</w:t>
      </w:r>
    </w:p>
    <w:p>
      <w:pPr>
        <w:pStyle w:val="Heading1"/>
      </w:pPr>
      <w:r>
        <w:t>8. Limitations and document control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The 38-post purposive sample supports concept validation, not a census of the South African market.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Job-post data cannot directly validate CV structure, README quality, repository organisation, or project presentation.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The rubric has not yet been tested on real candidate bundles or for inter-assessor reliability.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The score must not be represented as a guarantee of employment, an ability test, or a hiring recommendation.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/>
          <w:b w:val="0"/>
          <w:i w:val="0"/>
          <w:color w:val="1F2937"/>
          <w:sz w:val="22"/>
        </w:rPr>
        <w:t>V2 should be revised only after documented candidate-testing evidence or a new market-data cycle justifies a change.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2DC"/>
          <w:left w:val="single" w:sz="6" w:color="C9D2DC"/>
          <w:bottom w:val="single" w:sz="6" w:color="C9D2DC"/>
          <w:right w:val="single" w:sz="6" w:color="C9D2DC"/>
          <w:insideH w:val="single" w:sz="6" w:color="C9D2DC"/>
          <w:insideV w:val="single" w:sz="6" w:color="C9D2D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Control field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Value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Product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SkillSignalZA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Document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Rubric V2 - Launch Candidate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V2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Status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Launch Candidate - provisional pending candidate testing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Approved by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Lesedi Skhosana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Approval date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13 August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Next review trigger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F2937"/>
                <w:sz w:val="19"/>
              </w:rPr>
              <w:t>Completion of candidate testing and end-to-end product testing</w:t>
            </w:r>
          </w:p>
        </w:tc>
      </w:tr>
    </w:tbl>
    <w:p>
      <w:pPr>
        <w:spacing w:after="4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Page </w:t>
    </w:r>
    <w:fldSimple w:instr="PAGE"/>
    <w:r>
      <w:rPr>
        <w:rFonts w:ascii="Calibri" w:hAnsi="Calibri"/>
        <w:b w:val="0"/>
        <w:i w:val="0"/>
        <w:color w:val="667085"/>
        <w:sz w:val="18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7085"/>
        <w:sz w:val="18"/>
      </w:rPr>
      <w:t>SkillSignalZA | Rubric V2 Launch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 w:line="24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SkillSignalZA Rubric V2 - Launch Candidate</dc:title>
  <dc:subject>Evidence-based scoring rubric for entry-level Software Engineering and Data Analytics application bundles</dc:subject>
  <dc:creator>Lesedi Skhosana</dc:creator>
  <cp:keywords>SkillSignalZA, rubric, Software Engineering, Data Analytics, South Africa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