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sz w:val="44"/>
          <w:szCs w:val="44"/>
        </w:rPr>
        <w:t xml:space="preserve">ENTERPRISE KNOWLEDGE RESEARCH AGENT</w:t>
      </w:r>
    </w:p>
    <w:p>
      <w:pPr>
        <w:spacing w:after="120"/>
        <w:jc w:val="center"/>
      </w:pPr>
      <w:r>
        <w:rPr>
          <w:rFonts w:ascii="Arial" w:cs="Arial" w:eastAsia="Arial" w:hAnsi="Arial"/>
          <w:sz w:val="26"/>
          <w:szCs w:val="26"/>
        </w:rPr>
        <w:t xml:space="preserve">System Design Document, Product Requirements, and Risk Matrix</w:t>
      </w:r>
    </w:p>
    <w:p>
      <w:pPr>
        <w:spacing w:after="720"/>
        <w:jc w:val="center"/>
      </w:pPr>
      <w:r>
        <w:rPr>
          <w:rFonts w:ascii="Arial" w:cs="Arial" w:eastAsia="Arial" w:hAnsi="Arial"/>
          <w:i/>
          <w:iCs/>
          <w:color w:val="475569"/>
          <w:sz w:val="22"/>
          <w:szCs w:val="22"/>
        </w:rPr>
        <w:t xml:space="preserve">14-Agent Multi-Agent Research System for AV/OT Cybersecurity</w:t>
      </w:r>
    </w:p>
    <w:p>
      <w:pPr>
        <w:spacing w:after="80"/>
        <w:jc w:val="center"/>
      </w:pPr>
      <w:r>
        <w:rPr>
          <w:rFonts w:ascii="Arial" w:cs="Arial" w:eastAsia="Arial" w:hAnsi="Arial"/>
          <w:b/>
          <w:bCs/>
          <w:sz w:val="22"/>
          <w:szCs w:val="22"/>
        </w:rPr>
        <w:t xml:space="preserve">Lamonte Smith</w:t>
      </w:r>
    </w:p>
    <w:p>
      <w:pPr>
        <w:spacing w:after="80"/>
        <w:jc w:val="center"/>
      </w:pPr>
      <w:r>
        <w:rPr>
          <w:rFonts w:ascii="Arial" w:cs="Arial" w:eastAsia="Arial" w:hAnsi="Arial"/>
          <w:sz w:val="20"/>
          <w:szCs w:val="20"/>
        </w:rPr>
        <w:t xml:space="preserve">Interview Kickstart — Applied Agentic AI — Week 8</w:t>
      </w:r>
    </w:p>
    <w:p>
      <w:pPr>
        <w:spacing w:after="80"/>
        <w:jc w:val="center"/>
      </w:pPr>
      <w:r>
        <w:rPr>
          <w:rFonts w:ascii="Arial" w:cs="Arial" w:eastAsia="Arial" w:hAnsi="Arial"/>
          <w:sz w:val="20"/>
          <w:szCs w:val="20"/>
        </w:rPr>
        <w:t xml:space="preserve">Milford, Michigan</w:t>
      </w:r>
    </w:p>
    <w:p>
      <w:pPr>
        <w:spacing w:after="80"/>
        <w:jc w:val="center"/>
      </w:pPr>
      <w:r>
        <w:rPr>
          <w:rFonts w:ascii="Arial" w:cs="Arial" w:eastAsia="Arial" w:hAnsi="Arial"/>
          <w:sz w:val="20"/>
          <w:szCs w:val="20"/>
        </w:rPr>
        <w:t xml:space="preserve">May 10, 2026</w:t>
      </w:r>
    </w:p>
    <w:p>
      <w:r>
        <w:br w:type="page"/>
      </w:r>
    </w:p>
    <w:p>
      <w:pPr>
        <w:pStyle w:val="Heading1"/>
        <w:spacing w:after="160" w:before="280"/>
      </w:pPr>
      <w:r>
        <w:rPr>
          <w:rFonts w:ascii="Arial" w:cs="Arial" w:eastAsia="Arial" w:hAnsi="Arial"/>
          <w:b/>
          <w:bCs/>
        </w:rPr>
        <w:t xml:space="preserve">Executive Summary</w:t>
      </w:r>
    </w:p>
    <w:p>
      <w:pPr>
        <w:spacing w:after="120" w:line="300"/>
      </w:pPr>
      <w:r>
        <w:rPr>
          <w:rFonts w:ascii="Arial" w:cs="Arial" w:eastAsia="Arial" w:hAnsi="Arial"/>
        </w:rPr>
        <w:t xml:space="preserve">This document presents the system design, product requirements, and risk matrix for an enterprise-grade Agentic AI Research Assistant. The system answers complex organizational questions across heterogeneous internal sources — documents, wikis, meeting notes, project reports, product specifications, and roadmap documents — by autonomously planning research steps, retrieving relevant information, calling external tools, synthesizing findings, and producing structured responses with traceable citations.</w:t>
      </w:r>
    </w:p>
    <w:p>
      <w:pPr>
        <w:spacing w:after="120" w:line="300"/>
      </w:pPr>
      <w:r>
        <w:rPr>
          <w:rFonts w:ascii="Arial" w:cs="Arial" w:eastAsia="Arial" w:hAnsi="Arial"/>
        </w:rPr>
        <w:t xml:space="preserve">The reference implementation is anchored in autonomous vehicle and operational technology cybersecurity, a domain where retrieval precision, citation integrity, and regulatory mapping are non-negotiable. The architecture comprises fourteen specialized agents orchestrated by a deterministic pipeline, supported by a ChromaDB vector store, two n8n workflows for external orchestration, FastAPI as the access boundary, and LangSmith for distributed tracing.</w:t>
      </w:r>
    </w:p>
    <w:p>
      <w:pPr>
        <w:spacing w:after="120" w:line="300"/>
      </w:pPr>
      <w:r>
        <w:rPr>
          <w:rFonts w:ascii="Arial" w:cs="Arial" w:eastAsia="Arial" w:hAnsi="Arial"/>
        </w:rPr>
        <w:t xml:space="preserve">The system has been built, executed end-to-end, and instrumented with observability and evaluation. Each query run produces a structured response, an immutable audit record, an LLM-as-judge evaluation score, and a confidence aggregation across all fourteen agents. Pipeline cost averages $0.015 per query at 47-second latency, with 85 percent citation coverage on representative queries.</w:t>
      </w:r>
    </w:p>
    <w:p>
      <w:pPr>
        <w:spacing w:after="120" w:line="300"/>
      </w:pPr>
      <w:r>
        <w:rPr>
          <w:rFonts w:ascii="Arial" w:cs="Arial" w:eastAsia="Arial" w:hAnsi="Arial"/>
        </w:rPr>
        <w:t xml:space="preserve">Sections 1 through 6 below address the rubric directly: requirements, main system components, trade-offs, failure modes, observability and feedback loops, and productionization. Appendix A contains the Product Requirements Document. Appendix B contains the NIST SP 800-30 Risk Matrix mapped to MITRE ATLAS and MITRE ATT&amp;CK for ICS.</w:t>
      </w:r>
    </w:p>
    <w:p>
      <w:r>
        <w:br w:type="page"/>
      </w:r>
    </w:p>
    <w:p>
      <w:pPr>
        <w:pStyle w:val="Heading1"/>
        <w:spacing w:after="160" w:before="280"/>
      </w:pPr>
      <w:r>
        <w:rPr>
          <w:rFonts w:ascii="Arial" w:cs="Arial" w:eastAsia="Arial" w:hAnsi="Arial"/>
          <w:b/>
          <w:bCs/>
        </w:rPr>
        <w:t xml:space="preserve">1. Requirements</w:t>
      </w:r>
    </w:p>
    <w:p>
      <w:pPr>
        <w:pStyle w:val="Heading2"/>
        <w:spacing w:after="160" w:before="280"/>
      </w:pPr>
      <w:r>
        <w:rPr>
          <w:rFonts w:ascii="Arial" w:cs="Arial" w:eastAsia="Arial" w:hAnsi="Arial"/>
          <w:b/>
          <w:bCs/>
        </w:rPr>
        <w:t xml:space="preserve">1.1 Functional Requirements</w:t>
      </w:r>
    </w:p>
    <w:p>
      <w:pPr>
        <w:spacing w:after="120" w:line="300"/>
      </w:pPr>
      <w:r>
        <w:rPr>
          <w:rFonts w:ascii="Arial" w:cs="Arial" w:eastAsia="Arial" w:hAnsi="Arial"/>
          <w:b/>
          <w:bCs/>
        </w:rPr>
        <w:t xml:space="preserve">FR-1 — Autonomous research planning. </w:t>
      </w:r>
      <w:r>
        <w:rPr>
          <w:rFonts w:ascii="Arial" w:cs="Arial" w:eastAsia="Arial" w:hAnsi="Arial"/>
        </w:rPr>
        <w:t xml:space="preserve">The system shall decompose a natural language query into an ordered sequence of executable research steps without human intervention. The plan shall specify which agents are invoked, in what order, and for what purpose.</w:t>
      </w:r>
    </w:p>
    <w:p>
      <w:pPr>
        <w:spacing w:after="120" w:line="300"/>
      </w:pPr>
      <w:r>
        <w:rPr>
          <w:rFonts w:ascii="Arial" w:cs="Arial" w:eastAsia="Arial" w:hAnsi="Arial"/>
          <w:b/>
          <w:bCs/>
        </w:rPr>
        <w:t xml:space="preserve">FR-2 — Multi-source retrieval. </w:t>
      </w:r>
      <w:r>
        <w:rPr>
          <w:rFonts w:ascii="Arial" w:cs="Arial" w:eastAsia="Arial" w:hAnsi="Arial"/>
        </w:rPr>
        <w:t xml:space="preserve">The system shall retrieve relevant content from the internal corpus via vector similarity search and from authorized external sources via tool calling. Retrieval shall respect role-based access control on document sensitivity.</w:t>
      </w:r>
    </w:p>
    <w:p>
      <w:pPr>
        <w:spacing w:after="120" w:line="300"/>
      </w:pPr>
      <w:r>
        <w:rPr>
          <w:rFonts w:ascii="Arial" w:cs="Arial" w:eastAsia="Arial" w:hAnsi="Arial"/>
          <w:b/>
          <w:bCs/>
        </w:rPr>
        <w:t xml:space="preserve">FR-3 — Synthesis with citations. </w:t>
      </w:r>
      <w:r>
        <w:rPr>
          <w:rFonts w:ascii="Arial" w:cs="Arial" w:eastAsia="Arial" w:hAnsi="Arial"/>
        </w:rPr>
        <w:t xml:space="preserve">Every claim in the final response shall be traceable to a source identifier. Uncited claims shall be flagged before synthesis is delivered.</w:t>
      </w:r>
    </w:p>
    <w:p>
      <w:pPr>
        <w:spacing w:after="120" w:line="300"/>
      </w:pPr>
      <w:r>
        <w:rPr>
          <w:rFonts w:ascii="Arial" w:cs="Arial" w:eastAsia="Arial" w:hAnsi="Arial"/>
          <w:b/>
          <w:bCs/>
        </w:rPr>
        <w:t xml:space="preserve">FR-4 — Gap detection. </w:t>
      </w:r>
      <w:r>
        <w:rPr>
          <w:rFonts w:ascii="Arial" w:cs="Arial" w:eastAsia="Arial" w:hAnsi="Arial"/>
        </w:rPr>
        <w:t xml:space="preserve">The system shall identify topics relevant to the query that are not represented in the internal corpus and surface those gaps in the response.</w:t>
      </w:r>
    </w:p>
    <w:p>
      <w:pPr>
        <w:spacing w:after="120" w:line="300"/>
      </w:pPr>
      <w:r>
        <w:rPr>
          <w:rFonts w:ascii="Arial" w:cs="Arial" w:eastAsia="Arial" w:hAnsi="Arial"/>
          <w:b/>
          <w:bCs/>
        </w:rPr>
        <w:t xml:space="preserve">FR-5 — Cybersecurity framework mapping. </w:t>
      </w:r>
      <w:r>
        <w:rPr>
          <w:rFonts w:ascii="Arial" w:cs="Arial" w:eastAsia="Arial" w:hAnsi="Arial"/>
        </w:rPr>
        <w:t xml:space="preserve">Security-relevant findings shall be mapped to NIST Cybersecurity Framework 2.0 control identifiers and MITRE ATT&amp;CK for ICS technique identifiers.</w:t>
      </w:r>
    </w:p>
    <w:p>
      <w:pPr>
        <w:spacing w:after="120" w:line="300"/>
      </w:pPr>
      <w:r>
        <w:rPr>
          <w:rFonts w:ascii="Arial" w:cs="Arial" w:eastAsia="Arial" w:hAnsi="Arial"/>
          <w:b/>
          <w:bCs/>
        </w:rPr>
        <w:t xml:space="preserve">FR-6 — Regulatory compliance mapping. </w:t>
      </w:r>
      <w:r>
        <w:rPr>
          <w:rFonts w:ascii="Arial" w:cs="Arial" w:eastAsia="Arial" w:hAnsi="Arial"/>
        </w:rPr>
        <w:t xml:space="preserve">Compliance-relevant findings shall be mapped to ISO 21434, UNECE WP.29 R155 and R156, and NIST SP 800-82 Revision 3.</w:t>
      </w:r>
    </w:p>
    <w:p>
      <w:pPr>
        <w:spacing w:after="120" w:line="300"/>
      </w:pPr>
      <w:r>
        <w:rPr>
          <w:rFonts w:ascii="Arial" w:cs="Arial" w:eastAsia="Arial" w:hAnsi="Arial"/>
          <w:b/>
          <w:bCs/>
        </w:rPr>
        <w:t xml:space="preserve">FR-7 — External tool calling. </w:t>
      </w:r>
      <w:r>
        <w:rPr>
          <w:rFonts w:ascii="Arial" w:cs="Arial" w:eastAsia="Arial" w:hAnsi="Arial"/>
        </w:rPr>
        <w:t xml:space="preserve">The system shall call the NIST National Vulnerability Database for CVE enrichment, the CISA ICS-CERT advisory feed for active threat advisories, and a configurable web search provider for general-purpose retrieval.</w:t>
      </w:r>
    </w:p>
    <w:p>
      <w:pPr>
        <w:spacing w:after="120" w:line="300"/>
      </w:pPr>
      <w:r>
        <w:rPr>
          <w:rFonts w:ascii="Arial" w:cs="Arial" w:eastAsia="Arial" w:hAnsi="Arial"/>
          <w:b/>
          <w:bCs/>
        </w:rPr>
        <w:t xml:space="preserve">FR-8 — Evaluation. </w:t>
      </w:r>
      <w:r>
        <w:rPr>
          <w:rFonts w:ascii="Arial" w:cs="Arial" w:eastAsia="Arial" w:hAnsi="Arial"/>
        </w:rPr>
        <w:t xml:space="preserve">Every response shall be scored by an LLM-as-judge evaluator on relevance, grounding, completeness, security-compliance accuracy, and hallucination risk.</w:t>
      </w:r>
    </w:p>
    <w:p>
      <w:pPr>
        <w:spacing w:after="120" w:line="300"/>
      </w:pPr>
      <w:r>
        <w:rPr>
          <w:rFonts w:ascii="Arial" w:cs="Arial" w:eastAsia="Arial" w:hAnsi="Arial"/>
          <w:b/>
          <w:bCs/>
        </w:rPr>
        <w:t xml:space="preserve">FR-9 — Audit logging. </w:t>
      </w:r>
      <w:r>
        <w:rPr>
          <w:rFonts w:ascii="Arial" w:cs="Arial" w:eastAsia="Arial" w:hAnsi="Arial"/>
        </w:rPr>
        <w:t xml:space="preserve">Every query shall produce an immutable audit record capturing user role, query content, classification, agents invoked, citations returned, evaluation scores, and timestamp.</w:t>
      </w:r>
    </w:p>
    <w:p>
      <w:pPr>
        <w:spacing w:after="120" w:line="300"/>
      </w:pPr>
      <w:r>
        <w:rPr>
          <w:rFonts w:ascii="Arial" w:cs="Arial" w:eastAsia="Arial" w:hAnsi="Arial"/>
          <w:b/>
          <w:bCs/>
        </w:rPr>
        <w:t xml:space="preserve">FR-10 — Human-in-the-loop escalation. </w:t>
      </w:r>
      <w:r>
        <w:rPr>
          <w:rFonts w:ascii="Arial" w:cs="Arial" w:eastAsia="Arial" w:hAnsi="Arial"/>
        </w:rPr>
        <w:t xml:space="preserve">When the evaluation score is below threshold or aggregated confidence is below 0.60, the response shall be routed to a human reviewer rather than delivered automatically.</w:t>
      </w:r>
    </w:p>
    <w:p>
      <w:pPr>
        <w:pStyle w:val="Heading2"/>
        <w:spacing w:after="160" w:before="280"/>
      </w:pPr>
      <w:r>
        <w:rPr>
          <w:rFonts w:ascii="Arial" w:cs="Arial" w:eastAsia="Arial" w:hAnsi="Arial"/>
          <w:b/>
          <w:bCs/>
        </w:rPr>
        <w:t xml:space="preserve">1.2 Non-Functional Requirements</w:t>
      </w:r>
    </w:p>
    <w:p>
      <w:pPr>
        <w:spacing w:after="120" w:line="300"/>
      </w:pPr>
      <w:r>
        <w:rPr>
          <w:rFonts w:ascii="Arial" w:cs="Arial" w:eastAsia="Arial" w:hAnsi="Arial"/>
          <w:b/>
          <w:bCs/>
        </w:rPr>
        <w:t xml:space="preserve">NFR-1 — Latency. </w:t>
      </w:r>
      <w:r>
        <w:rPr>
          <w:rFonts w:ascii="Arial" w:cs="Arial" w:eastAsia="Arial" w:hAnsi="Arial"/>
        </w:rPr>
        <w:t xml:space="preserve">End-to-end pipeline latency shall not exceed 60 seconds at the 95th percentile for queries against the standard corpus.</w:t>
      </w:r>
    </w:p>
    <w:p>
      <w:pPr>
        <w:spacing w:after="120" w:line="300"/>
      </w:pPr>
      <w:r>
        <w:rPr>
          <w:rFonts w:ascii="Arial" w:cs="Arial" w:eastAsia="Arial" w:hAnsi="Arial"/>
          <w:b/>
          <w:bCs/>
        </w:rPr>
        <w:t xml:space="preserve">NFR-2 — Cost. </w:t>
      </w:r>
      <w:r>
        <w:rPr>
          <w:rFonts w:ascii="Arial" w:cs="Arial" w:eastAsia="Arial" w:hAnsi="Arial"/>
        </w:rPr>
        <w:t xml:space="preserve">Per-query cost shall not exceed $0.05 in LLM token charges, exclusive of external API costs.</w:t>
      </w:r>
    </w:p>
    <w:p>
      <w:pPr>
        <w:spacing w:after="120" w:line="300"/>
      </w:pPr>
      <w:r>
        <w:rPr>
          <w:rFonts w:ascii="Arial" w:cs="Arial" w:eastAsia="Arial" w:hAnsi="Arial"/>
          <w:b/>
          <w:bCs/>
        </w:rPr>
        <w:t xml:space="preserve">NFR-3 — Citation coverage. </w:t>
      </w:r>
      <w:r>
        <w:rPr>
          <w:rFonts w:ascii="Arial" w:cs="Arial" w:eastAsia="Arial" w:hAnsi="Arial"/>
        </w:rPr>
        <w:t xml:space="preserve">At least 80 percent of synthesized claims shall carry an inline citation to a corpus document or external source.</w:t>
      </w:r>
    </w:p>
    <w:p>
      <w:pPr>
        <w:spacing w:after="120" w:line="300"/>
      </w:pPr>
      <w:r>
        <w:rPr>
          <w:rFonts w:ascii="Arial" w:cs="Arial" w:eastAsia="Arial" w:hAnsi="Arial"/>
          <w:b/>
          <w:bCs/>
        </w:rPr>
        <w:t xml:space="preserve">NFR-4 — Authentication. </w:t>
      </w:r>
      <w:r>
        <w:rPr>
          <w:rFonts w:ascii="Arial" w:cs="Arial" w:eastAsia="Arial" w:hAnsi="Arial"/>
        </w:rPr>
        <w:t xml:space="preserve">Every API entry point shall require API key authentication. Every n8n webhook shall additionally require HMAC signature verification.</w:t>
      </w:r>
    </w:p>
    <w:p>
      <w:pPr>
        <w:spacing w:after="120" w:line="300"/>
      </w:pPr>
      <w:r>
        <w:rPr>
          <w:rFonts w:ascii="Arial" w:cs="Arial" w:eastAsia="Arial" w:hAnsi="Arial"/>
          <w:b/>
          <w:bCs/>
        </w:rPr>
        <w:t xml:space="preserve">NFR-5 — Prompt injection resistance. </w:t>
      </w:r>
      <w:r>
        <w:rPr>
          <w:rFonts w:ascii="Arial" w:cs="Arial" w:eastAsia="Arial" w:hAnsi="Arial"/>
        </w:rPr>
        <w:t xml:space="preserve">All user-supplied query content shall pass through a prompt-injection filter before reaching any LLM call. System prompts shall include explicit instructions to disregard embedded directives.</w:t>
      </w:r>
    </w:p>
    <w:p>
      <w:pPr>
        <w:spacing w:after="120" w:line="300"/>
      </w:pPr>
      <w:r>
        <w:rPr>
          <w:rFonts w:ascii="Arial" w:cs="Arial" w:eastAsia="Arial" w:hAnsi="Arial"/>
          <w:b/>
          <w:bCs/>
        </w:rPr>
        <w:t xml:space="preserve">NFR-6 — Role-based access. </w:t>
      </w:r>
      <w:r>
        <w:rPr>
          <w:rFonts w:ascii="Arial" w:cs="Arial" w:eastAsia="Arial" w:hAnsi="Arial"/>
        </w:rPr>
        <w:t xml:space="preserve">Documents are classified PUBLIC, INTERNAL, or RESTRICTED. The Retriever shall filter results by the caller's role before passing context to downstream agents.</w:t>
      </w:r>
    </w:p>
    <w:p>
      <w:pPr>
        <w:spacing w:after="120" w:line="300"/>
      </w:pPr>
      <w:r>
        <w:rPr>
          <w:rFonts w:ascii="Arial" w:cs="Arial" w:eastAsia="Arial" w:hAnsi="Arial"/>
          <w:b/>
          <w:bCs/>
        </w:rPr>
        <w:t xml:space="preserve">NFR-7 — Observability. </w:t>
      </w:r>
      <w:r>
        <w:rPr>
          <w:rFonts w:ascii="Arial" w:cs="Arial" w:eastAsia="Arial" w:hAnsi="Arial"/>
        </w:rPr>
        <w:t xml:space="preserve">Every agent invocation shall emit a LangSmith trace span including model name, prompt, response, latency, and token cost.</w:t>
      </w:r>
    </w:p>
    <w:p>
      <w:pPr>
        <w:spacing w:after="120" w:line="300"/>
      </w:pPr>
      <w:r>
        <w:rPr>
          <w:rFonts w:ascii="Arial" w:cs="Arial" w:eastAsia="Arial" w:hAnsi="Arial"/>
          <w:b/>
          <w:bCs/>
        </w:rPr>
        <w:t xml:space="preserve">NFR-8 — Auditability. </w:t>
      </w:r>
      <w:r>
        <w:rPr>
          <w:rFonts w:ascii="Arial" w:cs="Arial" w:eastAsia="Arial" w:hAnsi="Arial"/>
        </w:rPr>
        <w:t xml:space="preserve">Audit logs shall be append-only, written in JSON Lines format, and retained indefinitely. Audit records shall be cryptographically chainable for tamper evidence in a production deployment.</w:t>
      </w:r>
    </w:p>
    <w:p>
      <w:pPr>
        <w:pStyle w:val="Heading2"/>
        <w:spacing w:after="160" w:before="280"/>
      </w:pPr>
      <w:r>
        <w:rPr>
          <w:rFonts w:ascii="Arial" w:cs="Arial" w:eastAsia="Arial" w:hAnsi="Arial"/>
          <w:b/>
          <w:bCs/>
        </w:rPr>
        <w:t xml:space="preserve">1.3 Out-of-Scope (v1)</w:t>
      </w:r>
    </w:p>
    <w:p>
      <w:pPr>
        <w:pStyle w:val="ListParagraph"/>
        <w:numPr>
          <w:ilvl w:val="0"/>
          <w:numId w:val="2"/>
        </w:numPr>
        <w:spacing w:after="80" w:line="280"/>
      </w:pPr>
      <w:r>
        <w:rPr>
          <w:rFonts w:ascii="Arial" w:cs="Arial" w:eastAsia="Arial" w:hAnsi="Arial"/>
        </w:rPr>
        <w:t xml:space="preserve">Multi-tenant isolation — single-tenant deployment only in v1.</w:t>
      </w:r>
    </w:p>
    <w:p>
      <w:pPr>
        <w:pStyle w:val="ListParagraph"/>
        <w:numPr>
          <w:ilvl w:val="0"/>
          <w:numId w:val="2"/>
        </w:numPr>
        <w:spacing w:after="80" w:line="280"/>
      </w:pPr>
      <w:r>
        <w:rPr>
          <w:rFonts w:ascii="Arial" w:cs="Arial" w:eastAsia="Arial" w:hAnsi="Arial"/>
        </w:rPr>
        <w:t xml:space="preserve">Document ingestion UI — the corpus is loaded programmatically.</w:t>
      </w:r>
    </w:p>
    <w:p>
      <w:pPr>
        <w:pStyle w:val="ListParagraph"/>
        <w:numPr>
          <w:ilvl w:val="0"/>
          <w:numId w:val="2"/>
        </w:numPr>
        <w:spacing w:after="80" w:line="280"/>
      </w:pPr>
      <w:r>
        <w:rPr>
          <w:rFonts w:ascii="Arial" w:cs="Arial" w:eastAsia="Arial" w:hAnsi="Arial"/>
        </w:rPr>
        <w:t xml:space="preserve">Fine-tuned domain models — v1 uses gpt-4o-mini and gpt-4o without fine-tuning.</w:t>
      </w:r>
    </w:p>
    <w:p>
      <w:pPr>
        <w:pStyle w:val="ListParagraph"/>
        <w:numPr>
          <w:ilvl w:val="0"/>
          <w:numId w:val="2"/>
        </w:numPr>
        <w:spacing w:after="80" w:line="280"/>
      </w:pPr>
      <w:r>
        <w:rPr>
          <w:rFonts w:ascii="Arial" w:cs="Arial" w:eastAsia="Arial" w:hAnsi="Arial"/>
        </w:rPr>
        <w:t xml:space="preserve">Real-time streaming responses — v1 returns full responses on completion.</w:t>
      </w:r>
    </w:p>
    <w:p>
      <w:r>
        <w:br w:type="page"/>
      </w:r>
    </w:p>
    <w:p>
      <w:pPr>
        <w:pStyle w:val="Heading1"/>
        <w:spacing w:after="160" w:before="280"/>
      </w:pPr>
      <w:r>
        <w:rPr>
          <w:rFonts w:ascii="Arial" w:cs="Arial" w:eastAsia="Arial" w:hAnsi="Arial"/>
          <w:b/>
          <w:bCs/>
        </w:rPr>
        <w:t xml:space="preserve">2. Main System Components</w:t>
      </w:r>
    </w:p>
    <w:p>
      <w:pPr>
        <w:spacing w:after="120" w:line="300"/>
      </w:pPr>
      <w:r>
        <w:rPr>
          <w:rFonts w:ascii="Arial" w:cs="Arial" w:eastAsia="Arial" w:hAnsi="Arial"/>
        </w:rPr>
        <w:t xml:space="preserve">The system is organized into six logical layers, presented top to bottom in the data path: client and edge, API gateway, orchestrator and agent pipeline, data and knowledge, external tool calling, and n8n workflows. The architecture diagram accompanying this document shows all layers and the flow of control between them.</w:t>
      </w:r>
    </w:p>
    <w:p>
      <w:pPr>
        <w:pStyle w:val="Heading2"/>
        <w:spacing w:after="160" w:before="280"/>
      </w:pPr>
      <w:r>
        <w:rPr>
          <w:rFonts w:ascii="Arial" w:cs="Arial" w:eastAsia="Arial" w:hAnsi="Arial"/>
          <w:b/>
          <w:bCs/>
        </w:rPr>
        <w:t xml:space="preserve">2.1 Client and Edge</w:t>
      </w:r>
    </w:p>
    <w:p>
      <w:pPr>
        <w:spacing w:after="120" w:line="300"/>
      </w:pPr>
      <w:r>
        <w:rPr>
          <w:rFonts w:ascii="Arial" w:cs="Arial" w:eastAsia="Arial" w:hAnsi="Arial"/>
        </w:rPr>
        <w:t xml:space="preserve">Three client surfaces are supported: a Streamlit analyst dashboard for interactive query authoring and result review, a REST client for programmatic access, and inbound n8n webhooks for upstream system triggers. Every client is authenticated by API key, and webhook traffic carries an HMAC signature in the request header to prevent forgery. A rate limiter caps each API key at ten requests per minute to protect downstream LLM cost and prevent denial-of-service against the orchestrator.</w:t>
      </w:r>
    </w:p>
    <w:p>
      <w:pPr>
        <w:pStyle w:val="Heading2"/>
        <w:spacing w:after="160" w:before="280"/>
      </w:pPr>
      <w:r>
        <w:rPr>
          <w:rFonts w:ascii="Arial" w:cs="Arial" w:eastAsia="Arial" w:hAnsi="Arial"/>
          <w:b/>
          <w:bCs/>
        </w:rPr>
        <w:t xml:space="preserve">2.2 FastAPI Gateway</w:t>
      </w:r>
    </w:p>
    <w:p>
      <w:pPr>
        <w:spacing w:after="120" w:line="300"/>
      </w:pPr>
      <w:r>
        <w:rPr>
          <w:rFonts w:ascii="Arial" w:cs="Arial" w:eastAsia="Arial" w:hAnsi="Arial"/>
        </w:rPr>
        <w:t xml:space="preserve">The FastAPI gateway is the single boundary between untrusted client input and the agent pipeline. The gateway performs seven functions in sequence: prompt injection filtering against a pattern library, generic input sanitization, query length and schema validation, sensitivity pre-check that rejects queries containing classified markers from unauthorized roles, trace identifier assignment for distributed tracing correlation, output filtering and redaction on the return path, and an audit hook that emits a record to the audit log on both ingress and egress.</w:t>
      </w:r>
    </w:p>
    <w:p>
      <w:pPr>
        <w:pStyle w:val="Heading2"/>
        <w:spacing w:after="160" w:before="280"/>
      </w:pPr>
      <w:r>
        <w:rPr>
          <w:rFonts w:ascii="Arial" w:cs="Arial" w:eastAsia="Arial" w:hAnsi="Arial"/>
          <w:b/>
          <w:bCs/>
        </w:rPr>
        <w:t xml:space="preserve">2.3 Orchestrator and Fourteen-Agent Pipeline</w:t>
      </w:r>
    </w:p>
    <w:p>
      <w:pPr>
        <w:spacing w:after="120" w:line="300"/>
      </w:pPr>
      <w:r>
        <w:rPr>
          <w:rFonts w:ascii="Arial" w:cs="Arial" w:eastAsia="Arial" w:hAnsi="Arial"/>
        </w:rPr>
        <w:t xml:space="preserve">The orchestrator is a deterministic Python module that invokes agents in sequence and routes around failures using fallback paths. Each agent is a self-contained class with a typed Pydantic input and output contract, a system prompt that includes role definition, behavioral constraints, and security instructions against prompt injection, and two few-shot examples anchored to AV/OT cybersecurity scenarios. The fourteen agents and their responsibilities are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999999" w:sz="4"/>
              <w:left w:val="single" w:color="999999" w:sz="4"/>
              <w:bottom w:val="single" w:color="999999" w:sz="4"/>
              <w:right w:val="single" w:color="999999" w:sz="4"/>
            </w:tcBorders>
            <w:shd w:fill="1F2937"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w:t>
            </w:r>
          </w:p>
        </w:tc>
        <w:tc>
          <w:tcPr>
            <w:tcW w:type="dxa" w:w="2400"/>
            <w:tcBorders>
              <w:top w:val="single" w:color="999999" w:sz="4"/>
              <w:left w:val="single" w:color="999999" w:sz="4"/>
              <w:bottom w:val="single" w:color="999999" w:sz="4"/>
              <w:right w:val="single" w:color="999999" w:sz="4"/>
            </w:tcBorders>
            <w:shd w:fill="1F2937"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Agent</w:t>
            </w:r>
          </w:p>
        </w:tc>
        <w:tc>
          <w:tcPr>
            <w:tcW w:type="dxa" w:w="6360"/>
            <w:tcBorders>
              <w:top w:val="single" w:color="999999" w:sz="4"/>
              <w:left w:val="single" w:color="999999" w:sz="4"/>
              <w:bottom w:val="single" w:color="999999" w:sz="4"/>
              <w:right w:val="single" w:color="999999" w:sz="4"/>
            </w:tcBorders>
            <w:shd w:fill="1F2937"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Responsibility</w:t>
            </w:r>
          </w:p>
        </w:tc>
      </w:tr>
      <w:tr>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1</w:t>
            </w:r>
          </w:p>
        </w:tc>
        <w:tc>
          <w:tcPr>
            <w:tcW w:type="dxa" w:w="24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QueryClassifierAgent</w:t>
            </w:r>
          </w:p>
        </w:tc>
        <w:tc>
          <w:tcPr>
            <w:tcW w:type="dxa" w:w="636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Classifies the query into security, technical, operational, strategic, compliance, or unknown. Sets the required sensitivity level and selects the downstream agent roster.</w:t>
            </w:r>
          </w:p>
        </w:tc>
      </w:tr>
      <w:tr>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2</w:t>
            </w:r>
          </w:p>
        </w:tc>
        <w:tc>
          <w:tcPr>
            <w:tcW w:type="dxa" w:w="24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PlannerAgent</w:t>
            </w:r>
          </w:p>
        </w:tc>
        <w:tc>
          <w:tcPr>
            <w:tcW w:type="dxa" w:w="636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Decomposes the query into an ordered list of research steps with rationale for each step. Capped at eight steps per plan.</w:t>
            </w:r>
          </w:p>
        </w:tc>
      </w:tr>
      <w:tr>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3</w:t>
            </w:r>
          </w:p>
        </w:tc>
        <w:tc>
          <w:tcPr>
            <w:tcW w:type="dxa" w:w="24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RetrieverAgent</w:t>
            </w:r>
          </w:p>
        </w:tc>
        <w:tc>
          <w:tcPr>
            <w:tcW w:type="dxa" w:w="636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RAG retrieval over ChromaDB using OpenAI text-embedding-3-small. Filters results by caller role and document sensitivity.</w:t>
            </w:r>
          </w:p>
        </w:tc>
      </w:tr>
      <w:tr>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4</w:t>
            </w:r>
          </w:p>
        </w:tc>
        <w:tc>
          <w:tcPr>
            <w:tcW w:type="dxa" w:w="24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WebSearchAgent</w:t>
            </w:r>
          </w:p>
        </w:tc>
        <w:tc>
          <w:tcPr>
            <w:tcW w:type="dxa" w:w="636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External tool calling for general web search via SerpAPI when the corpus does not cover the topic.</w:t>
            </w:r>
          </w:p>
        </w:tc>
      </w:tr>
      <w:tr>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5</w:t>
            </w:r>
          </w:p>
        </w:tc>
        <w:tc>
          <w:tcPr>
            <w:tcW w:type="dxa" w:w="24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ThreatIntelAgent</w:t>
            </w:r>
          </w:p>
        </w:tc>
        <w:tc>
          <w:tcPr>
            <w:tcW w:type="dxa" w:w="636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External tool calling for CVE enrichment via NIST NVD and TTP mapping via MITRE ATT&amp;CK for ICS.</w:t>
            </w:r>
          </w:p>
        </w:tc>
      </w:tr>
      <w:tr>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6</w:t>
            </w:r>
          </w:p>
        </w:tc>
        <w:tc>
          <w:tcPr>
            <w:tcW w:type="dxa" w:w="24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GapDetectionAgent</w:t>
            </w:r>
          </w:p>
        </w:tc>
        <w:tc>
          <w:tcPr>
            <w:tcW w:type="dxa" w:w="636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Identifies topics relevant to the query that are not represented in retrieved corpus content.</w:t>
            </w:r>
          </w:p>
        </w:tc>
      </w:tr>
      <w:tr>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7</w:t>
            </w:r>
          </w:p>
        </w:tc>
        <w:tc>
          <w:tcPr>
            <w:tcW w:type="dxa" w:w="24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CybersecurityFrameworkAgent</w:t>
            </w:r>
          </w:p>
        </w:tc>
        <w:tc>
          <w:tcPr>
            <w:tcW w:type="dxa" w:w="636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Maps findings to NIST CSF 2.0 control identifiers and MITRE ATT&amp;CK for ICS technique identifiers.</w:t>
            </w:r>
          </w:p>
        </w:tc>
      </w:tr>
      <w:tr>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8</w:t>
            </w:r>
          </w:p>
        </w:tc>
        <w:tc>
          <w:tcPr>
            <w:tcW w:type="dxa" w:w="24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ComplianceAgent</w:t>
            </w:r>
          </w:p>
        </w:tc>
        <w:tc>
          <w:tcPr>
            <w:tcW w:type="dxa" w:w="636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Maps findings to ISO 21434 work products, UNECE WP.29 R155 and R156 clauses, and NIST SP 800-82 Rev 3 controls.</w:t>
            </w:r>
          </w:p>
        </w:tc>
      </w:tr>
      <w:tr>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9</w:t>
            </w:r>
          </w:p>
        </w:tc>
        <w:tc>
          <w:tcPr>
            <w:tcW w:type="dxa" w:w="24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CitationAgent</w:t>
            </w:r>
          </w:p>
        </w:tc>
        <w:tc>
          <w:tcPr>
            <w:tcW w:type="dxa" w:w="636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Traces every claim in the combined findings back to a specific source identifier and computes citation coverage percentage.</w:t>
            </w:r>
          </w:p>
        </w:tc>
      </w:tr>
      <w:tr>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10</w:t>
            </w:r>
          </w:p>
        </w:tc>
        <w:tc>
          <w:tcPr>
            <w:tcW w:type="dxa" w:w="24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SynthesizerAgent</w:t>
            </w:r>
          </w:p>
        </w:tc>
        <w:tc>
          <w:tcPr>
            <w:tcW w:type="dxa" w:w="636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Generates the structured response containing executive summary, key insights, action items, and inline citations.</w:t>
            </w:r>
          </w:p>
        </w:tc>
      </w:tr>
      <w:tr>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11</w:t>
            </w:r>
          </w:p>
        </w:tc>
        <w:tc>
          <w:tcPr>
            <w:tcW w:type="dxa" w:w="24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EvaluationAgent</w:t>
            </w:r>
          </w:p>
        </w:tc>
        <w:tc>
          <w:tcPr>
            <w:tcW w:type="dxa" w:w="636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LLM-as-judge scoring on relevance, grounding, completeness, security compliance accuracy, and hallucination risk.</w:t>
            </w:r>
          </w:p>
        </w:tc>
      </w:tr>
      <w:tr>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12</w:t>
            </w:r>
          </w:p>
        </w:tc>
        <w:tc>
          <w:tcPr>
            <w:tcW w:type="dxa" w:w="24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ConfidenceTrackerAgent</w:t>
            </w:r>
          </w:p>
        </w:tc>
        <w:tc>
          <w:tcPr>
            <w:tcW w:type="dxa" w:w="636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Aggregates per-agent confidence scores. Blocks synthesis or routes to human review when the aggregate falls below threshold.</w:t>
            </w:r>
          </w:p>
        </w:tc>
      </w:tr>
      <w:tr>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13</w:t>
            </w:r>
          </w:p>
        </w:tc>
        <w:tc>
          <w:tcPr>
            <w:tcW w:type="dxa" w:w="24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ObservabilityAgent</w:t>
            </w:r>
          </w:p>
        </w:tc>
        <w:tc>
          <w:tcPr>
            <w:tcW w:type="dxa" w:w="636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Computes pipeline health, detects latency or cost anomalies against baseline, and emits an alert level.</w:t>
            </w:r>
          </w:p>
        </w:tc>
      </w:tr>
      <w:tr>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14</w:t>
            </w:r>
          </w:p>
        </w:tc>
        <w:tc>
          <w:tcPr>
            <w:tcW w:type="dxa" w:w="24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QueryAuditAgent</w:t>
            </w:r>
          </w:p>
        </w:tc>
        <w:tc>
          <w:tcPr>
            <w:tcW w:type="dxa" w:w="636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Writes the immutable audit record. Flags sensitive query patterns for security review.</w:t>
            </w:r>
          </w:p>
        </w:tc>
      </w:tr>
    </w:tbl>
    <w:p>
      <w:pPr>
        <w:spacing w:after="200"/>
      </w:pPr>
      <w:r>
        <w:rPr>
          <w:rFonts w:ascii="Arial" w:cs="Arial" w:eastAsia="Arial" w:hAnsi="Arial"/>
        </w:rPr>
        <w:t xml:space="preserve"/>
      </w:r>
    </w:p>
    <w:p>
      <w:pPr>
        <w:pStyle w:val="Heading2"/>
        <w:spacing w:after="160" w:before="280"/>
      </w:pPr>
      <w:r>
        <w:rPr>
          <w:rFonts w:ascii="Arial" w:cs="Arial" w:eastAsia="Arial" w:hAnsi="Arial"/>
          <w:b/>
          <w:bCs/>
        </w:rPr>
        <w:t xml:space="preserve">2.4 Data and Knowledge</w:t>
      </w:r>
    </w:p>
    <w:p>
      <w:pPr>
        <w:spacing w:after="120" w:line="300"/>
      </w:pPr>
      <w:r>
        <w:rPr>
          <w:rFonts w:ascii="Arial" w:cs="Arial" w:eastAsia="Arial" w:hAnsi="Arial"/>
        </w:rPr>
        <w:t xml:space="preserve">The corpus contains ten representative documents across AV and OT cybersecurity domains, classified into RESTRICTED and INTERNAL sensitivity tiers. Documents are embedded with OpenAI text-embedding-3-small and persisted in a local ChromaDB instance. Audit and observability logs are append-only JSONL files. A golden dataset of twenty representative query scenarios across five categories is used by the EvaluationAgent for offline scoring and by the ObservabilityAgent for drift detection.</w:t>
      </w:r>
    </w:p>
    <w:p>
      <w:pPr>
        <w:pStyle w:val="Heading2"/>
        <w:spacing w:after="160" w:before="280"/>
      </w:pPr>
      <w:r>
        <w:rPr>
          <w:rFonts w:ascii="Arial" w:cs="Arial" w:eastAsia="Arial" w:hAnsi="Arial"/>
          <w:b/>
          <w:bCs/>
        </w:rPr>
        <w:t xml:space="preserve">2.5 External Tool Calling</w:t>
      </w:r>
    </w:p>
    <w:p>
      <w:pPr>
        <w:spacing w:after="120" w:line="300"/>
      </w:pPr>
      <w:r>
        <w:rPr>
          <w:rFonts w:ascii="Arial" w:cs="Arial" w:eastAsia="Arial" w:hAnsi="Arial"/>
        </w:rPr>
        <w:t xml:space="preserve">Four external services are integrated. The NIST National Vulnerability Database is queried for CVE enrichment and CVSS scoring. The CISA ICS-CERT advisory feed is fetched for active threat advisories. SerpAPI provides a configurable web search fallback. The MITRE ATT&amp;CK API is used for tactic, technique, and procedure mapping. LangSmith captures per-agent trace spans including model name, prompt, response, latency, and token cost across every external and internal call.</w:t>
      </w:r>
    </w:p>
    <w:p>
      <w:pPr>
        <w:pStyle w:val="Heading2"/>
        <w:spacing w:after="160" w:before="280"/>
      </w:pPr>
      <w:r>
        <w:rPr>
          <w:rFonts w:ascii="Arial" w:cs="Arial" w:eastAsia="Arial" w:hAnsi="Arial"/>
          <w:b/>
          <w:bCs/>
        </w:rPr>
        <w:t xml:space="preserve">2.6 n8n Workflows</w:t>
      </w:r>
    </w:p>
    <w:p>
      <w:pPr>
        <w:spacing w:after="120" w:line="300"/>
      </w:pPr>
      <w:r>
        <w:rPr>
          <w:rFonts w:ascii="Arial" w:cs="Arial" w:eastAsia="Arial" w:hAnsi="Arial"/>
        </w:rPr>
        <w:t xml:space="preserve">Two n8n workflows extend the system beyond the synchronous research path. Workflow 1, the Enterprise Research Pipeline, is a sixteen-node webhook-triggered workflow that mirrors the orchestrator path with the addition of HMAC verification, rate limiting at the gateway, parallel external tool calling, LLM-as-judge evaluation, and conditional routing to a human review queue on evaluation failure. Workflow 2, the Autonomous Threat Surveillance and Evaluation Drift Monitor, is a fifteen-node scheduled workflow that runs every four hours, scans corpus deltas for security signals, performs NVD and CISA enrichment, re-scores the golden dataset to detect evaluation drift, and routes alerts to email or Slack based on severity.</w:t>
      </w:r>
    </w:p>
    <w:p>
      <w:r>
        <w:br w:type="page"/>
      </w:r>
    </w:p>
    <w:p>
      <w:pPr>
        <w:pStyle w:val="Heading1"/>
        <w:spacing w:after="160" w:before="280"/>
      </w:pPr>
      <w:r>
        <w:rPr>
          <w:rFonts w:ascii="Arial" w:cs="Arial" w:eastAsia="Arial" w:hAnsi="Arial"/>
          <w:b/>
          <w:bCs/>
        </w:rPr>
        <w:t xml:space="preserve">3. Trade-Offs</w:t>
      </w:r>
    </w:p>
    <w:p>
      <w:pPr>
        <w:pStyle w:val="Heading2"/>
        <w:spacing w:after="160" w:before="280"/>
      </w:pPr>
      <w:r>
        <w:rPr>
          <w:rFonts w:ascii="Arial" w:cs="Arial" w:eastAsia="Arial" w:hAnsi="Arial"/>
          <w:b/>
          <w:bCs/>
        </w:rPr>
        <w:t xml:space="preserve">3.1 RAG Versus Fine-Tuning</w:t>
      </w:r>
    </w:p>
    <w:p>
      <w:pPr>
        <w:spacing w:after="120" w:line="300"/>
      </w:pPr>
      <w:r>
        <w:rPr>
          <w:rFonts w:ascii="Arial" w:cs="Arial" w:eastAsia="Arial" w:hAnsi="Arial"/>
        </w:rPr>
        <w:t xml:space="preserve">RAG was chosen over domain fine-tuning for three reasons. First, the corpus is small and changes weekly, which favors retrieval over weight updates. Second, the system must produce traceable citations to specific documents, which is structurally easier when documents are retrieved as discrete units than when their content is absorbed into model weights. Third, fine-tuning a model for AV and OT cybersecurity content carries data-handling risk because some training data may be RESTRICTED sensitivity, and a fine-tuned model would absorb that content into a shared artifact. The trade-off is that RAG performance is bounded by retrieval quality; a single missed document can collapse the response.</w:t>
      </w:r>
    </w:p>
    <w:p>
      <w:pPr>
        <w:pStyle w:val="Heading2"/>
        <w:spacing w:after="160" w:before="280"/>
      </w:pPr>
      <w:r>
        <w:rPr>
          <w:rFonts w:ascii="Arial" w:cs="Arial" w:eastAsia="Arial" w:hAnsi="Arial"/>
          <w:b/>
          <w:bCs/>
        </w:rPr>
        <w:t xml:space="preserve">3.2 ChromaDB Versus Managed Vector Database</w:t>
      </w:r>
    </w:p>
    <w:p>
      <w:pPr>
        <w:spacing w:after="120" w:line="300"/>
      </w:pPr>
      <w:r>
        <w:rPr>
          <w:rFonts w:ascii="Arial" w:cs="Arial" w:eastAsia="Arial" w:hAnsi="Arial"/>
        </w:rPr>
        <w:t xml:space="preserve">ChromaDB was chosen over Pinecone, Weaviate, or Qdrant Cloud because the reference implementation runs locally and must be reproducible without cloud account dependencies. ChromaDB provides adequate similarity search at this corpus size, persists to disk, and has a permissive license. The trade-off is that ChromaDB lacks the per-tenant isolation, managed scaling, and metadata filtering performance of a production-grade managed service. Migration to a managed service is recommended at the point where the corpus exceeds approximately one hundred thousand documents or multiple tenants are introduced.</w:t>
      </w:r>
    </w:p>
    <w:p>
      <w:pPr>
        <w:pStyle w:val="Heading2"/>
        <w:spacing w:after="160" w:before="280"/>
      </w:pPr>
      <w:r>
        <w:rPr>
          <w:rFonts w:ascii="Arial" w:cs="Arial" w:eastAsia="Arial" w:hAnsi="Arial"/>
          <w:b/>
          <w:bCs/>
        </w:rPr>
        <w:t xml:space="preserve">3.3 Sequential Orchestration Versus Graph-Based</w:t>
      </w:r>
    </w:p>
    <w:p>
      <w:pPr>
        <w:spacing w:after="120" w:line="300"/>
      </w:pPr>
      <w:r>
        <w:rPr>
          <w:rFonts w:ascii="Arial" w:cs="Arial" w:eastAsia="Arial" w:hAnsi="Arial"/>
        </w:rPr>
        <w:t xml:space="preserve">A deterministic sequential orchestrator was chosen over a graph-based framework such as LangGraph for v1. Sequential execution is easier to debug, easier to audit, and produces a fixed agent invocation order that maps cleanly to the audit log. The trade-off is that parallelism opportunities are not exploited at the orchestrator level — only inside n8n Workflow 1, which splits external tool calls into parallel branches. A future version should migrate to LangGraph or an equivalent for richer conditional routing and parallel agent execution.</w:t>
      </w:r>
    </w:p>
    <w:p>
      <w:pPr>
        <w:pStyle w:val="Heading2"/>
        <w:spacing w:after="160" w:before="280"/>
      </w:pPr>
      <w:r>
        <w:rPr>
          <w:rFonts w:ascii="Arial" w:cs="Arial" w:eastAsia="Arial" w:hAnsi="Arial"/>
          <w:b/>
          <w:bCs/>
        </w:rPr>
        <w:t xml:space="preserve">3.4 Agent Granularity</w:t>
      </w:r>
    </w:p>
    <w:p>
      <w:pPr>
        <w:spacing w:after="120" w:line="300"/>
      </w:pPr>
      <w:r>
        <w:rPr>
          <w:rFonts w:ascii="Arial" w:cs="Arial" w:eastAsia="Arial" w:hAnsi="Arial"/>
        </w:rPr>
        <w:t xml:space="preserve">Fourteen agents is a deliberate choice. Fewer agents would reduce orchestration overhead but conflate responsibilities — for example, combining EvaluationAgent and ConfidenceTrackerAgent makes it difficult to test scoring independently from aggregation. More agents would create coordination cost without commensurate benefit. The current decomposition follows the single-responsibility principle: each agent owns one decision boundary. The trade-off is per-query LLM cost, which scales linearly with agent count. At fourteen agents and gpt-4o-mini for most agents with gpt-4o for synthesis, the system runs at $0.015 per query, which is within the NFR-2 budget.</w:t>
      </w:r>
    </w:p>
    <w:p>
      <w:pPr>
        <w:pStyle w:val="Heading2"/>
        <w:spacing w:after="160" w:before="280"/>
      </w:pPr>
      <w:r>
        <w:rPr>
          <w:rFonts w:ascii="Arial" w:cs="Arial" w:eastAsia="Arial" w:hAnsi="Arial"/>
          <w:b/>
          <w:bCs/>
        </w:rPr>
        <w:t xml:space="preserve">3.5 Model Selection — gpt-4o-mini Versus gpt-4o</w:t>
      </w:r>
    </w:p>
    <w:p>
      <w:pPr>
        <w:spacing w:after="120" w:line="300"/>
      </w:pPr>
      <w:r>
        <w:rPr>
          <w:rFonts w:ascii="Arial" w:cs="Arial" w:eastAsia="Arial" w:hAnsi="Arial"/>
        </w:rPr>
        <w:t xml:space="preserve">Twelve of the fourteen agents use gpt-4o-mini. Two agents — SynthesizerAgent and EvaluationAgent — use gpt-4o. The reasoning is that mini-class models are sufficient for structured classification, routing, retrieval, and mapping tasks where the schema is tightly constrained. Synthesis requires longer-form generation with citation grounding, and evaluation requires nuanced judgment over response quality; both benefit from the higher-capacity model. This split produces approximately 4x cost savings relative to a uniform gpt-4o deployment.</w:t>
      </w:r>
    </w:p>
    <w:p>
      <w:pPr>
        <w:pStyle w:val="Heading2"/>
        <w:spacing w:after="160" w:before="280"/>
      </w:pPr>
      <w:r>
        <w:rPr>
          <w:rFonts w:ascii="Arial" w:cs="Arial" w:eastAsia="Arial" w:hAnsi="Arial"/>
          <w:b/>
          <w:bCs/>
        </w:rPr>
        <w:t xml:space="preserve">3.6 Synchronous Pipeline Versus Asynchronous</w:t>
      </w:r>
    </w:p>
    <w:p>
      <w:pPr>
        <w:spacing w:after="120" w:line="300"/>
      </w:pPr>
      <w:r>
        <w:rPr>
          <w:rFonts w:ascii="Arial" w:cs="Arial" w:eastAsia="Arial" w:hAnsi="Arial"/>
        </w:rPr>
        <w:t xml:space="preserve">The reference implementation is synchronous: a query blocks until the full pipeline completes. This is appropriate for analyst-driven query patterns where latency under one minute is acceptable. For high-throughput automated query streams, the design should be migrated to asynchronous execution with a job queue and result retrieval endpoint. The trade-off in v1 is throughput; the benefit is implementation simplicity and immediate auditability.</w:t>
      </w:r>
    </w:p>
    <w:p>
      <w:pPr>
        <w:pStyle w:val="Heading2"/>
        <w:spacing w:after="160" w:before="280"/>
      </w:pPr>
      <w:r>
        <w:rPr>
          <w:rFonts w:ascii="Arial" w:cs="Arial" w:eastAsia="Arial" w:hAnsi="Arial"/>
          <w:b/>
          <w:bCs/>
        </w:rPr>
        <w:t xml:space="preserve">3.7 External Tool Calling — Direct API Versus Aggregator</w:t>
      </w:r>
    </w:p>
    <w:p>
      <w:pPr>
        <w:spacing w:after="120" w:line="300"/>
      </w:pPr>
      <w:r>
        <w:rPr>
          <w:rFonts w:ascii="Arial" w:cs="Arial" w:eastAsia="Arial" w:hAnsi="Arial"/>
        </w:rPr>
        <w:t xml:space="preserve">The system calls NVD and CISA directly rather than routing through an aggregator such as Recorded Future or VirusTotal. Direct calls reduce latency and remove a vendor dependency, but they shift the responsibility for handling API rate limits, key rotation, and schema changes to the system itself. For production, a thin abstraction layer over external sources should be introduced so that aggregator routing can be enabled per-deployment without code changes to the agents.</w:t>
      </w:r>
    </w:p>
    <w:p>
      <w:r>
        <w:br w:type="page"/>
      </w:r>
    </w:p>
    <w:p>
      <w:pPr>
        <w:pStyle w:val="Heading1"/>
        <w:spacing w:after="160" w:before="280"/>
      </w:pPr>
      <w:r>
        <w:rPr>
          <w:rFonts w:ascii="Arial" w:cs="Arial" w:eastAsia="Arial" w:hAnsi="Arial"/>
          <w:b/>
          <w:bCs/>
        </w:rPr>
        <w:t xml:space="preserve">4. Failure Modes</w:t>
      </w:r>
    </w:p>
    <w:p>
      <w:pPr>
        <w:spacing w:after="120" w:line="300"/>
      </w:pPr>
      <w:r>
        <w:rPr>
          <w:rFonts w:ascii="Arial" w:cs="Arial" w:eastAsia="Arial" w:hAnsi="Arial"/>
        </w:rPr>
        <w:t xml:space="preserve">Failure modes are grouped into seven categories. Each entry includes the failure description, current mitigation in the reference implementation, and recommended hardening for production.</w:t>
      </w:r>
    </w:p>
    <w:p>
      <w:pPr>
        <w:pStyle w:val="Heading2"/>
        <w:spacing w:after="160" w:before="280"/>
      </w:pPr>
      <w:r>
        <w:rPr>
          <w:rFonts w:ascii="Arial" w:cs="Arial" w:eastAsia="Arial" w:hAnsi="Arial"/>
          <w:b/>
          <w:bCs/>
        </w:rPr>
        <w:t xml:space="preserve">4.1 Hallucination</w:t>
      </w:r>
    </w:p>
    <w:p>
      <w:pPr>
        <w:spacing w:after="120" w:line="300"/>
      </w:pPr>
      <w:r>
        <w:rPr>
          <w:rFonts w:ascii="Arial" w:cs="Arial" w:eastAsia="Arial" w:hAnsi="Arial"/>
          <w:b/>
          <w:bCs/>
        </w:rPr>
        <w:t xml:space="preserve">Description. </w:t>
      </w:r>
      <w:r>
        <w:rPr>
          <w:rFonts w:ascii="Arial" w:cs="Arial" w:eastAsia="Arial" w:hAnsi="Arial"/>
        </w:rPr>
        <w:t xml:space="preserve">The SynthesizerAgent invents facts, citations, or document identifiers not present in the retrieved context.</w:t>
      </w:r>
    </w:p>
    <w:p>
      <w:pPr>
        <w:spacing w:after="120" w:line="300"/>
      </w:pPr>
      <w:r>
        <w:rPr>
          <w:rFonts w:ascii="Arial" w:cs="Arial" w:eastAsia="Arial" w:hAnsi="Arial"/>
          <w:b/>
          <w:bCs/>
        </w:rPr>
        <w:t xml:space="preserve">Current mitigation. </w:t>
      </w:r>
      <w:r>
        <w:rPr>
          <w:rFonts w:ascii="Arial" w:cs="Arial" w:eastAsia="Arial" w:hAnsi="Arial"/>
        </w:rPr>
        <w:t xml:space="preserve">EvaluationAgent scores hallucination risk as a dimension. CitationAgent computes citation coverage and flags uncited claims. ConfidenceTrackerAgent blocks delivery when aggregate confidence is below 0.60.</w:t>
      </w:r>
    </w:p>
    <w:p>
      <w:pPr>
        <w:spacing w:after="120" w:line="300"/>
      </w:pPr>
      <w:r>
        <w:rPr>
          <w:rFonts w:ascii="Arial" w:cs="Arial" w:eastAsia="Arial" w:hAnsi="Arial"/>
          <w:b/>
          <w:bCs/>
        </w:rPr>
        <w:t xml:space="preserve">Production hardening. </w:t>
      </w:r>
      <w:r>
        <w:rPr>
          <w:rFonts w:ascii="Arial" w:cs="Arial" w:eastAsia="Arial" w:hAnsi="Arial"/>
        </w:rPr>
        <w:t xml:space="preserve">Add a verification pass that re-retrieves cited documents and confirms each cited claim appears in the source. Implement entailment scoring with a smaller model as a second-pass check.</w:t>
      </w:r>
    </w:p>
    <w:p>
      <w:pPr>
        <w:pStyle w:val="Heading2"/>
        <w:spacing w:after="160" w:before="280"/>
      </w:pPr>
      <w:r>
        <w:rPr>
          <w:rFonts w:ascii="Arial" w:cs="Arial" w:eastAsia="Arial" w:hAnsi="Arial"/>
          <w:b/>
          <w:bCs/>
        </w:rPr>
        <w:t xml:space="preserve">4.2 Retrieval Miss</w:t>
      </w:r>
    </w:p>
    <w:p>
      <w:pPr>
        <w:spacing w:after="120" w:line="300"/>
      </w:pPr>
      <w:r>
        <w:rPr>
          <w:rFonts w:ascii="Arial" w:cs="Arial" w:eastAsia="Arial" w:hAnsi="Arial"/>
          <w:b/>
          <w:bCs/>
        </w:rPr>
        <w:t xml:space="preserve">Description. </w:t>
      </w:r>
      <w:r>
        <w:rPr>
          <w:rFonts w:ascii="Arial" w:cs="Arial" w:eastAsia="Arial" w:hAnsi="Arial"/>
        </w:rPr>
        <w:t xml:space="preserve">Relevant documents exist in the corpus but the RetrieverAgent returns lower-relevance documents because of embedding distance or query phrasing.</w:t>
      </w:r>
    </w:p>
    <w:p>
      <w:pPr>
        <w:spacing w:after="120" w:line="300"/>
      </w:pPr>
      <w:r>
        <w:rPr>
          <w:rFonts w:ascii="Arial" w:cs="Arial" w:eastAsia="Arial" w:hAnsi="Arial"/>
          <w:b/>
          <w:bCs/>
        </w:rPr>
        <w:t xml:space="preserve">Current mitigation. </w:t>
      </w:r>
      <w:r>
        <w:rPr>
          <w:rFonts w:ascii="Arial" w:cs="Arial" w:eastAsia="Arial" w:hAnsi="Arial"/>
        </w:rPr>
        <w:t xml:space="preserve">GapDetectionAgent identifies when the corpus appears to lack coverage. WebSearchAgent expands the search to external sources when corpus coverage is below threshold.</w:t>
      </w:r>
    </w:p>
    <w:p>
      <w:pPr>
        <w:spacing w:after="120" w:line="300"/>
      </w:pPr>
      <w:r>
        <w:rPr>
          <w:rFonts w:ascii="Arial" w:cs="Arial" w:eastAsia="Arial" w:hAnsi="Arial"/>
          <w:b/>
          <w:bCs/>
        </w:rPr>
        <w:t xml:space="preserve">Production hardening. </w:t>
      </w:r>
      <w:r>
        <w:rPr>
          <w:rFonts w:ascii="Arial" w:cs="Arial" w:eastAsia="Arial" w:hAnsi="Arial"/>
        </w:rPr>
        <w:t xml:space="preserve">Introduce hybrid retrieval combining BM25 lexical search with vector similarity. Add a query rewriting step that produces multiple query variants and unions their results.</w:t>
      </w:r>
    </w:p>
    <w:p>
      <w:pPr>
        <w:pStyle w:val="Heading2"/>
        <w:spacing w:after="160" w:before="280"/>
      </w:pPr>
      <w:r>
        <w:rPr>
          <w:rFonts w:ascii="Arial" w:cs="Arial" w:eastAsia="Arial" w:hAnsi="Arial"/>
          <w:b/>
          <w:bCs/>
        </w:rPr>
        <w:t xml:space="preserve">4.3 Role-Based Access Control Bypass</w:t>
      </w:r>
    </w:p>
    <w:p>
      <w:pPr>
        <w:spacing w:after="120" w:line="300"/>
      </w:pPr>
      <w:r>
        <w:rPr>
          <w:rFonts w:ascii="Arial" w:cs="Arial" w:eastAsia="Arial" w:hAnsi="Arial"/>
          <w:b/>
          <w:bCs/>
        </w:rPr>
        <w:t xml:space="preserve">Description. </w:t>
      </w:r>
      <w:r>
        <w:rPr>
          <w:rFonts w:ascii="Arial" w:cs="Arial" w:eastAsia="Arial" w:hAnsi="Arial"/>
        </w:rPr>
        <w:t xml:space="preserve">A caller with insufficient role obtains content from RESTRICTED documents because filtering is performed in the wrong layer or the synthesizer leaks restricted content through paraphrase.</w:t>
      </w:r>
    </w:p>
    <w:p>
      <w:pPr>
        <w:spacing w:after="120" w:line="300"/>
      </w:pPr>
      <w:r>
        <w:rPr>
          <w:rFonts w:ascii="Arial" w:cs="Arial" w:eastAsia="Arial" w:hAnsi="Arial"/>
          <w:b/>
          <w:bCs/>
        </w:rPr>
        <w:t xml:space="preserve">Current mitigation. </w:t>
      </w:r>
      <w:r>
        <w:rPr>
          <w:rFonts w:ascii="Arial" w:cs="Arial" w:eastAsia="Arial" w:hAnsi="Arial"/>
        </w:rPr>
        <w:t xml:space="preserve">RetrieverAgent filters by role before context is passed to any downstream agent. Output filter at the gateway redacts known classified markers on the return path.</w:t>
      </w:r>
    </w:p>
    <w:p>
      <w:pPr>
        <w:spacing w:after="120" w:line="300"/>
      </w:pPr>
      <w:r>
        <w:rPr>
          <w:rFonts w:ascii="Arial" w:cs="Arial" w:eastAsia="Arial" w:hAnsi="Arial"/>
          <w:b/>
          <w:bCs/>
        </w:rPr>
        <w:t xml:space="preserve">Production hardening. </w:t>
      </w:r>
      <w:r>
        <w:rPr>
          <w:rFonts w:ascii="Arial" w:cs="Arial" w:eastAsia="Arial" w:hAnsi="Arial"/>
        </w:rPr>
        <w:t xml:space="preserve">Move access control from the application layer to the data layer using attribute-based access control on the vector store. Add a second-pass redactor that uses a classifier model trained on the organization's classification schema.</w:t>
      </w:r>
    </w:p>
    <w:p>
      <w:pPr>
        <w:pStyle w:val="Heading2"/>
        <w:spacing w:after="160" w:before="280"/>
      </w:pPr>
      <w:r>
        <w:rPr>
          <w:rFonts w:ascii="Arial" w:cs="Arial" w:eastAsia="Arial" w:hAnsi="Arial"/>
          <w:b/>
          <w:bCs/>
        </w:rPr>
        <w:t xml:space="preserve">4.4 Prompt Injection</w:t>
      </w:r>
    </w:p>
    <w:p>
      <w:pPr>
        <w:spacing w:after="120" w:line="300"/>
      </w:pPr>
      <w:r>
        <w:rPr>
          <w:rFonts w:ascii="Arial" w:cs="Arial" w:eastAsia="Arial" w:hAnsi="Arial"/>
          <w:b/>
          <w:bCs/>
        </w:rPr>
        <w:t xml:space="preserve">Description. </w:t>
      </w:r>
      <w:r>
        <w:rPr>
          <w:rFonts w:ascii="Arial" w:cs="Arial" w:eastAsia="Arial" w:hAnsi="Arial"/>
        </w:rPr>
        <w:t xml:space="preserve">A malicious query embeds instructions that override agent system prompts, exfiltrate context, or cause the synthesizer to ignore role-based filtering.</w:t>
      </w:r>
    </w:p>
    <w:p>
      <w:pPr>
        <w:spacing w:after="120" w:line="300"/>
      </w:pPr>
      <w:r>
        <w:rPr>
          <w:rFonts w:ascii="Arial" w:cs="Arial" w:eastAsia="Arial" w:hAnsi="Arial"/>
          <w:b/>
          <w:bCs/>
        </w:rPr>
        <w:t xml:space="preserve">Current mitigation. </w:t>
      </w:r>
      <w:r>
        <w:rPr>
          <w:rFonts w:ascii="Arial" w:cs="Arial" w:eastAsia="Arial" w:hAnsi="Arial"/>
        </w:rPr>
        <w:t xml:space="preserve">FastAPI gateway runs a prompt-injection filter against a pattern library before any LLM call. Every agent system prompt includes an explicit instruction to disregard embedded directives. Outputs are scanned for known exfiltration patterns.</w:t>
      </w:r>
    </w:p>
    <w:p>
      <w:pPr>
        <w:spacing w:after="120" w:line="300"/>
      </w:pPr>
      <w:r>
        <w:rPr>
          <w:rFonts w:ascii="Arial" w:cs="Arial" w:eastAsia="Arial" w:hAnsi="Arial"/>
          <w:b/>
          <w:bCs/>
        </w:rPr>
        <w:t xml:space="preserve">Production hardening. </w:t>
      </w:r>
      <w:r>
        <w:rPr>
          <w:rFonts w:ascii="Arial" w:cs="Arial" w:eastAsia="Arial" w:hAnsi="Arial"/>
        </w:rPr>
        <w:t xml:space="preserve">Deploy a dedicated prompt-injection classifier such as Lakera Guard or a fine-tuned local detector. Separate user query content from agent instructions using structured input formats rather than concatenated strings.</w:t>
      </w:r>
    </w:p>
    <w:p>
      <w:pPr>
        <w:pStyle w:val="Heading2"/>
        <w:spacing w:after="160" w:before="280"/>
      </w:pPr>
      <w:r>
        <w:rPr>
          <w:rFonts w:ascii="Arial" w:cs="Arial" w:eastAsia="Arial" w:hAnsi="Arial"/>
          <w:b/>
          <w:bCs/>
        </w:rPr>
        <w:t xml:space="preserve">4.5 External Tool Failure</w:t>
      </w:r>
    </w:p>
    <w:p>
      <w:pPr>
        <w:spacing w:after="120" w:line="300"/>
      </w:pPr>
      <w:r>
        <w:rPr>
          <w:rFonts w:ascii="Arial" w:cs="Arial" w:eastAsia="Arial" w:hAnsi="Arial"/>
          <w:b/>
          <w:bCs/>
        </w:rPr>
        <w:t xml:space="preserve">Description. </w:t>
      </w:r>
      <w:r>
        <w:rPr>
          <w:rFonts w:ascii="Arial" w:cs="Arial" w:eastAsia="Arial" w:hAnsi="Arial"/>
        </w:rPr>
        <w:t xml:space="preserve">NVD, CISA, or SerpAPI returns an error, rate-limits the request, or returns stale data.</w:t>
      </w:r>
    </w:p>
    <w:p>
      <w:pPr>
        <w:spacing w:after="120" w:line="300"/>
      </w:pPr>
      <w:r>
        <w:rPr>
          <w:rFonts w:ascii="Arial" w:cs="Arial" w:eastAsia="Arial" w:hAnsi="Arial"/>
          <w:b/>
          <w:bCs/>
        </w:rPr>
        <w:t xml:space="preserve">Current mitigation. </w:t>
      </w:r>
      <w:r>
        <w:rPr>
          <w:rFonts w:ascii="Arial" w:cs="Arial" w:eastAsia="Arial" w:hAnsi="Arial"/>
        </w:rPr>
        <w:t xml:space="preserve">Each external call has a timeout and a fallback that allows the pipeline to continue without external enrichment. Failures are logged to the audit record.</w:t>
      </w:r>
    </w:p>
    <w:p>
      <w:pPr>
        <w:spacing w:after="120" w:line="300"/>
      </w:pPr>
      <w:r>
        <w:rPr>
          <w:rFonts w:ascii="Arial" w:cs="Arial" w:eastAsia="Arial" w:hAnsi="Arial"/>
          <w:b/>
          <w:bCs/>
        </w:rPr>
        <w:t xml:space="preserve">Production hardening. </w:t>
      </w:r>
      <w:r>
        <w:rPr>
          <w:rFonts w:ascii="Arial" w:cs="Arial" w:eastAsia="Arial" w:hAnsi="Arial"/>
        </w:rPr>
        <w:t xml:space="preserve">Add a local cache for frequently accessed CVE records with a short TTL. Implement circuit breakers that disable an external source after a threshold of failures and fall back to cached data with a staleness annotation in the response.</w:t>
      </w:r>
    </w:p>
    <w:p>
      <w:pPr>
        <w:pStyle w:val="Heading2"/>
        <w:spacing w:after="160" w:before="280"/>
      </w:pPr>
      <w:r>
        <w:rPr>
          <w:rFonts w:ascii="Arial" w:cs="Arial" w:eastAsia="Arial" w:hAnsi="Arial"/>
          <w:b/>
          <w:bCs/>
        </w:rPr>
        <w:t xml:space="preserve">4.6 Cascade Failure</w:t>
      </w:r>
    </w:p>
    <w:p>
      <w:pPr>
        <w:spacing w:after="120" w:line="300"/>
      </w:pPr>
      <w:r>
        <w:rPr>
          <w:rFonts w:ascii="Arial" w:cs="Arial" w:eastAsia="Arial" w:hAnsi="Arial"/>
          <w:b/>
          <w:bCs/>
        </w:rPr>
        <w:t xml:space="preserve">Description. </w:t>
      </w:r>
      <w:r>
        <w:rPr>
          <w:rFonts w:ascii="Arial" w:cs="Arial" w:eastAsia="Arial" w:hAnsi="Arial"/>
        </w:rPr>
        <w:t xml:space="preserve">An early-stage agent failure produces malformed output that cascades through downstream agents, producing a final response that is structurally valid but semantically wrong.</w:t>
      </w:r>
    </w:p>
    <w:p>
      <w:pPr>
        <w:spacing w:after="120" w:line="300"/>
      </w:pPr>
      <w:r>
        <w:rPr>
          <w:rFonts w:ascii="Arial" w:cs="Arial" w:eastAsia="Arial" w:hAnsi="Arial"/>
          <w:b/>
          <w:bCs/>
        </w:rPr>
        <w:t xml:space="preserve">Current mitigation. </w:t>
      </w:r>
      <w:r>
        <w:rPr>
          <w:rFonts w:ascii="Arial" w:cs="Arial" w:eastAsia="Arial" w:hAnsi="Arial"/>
        </w:rPr>
        <w:t xml:space="preserve">Every agent has a typed Pydantic output contract that raises validation errors on malformed responses. Failed contract validation triggers the orchestrator's fallback path.</w:t>
      </w:r>
    </w:p>
    <w:p>
      <w:pPr>
        <w:spacing w:after="120" w:line="300"/>
      </w:pPr>
      <w:r>
        <w:rPr>
          <w:rFonts w:ascii="Arial" w:cs="Arial" w:eastAsia="Arial" w:hAnsi="Arial"/>
          <w:b/>
          <w:bCs/>
        </w:rPr>
        <w:t xml:space="preserve">Production hardening. </w:t>
      </w:r>
      <w:r>
        <w:rPr>
          <w:rFonts w:ascii="Arial" w:cs="Arial" w:eastAsia="Arial" w:hAnsi="Arial"/>
        </w:rPr>
        <w:t xml:space="preserve">Add per-agent assertion checks that verify outputs are internally consistent, for example that cited document identifiers actually exist in the retrieved set. Treat assertion failures as pipeline halts with human escalation rather than soft fallbacks.</w:t>
      </w:r>
    </w:p>
    <w:p>
      <w:pPr>
        <w:pStyle w:val="Heading2"/>
        <w:spacing w:after="160" w:before="280"/>
      </w:pPr>
      <w:r>
        <w:rPr>
          <w:rFonts w:ascii="Arial" w:cs="Arial" w:eastAsia="Arial" w:hAnsi="Arial"/>
          <w:b/>
          <w:bCs/>
        </w:rPr>
        <w:t xml:space="preserve">4.7 Cost Explosion</w:t>
      </w:r>
    </w:p>
    <w:p>
      <w:pPr>
        <w:spacing w:after="120" w:line="300"/>
      </w:pPr>
      <w:r>
        <w:rPr>
          <w:rFonts w:ascii="Arial" w:cs="Arial" w:eastAsia="Arial" w:hAnsi="Arial"/>
          <w:b/>
          <w:bCs/>
        </w:rPr>
        <w:t xml:space="preserve">Description. </w:t>
      </w:r>
      <w:r>
        <w:rPr>
          <w:rFonts w:ascii="Arial" w:cs="Arial" w:eastAsia="Arial" w:hAnsi="Arial"/>
        </w:rPr>
        <w:t xml:space="preserve">A pathological query, prompt injection, or runaway loop causes token consumption far in excess of the per-query budget.</w:t>
      </w:r>
    </w:p>
    <w:p>
      <w:pPr>
        <w:spacing w:after="120" w:line="300"/>
      </w:pPr>
      <w:r>
        <w:rPr>
          <w:rFonts w:ascii="Arial" w:cs="Arial" w:eastAsia="Arial" w:hAnsi="Arial"/>
          <w:b/>
          <w:bCs/>
        </w:rPr>
        <w:t xml:space="preserve">Current mitigation. </w:t>
      </w:r>
      <w:r>
        <w:rPr>
          <w:rFonts w:ascii="Arial" w:cs="Arial" w:eastAsia="Arial" w:hAnsi="Arial"/>
        </w:rPr>
        <w:t xml:space="preserve">Each agent has a max-tokens cap. The orchestrator does not loop. Per-query cost is computed and logged.</w:t>
      </w:r>
    </w:p>
    <w:p>
      <w:pPr>
        <w:spacing w:after="120" w:line="300"/>
      </w:pPr>
      <w:r>
        <w:rPr>
          <w:rFonts w:ascii="Arial" w:cs="Arial" w:eastAsia="Arial" w:hAnsi="Arial"/>
          <w:b/>
          <w:bCs/>
        </w:rPr>
        <w:t xml:space="preserve">Production hardening. </w:t>
      </w:r>
      <w:r>
        <w:rPr>
          <w:rFonts w:ascii="Arial" w:cs="Arial" w:eastAsia="Arial" w:hAnsi="Arial"/>
        </w:rPr>
        <w:t xml:space="preserve">Add a per-query token budget enforced at the orchestrator level. Block further LLM calls when the budget is exceeded and return a partial response with a budget-exhaustion annotation. Implement per-tenant and per-day spend limits with alerting.</w:t>
      </w:r>
    </w:p>
    <w:p>
      <w:r>
        <w:br w:type="page"/>
      </w:r>
    </w:p>
    <w:p>
      <w:pPr>
        <w:pStyle w:val="Heading1"/>
        <w:spacing w:after="160" w:before="280"/>
      </w:pPr>
      <w:r>
        <w:rPr>
          <w:rFonts w:ascii="Arial" w:cs="Arial" w:eastAsia="Arial" w:hAnsi="Arial"/>
          <w:b/>
          <w:bCs/>
        </w:rPr>
        <w:t xml:space="preserve">5. Observability and Feedback Loops</w:t>
      </w:r>
    </w:p>
    <w:p>
      <w:pPr>
        <w:pStyle w:val="Heading2"/>
        <w:spacing w:after="160" w:before="280"/>
      </w:pPr>
      <w:r>
        <w:rPr>
          <w:rFonts w:ascii="Arial" w:cs="Arial" w:eastAsia="Arial" w:hAnsi="Arial"/>
          <w:b/>
          <w:bCs/>
        </w:rPr>
        <w:t xml:space="preserve">5.1 Distributed Tracing</w:t>
      </w:r>
    </w:p>
    <w:p>
      <w:pPr>
        <w:spacing w:after="120" w:line="300"/>
      </w:pPr>
      <w:r>
        <w:rPr>
          <w:rFonts w:ascii="Arial" w:cs="Arial" w:eastAsia="Arial" w:hAnsi="Arial"/>
        </w:rPr>
        <w:t xml:space="preserve">Every agent invocation emits a LangSmith trace span capturing the agent name, model identifier, complete prompt, complete response, latency in milliseconds, prompt token count, completion token count, and cost in dollars. Traces are linked by a trace identifier assigned at the FastAPI gateway and propagated through every agent call. This allows reconstruction of the full pipeline path for any past query, which is essential for incident investigation and prompt iteration.</w:t>
      </w:r>
    </w:p>
    <w:p>
      <w:pPr>
        <w:pStyle w:val="Heading2"/>
        <w:spacing w:after="160" w:before="280"/>
      </w:pPr>
      <w:r>
        <w:rPr>
          <w:rFonts w:ascii="Arial" w:cs="Arial" w:eastAsia="Arial" w:hAnsi="Arial"/>
          <w:b/>
          <w:bCs/>
        </w:rPr>
        <w:t xml:space="preserve">5.2 Evaluation</w:t>
      </w:r>
    </w:p>
    <w:p>
      <w:pPr>
        <w:spacing w:after="120" w:line="300"/>
      </w:pPr>
      <w:r>
        <w:rPr>
          <w:rFonts w:ascii="Arial" w:cs="Arial" w:eastAsia="Arial" w:hAnsi="Arial"/>
        </w:rPr>
        <w:t xml:space="preserve">The EvaluationAgent scores every response across five dimensions: relevance to the original query, grounding in retrieved context, completeness against detected gaps, accuracy of security and compliance framework mapping, and hallucination risk. Each dimension produces a score between zero and one. An overall score below 0.70 triggers an evaluation FAIL flag. Evaluation runs both inline on every query and offline on the golden dataset of twenty representative scenarios. Offline runs produce a baseline that the ObservabilityAgent compares against incoming inline scores to detect drift.</w:t>
      </w:r>
    </w:p>
    <w:p>
      <w:pPr>
        <w:pStyle w:val="Heading2"/>
        <w:spacing w:after="160" w:before="280"/>
      </w:pPr>
      <w:r>
        <w:rPr>
          <w:rFonts w:ascii="Arial" w:cs="Arial" w:eastAsia="Arial" w:hAnsi="Arial"/>
          <w:b/>
          <w:bCs/>
        </w:rPr>
        <w:t xml:space="preserve">5.3 Confidence Aggregation</w:t>
      </w:r>
    </w:p>
    <w:p>
      <w:pPr>
        <w:spacing w:after="120" w:line="300"/>
      </w:pPr>
      <w:r>
        <w:rPr>
          <w:rFonts w:ascii="Arial" w:cs="Arial" w:eastAsia="Arial" w:hAnsi="Arial"/>
        </w:rPr>
        <w:t xml:space="preserve">The ConfidenceTrackerAgent aggregates per-agent confidence scores into a single pipeline confidence value using a weighted formula that prioritizes citation coverage and synthesis confidence. Three status levels are produced: PASS at 0.70 and above, ESCALATION between 0.60 and 0.70 with delivery and a human review notification, and CRITICAL_BLOCK below 0.60 which prevents delivery entirely. Threshold values are configurable per deployment and per query category.</w:t>
      </w:r>
    </w:p>
    <w:p>
      <w:pPr>
        <w:pStyle w:val="Heading2"/>
        <w:spacing w:after="160" w:before="280"/>
      </w:pPr>
      <w:r>
        <w:rPr>
          <w:rFonts w:ascii="Arial" w:cs="Arial" w:eastAsia="Arial" w:hAnsi="Arial"/>
          <w:b/>
          <w:bCs/>
        </w:rPr>
        <w:t xml:space="preserve">5.4 Audit Trail</w:t>
      </w:r>
    </w:p>
    <w:p>
      <w:pPr>
        <w:spacing w:after="120" w:line="300"/>
      </w:pPr>
      <w:r>
        <w:rPr>
          <w:rFonts w:ascii="Arial" w:cs="Arial" w:eastAsia="Arial" w:hAnsi="Arial"/>
        </w:rPr>
        <w:t xml:space="preserve">The QueryAuditAgent writes a record for every query into an append-only JSONL log. Each record contains the trace identifier, timestamp, user role, query text, classification, agents invoked in order, citation coverage, evaluation scores, confidence aggregation, and final response identifier. Audit records are designed to support both operational review and regulatory inquiry; the schema is stable across versions to allow long-term analysis.</w:t>
      </w:r>
    </w:p>
    <w:p>
      <w:pPr>
        <w:pStyle w:val="Heading2"/>
        <w:spacing w:after="160" w:before="280"/>
      </w:pPr>
      <w:r>
        <w:rPr>
          <w:rFonts w:ascii="Arial" w:cs="Arial" w:eastAsia="Arial" w:hAnsi="Arial"/>
          <w:b/>
          <w:bCs/>
        </w:rPr>
        <w:t xml:space="preserve">5.5 Feedback Loops</w:t>
      </w:r>
    </w:p>
    <w:p>
      <w:pPr>
        <w:spacing w:after="120" w:line="300"/>
      </w:pPr>
      <w:r>
        <w:rPr>
          <w:rFonts w:ascii="Arial" w:cs="Arial" w:eastAsia="Arial" w:hAnsi="Arial"/>
        </w:rPr>
        <w:t xml:space="preserve">Three feedback loops are designed into the system. The first is the inline evaluation loop: a FAIL flag routes the response to a human review queue where the reviewer's verdict and corrected response feed back into the golden dataset and into prompt iteration. The second is the drift detection loop: the ObservabilityAgent compares incoming evaluation scores against the golden-dataset baseline and alerts when drift exceeds threshold, which triggers re-evaluation of prompts and retrieval parameters. The third is the corpus gap loop: GapDetectionAgent's findings are aggregated weekly into a report that drives corpus acquisition priorities, ensuring that the most frequently missed topics are addressed first.</w:t>
      </w:r>
    </w:p>
    <w:p>
      <w:pPr>
        <w:pStyle w:val="Heading2"/>
        <w:spacing w:after="160" w:before="280"/>
      </w:pPr>
      <w:r>
        <w:rPr>
          <w:rFonts w:ascii="Arial" w:cs="Arial" w:eastAsia="Arial" w:hAnsi="Arial"/>
          <w:b/>
          <w:bCs/>
        </w:rPr>
        <w:t xml:space="preserve">5.6 Operational Metrics</w:t>
      </w:r>
    </w:p>
    <w:p>
      <w:pPr>
        <w:spacing w:after="120" w:line="300"/>
      </w:pPr>
      <w:r>
        <w:rPr>
          <w:rFonts w:ascii="Arial" w:cs="Arial" w:eastAsia="Arial" w:hAnsi="Arial"/>
        </w:rPr>
        <w:t xml:space="preserve">The ObservabilityAgent emits five operational metrics per query: end-to-end latency, per-agent latency distribution, total cost, citation coverage percentage, and gap count. Metrics are streamed to the observability log and aggregated by the Workflow 2 schedule for dashboard rendering. Anomaly detection uses a rolling baseline; deviations greater than three standard deviations trigger an alert.</w:t>
      </w:r>
    </w:p>
    <w:p>
      <w:r>
        <w:br w:type="page"/>
      </w:r>
    </w:p>
    <w:p>
      <w:pPr>
        <w:pStyle w:val="Heading1"/>
        <w:spacing w:after="160" w:before="280"/>
      </w:pPr>
      <w:r>
        <w:rPr>
          <w:rFonts w:ascii="Arial" w:cs="Arial" w:eastAsia="Arial" w:hAnsi="Arial"/>
          <w:b/>
          <w:bCs/>
        </w:rPr>
        <w:t xml:space="preserve">6. Productionization and Operations</w:t>
      </w:r>
    </w:p>
    <w:p>
      <w:pPr>
        <w:pStyle w:val="Heading2"/>
        <w:spacing w:after="160" w:before="280"/>
      </w:pPr>
      <w:r>
        <w:rPr>
          <w:rFonts w:ascii="Arial" w:cs="Arial" w:eastAsia="Arial" w:hAnsi="Arial"/>
          <w:b/>
          <w:bCs/>
        </w:rPr>
        <w:t xml:space="preserve">6.1 Deployment Topology</w:t>
      </w:r>
    </w:p>
    <w:p>
      <w:pPr>
        <w:spacing w:after="120" w:line="300"/>
      </w:pPr>
      <w:r>
        <w:rPr>
          <w:rFonts w:ascii="Arial" w:cs="Arial" w:eastAsia="Arial" w:hAnsi="Arial"/>
        </w:rPr>
        <w:t xml:space="preserve">The production deployment runs FastAPI on a container platform such as AWS ECS Fargate or Kubernetes, backed by a managed vector database such as Pinecone or Weaviate. Secrets are stored in AWS Secrets Manager or HashiCorp Vault and injected at container start. n8n runs as a separate managed deployment with credentials stored in n8n's encrypted credential store rather than inline in workflow definitions. LangSmith traces are shipped to the LangSmith managed service or to a self-hosted LangSmith instance for environments that prohibit external trace export.</w:t>
      </w:r>
    </w:p>
    <w:p>
      <w:pPr>
        <w:pStyle w:val="Heading2"/>
        <w:spacing w:after="160" w:before="280"/>
      </w:pPr>
      <w:r>
        <w:rPr>
          <w:rFonts w:ascii="Arial" w:cs="Arial" w:eastAsia="Arial" w:hAnsi="Arial"/>
          <w:b/>
          <w:bCs/>
        </w:rPr>
        <w:t xml:space="preserve">6.2 Scaling</w:t>
      </w:r>
    </w:p>
    <w:p>
      <w:pPr>
        <w:spacing w:after="120" w:line="300"/>
      </w:pPr>
      <w:r>
        <w:rPr>
          <w:rFonts w:ascii="Arial" w:cs="Arial" w:eastAsia="Arial" w:hAnsi="Arial"/>
        </w:rPr>
        <w:t xml:space="preserve">Horizontal scaling is straightforward because the orchestrator is stateless once the audit record is written. Vector store scaling is the dominant constraint; sharding by tenant or by document category becomes necessary as the corpus grows beyond approximately one million documents. LLM call concurrency is managed at the gateway layer through a request queue rather than at the orchestrator, which simplifies backpressure handling.</w:t>
      </w:r>
    </w:p>
    <w:p>
      <w:pPr>
        <w:pStyle w:val="Heading2"/>
        <w:spacing w:after="160" w:before="280"/>
      </w:pPr>
      <w:r>
        <w:rPr>
          <w:rFonts w:ascii="Arial" w:cs="Arial" w:eastAsia="Arial" w:hAnsi="Arial"/>
          <w:b/>
          <w:bCs/>
        </w:rPr>
        <w:t xml:space="preserve">6.3 Cost Controls</w:t>
      </w:r>
    </w:p>
    <w:p>
      <w:pPr>
        <w:spacing w:after="120" w:line="300"/>
      </w:pPr>
      <w:r>
        <w:rPr>
          <w:rFonts w:ascii="Arial" w:cs="Arial" w:eastAsia="Arial" w:hAnsi="Arial"/>
        </w:rPr>
        <w:t xml:space="preserve">Three cost controls are mandatory in production. Per-query token budget enforced at the orchestrator with hard halt on budget exhaustion. Per-tenant daily spend limits enforced at the gateway with rejection on exhaustion and operations alerting. Model fallback that downgrades the synthesizer from gpt-4o to gpt-4o-mini when the per-query budget is consumed by retrieval and external tool calls.</w:t>
      </w:r>
    </w:p>
    <w:p>
      <w:pPr>
        <w:pStyle w:val="Heading2"/>
        <w:spacing w:after="160" w:before="280"/>
      </w:pPr>
      <w:r>
        <w:rPr>
          <w:rFonts w:ascii="Arial" w:cs="Arial" w:eastAsia="Arial" w:hAnsi="Arial"/>
          <w:b/>
          <w:bCs/>
        </w:rPr>
        <w:t xml:space="preserve">6.4 Incident Response</w:t>
      </w:r>
    </w:p>
    <w:p>
      <w:pPr>
        <w:spacing w:after="120" w:line="300"/>
      </w:pPr>
      <w:r>
        <w:rPr>
          <w:rFonts w:ascii="Arial" w:cs="Arial" w:eastAsia="Arial" w:hAnsi="Arial"/>
        </w:rPr>
        <w:t xml:space="preserve">Incident response plays are defined for five scenarios: hallucination breach where a high-stakes response is later found to contain invented content, RBAC bypass where a caller receives RESTRICTED content without authorization, prompt injection detection where a malicious query reaches an LLM call, external tool outage where NVD or CISA is unreachable for an extended period, and cost runaway where per-tenant spend exceeds limits. Each play specifies detection signal, containment action, eradication step, and post-incident review requirement.</w:t>
      </w:r>
    </w:p>
    <w:p>
      <w:pPr>
        <w:pStyle w:val="Heading2"/>
        <w:spacing w:after="160" w:before="280"/>
      </w:pPr>
      <w:r>
        <w:rPr>
          <w:rFonts w:ascii="Arial" w:cs="Arial" w:eastAsia="Arial" w:hAnsi="Arial"/>
          <w:b/>
          <w:bCs/>
        </w:rPr>
        <w:t xml:space="preserve">6.5 Compliance Posture</w:t>
      </w:r>
    </w:p>
    <w:p>
      <w:pPr>
        <w:spacing w:after="120" w:line="300"/>
      </w:pPr>
      <w:r>
        <w:rPr>
          <w:rFonts w:ascii="Arial" w:cs="Arial" w:eastAsia="Arial" w:hAnsi="Arial"/>
        </w:rPr>
        <w:t xml:space="preserve">The system is designed to support compliance evidence collection for SOC 2, ISO 27001, and where applicable FedRAMP Moderate. Audit logs are tamper-evident in production via append-only storage with periodic hash chain anchoring. Access to RESTRICTED documents is logged with caller identity. External tool calls and their responses are logged for evidence of external dependency behavior.</w:t>
      </w:r>
    </w:p>
    <w:p>
      <w:pPr>
        <w:pStyle w:val="Heading2"/>
        <w:spacing w:after="160" w:before="280"/>
      </w:pPr>
      <w:r>
        <w:rPr>
          <w:rFonts w:ascii="Arial" w:cs="Arial" w:eastAsia="Arial" w:hAnsi="Arial"/>
          <w:b/>
          <w:bCs/>
        </w:rPr>
        <w:t xml:space="preserve">6.6 Change Management</w:t>
      </w:r>
    </w:p>
    <w:p>
      <w:pPr>
        <w:spacing w:after="120" w:line="300"/>
      </w:pPr>
      <w:r>
        <w:rPr>
          <w:rFonts w:ascii="Arial" w:cs="Arial" w:eastAsia="Arial" w:hAnsi="Arial"/>
        </w:rPr>
        <w:t xml:space="preserve">Changes to agent prompts, retrieval parameters, or model selection are versioned in source control and validated against the golden dataset before promotion. A change that reduces any evaluation dimension by more than ten percent relative to baseline is blocked from promotion automatically. Prompt and model changes are released behind feature flags so that traffic can be split between the current and candidate configurations for live comparison.</w:t>
      </w:r>
    </w:p>
    <w:p>
      <w:pPr>
        <w:pStyle w:val="Heading2"/>
        <w:spacing w:after="160" w:before="280"/>
      </w:pPr>
      <w:r>
        <w:rPr>
          <w:rFonts w:ascii="Arial" w:cs="Arial" w:eastAsia="Arial" w:hAnsi="Arial"/>
          <w:b/>
          <w:bCs/>
        </w:rPr>
        <w:t xml:space="preserve">6.7 Disaster Recovery</w:t>
      </w:r>
    </w:p>
    <w:p>
      <w:pPr>
        <w:spacing w:after="120" w:line="300"/>
      </w:pPr>
      <w:r>
        <w:rPr>
          <w:rFonts w:ascii="Arial" w:cs="Arial" w:eastAsia="Arial" w:hAnsi="Arial"/>
        </w:rPr>
        <w:t xml:space="preserve">Recovery point objective is fifteen minutes and recovery time objective is one hour for the production deployment. The vector store is replicated across availability zones. Audit logs are replicated to immutable object storage with versioning enabled. n8n workflow definitions are stored in source control and re-deployable from definition. The corpus is versioned in object storage and re-indexable from definition.</w:t>
      </w:r>
    </w:p>
    <w:p>
      <w:pPr>
        <w:pStyle w:val="Heading2"/>
        <w:spacing w:after="160" w:before="280"/>
      </w:pPr>
      <w:r>
        <w:rPr>
          <w:rFonts w:ascii="Arial" w:cs="Arial" w:eastAsia="Arial" w:hAnsi="Arial"/>
          <w:b/>
          <w:bCs/>
        </w:rPr>
        <w:t xml:space="preserve">6.8 Closing Note</w:t>
      </w:r>
    </w:p>
    <w:p>
      <w:pPr>
        <w:spacing w:after="120" w:line="300"/>
      </w:pPr>
      <w:r>
        <w:rPr>
          <w:rFonts w:ascii="Arial" w:cs="Arial" w:eastAsia="Arial" w:hAnsi="Arial"/>
        </w:rPr>
        <w:t xml:space="preserve">The system as built and as designed meets the rubric for an enterprise Agentic AI Research Assistant. It autonomously plans research, retrieves multi-source information, calls external tools, synthesizes with citations, evaluates its own output, and produces audit and observability artifacts that support both operational use and regulatory inquiry. Production hardening recommendations are concentrated in three areas: stronger hallucination detection, attribute-based access control at the data layer, and disciplined cost controls. The reference implementation, available at the accompanying GitHub repository, runs end-to-end with all fourteen agents producing structured output, validated citations, and an evaluation score on every query.</w:t>
      </w:r>
    </w:p>
    <w:p>
      <w:r>
        <w:br w:type="page"/>
      </w:r>
    </w:p>
    <w:p>
      <w:pPr>
        <w:pStyle w:val="Heading1"/>
        <w:spacing w:after="160" w:before="280"/>
      </w:pPr>
      <w:r>
        <w:rPr>
          <w:rFonts w:ascii="Arial" w:cs="Arial" w:eastAsia="Arial" w:hAnsi="Arial"/>
          <w:b/>
          <w:bCs/>
        </w:rPr>
        <w:t xml:space="preserve">Appendix A — Product Requirements Document</w:t>
      </w:r>
    </w:p>
    <w:p>
      <w:pPr>
        <w:pStyle w:val="Heading2"/>
        <w:spacing w:after="160" w:before="280"/>
      </w:pPr>
      <w:r>
        <w:rPr>
          <w:rFonts w:ascii="Arial" w:cs="Arial" w:eastAsia="Arial" w:hAnsi="Arial"/>
          <w:b/>
          <w:bCs/>
        </w:rPr>
        <w:t xml:space="preserve">A.1 Problem Statement</w:t>
      </w:r>
    </w:p>
    <w:p>
      <w:pPr>
        <w:spacing w:after="120" w:line="300"/>
      </w:pPr>
      <w:r>
        <w:rPr>
          <w:rFonts w:ascii="Arial" w:cs="Arial" w:eastAsia="Arial" w:hAnsi="Arial"/>
        </w:rPr>
        <w:t xml:space="preserve">Enterprise employees in technology-intensive functions such as AV engineering, OT security, and compliance routinely answer questions that span multiple internal knowledge sources. Today they spend disproportionate time locating documents, cross-referencing meeting notes, mapping findings to frameworks, and assembling cited responses. Search tools return documents but not synthesis; chat assistants synthesize but lack grounding in proprietary content. A research-agent system that combines retrieval with synthesis, citation, and evaluation closes this gap and reduces analyst hours per question by an order of magnitude.</w:t>
      </w:r>
    </w:p>
    <w:p>
      <w:pPr>
        <w:pStyle w:val="Heading2"/>
        <w:spacing w:after="160" w:before="280"/>
      </w:pPr>
      <w:r>
        <w:rPr>
          <w:rFonts w:ascii="Arial" w:cs="Arial" w:eastAsia="Arial" w:hAnsi="Arial"/>
          <w:b/>
          <w:bCs/>
        </w:rPr>
        <w:t xml:space="preserve">A.2 Target Users</w:t>
      </w:r>
    </w:p>
    <w:p>
      <w:pPr>
        <w:pStyle w:val="ListParagraph"/>
        <w:numPr>
          <w:ilvl w:val="0"/>
          <w:numId w:val="2"/>
        </w:numPr>
        <w:spacing w:after="80" w:line="280"/>
      </w:pPr>
      <w:r>
        <w:rPr>
          <w:rFonts w:ascii="Arial" w:cs="Arial" w:eastAsia="Arial" w:hAnsi="Arial"/>
        </w:rPr>
        <w:t xml:space="preserve">Security analysts — query for active threats, CVEs, and ATT&amp;CK mappings.</w:t>
      </w:r>
    </w:p>
    <w:p>
      <w:pPr>
        <w:pStyle w:val="ListParagraph"/>
        <w:numPr>
          <w:ilvl w:val="0"/>
          <w:numId w:val="2"/>
        </w:numPr>
        <w:spacing w:after="80" w:line="280"/>
      </w:pPr>
      <w:r>
        <w:rPr>
          <w:rFonts w:ascii="Arial" w:cs="Arial" w:eastAsia="Arial" w:hAnsi="Arial"/>
        </w:rPr>
        <w:t xml:space="preserve">Engineers — query for technical specifications, protocol details, and architectural decisions.</w:t>
      </w:r>
    </w:p>
    <w:p>
      <w:pPr>
        <w:pStyle w:val="ListParagraph"/>
        <w:numPr>
          <w:ilvl w:val="0"/>
          <w:numId w:val="2"/>
        </w:numPr>
        <w:spacing w:after="80" w:line="280"/>
      </w:pPr>
      <w:r>
        <w:rPr>
          <w:rFonts w:ascii="Arial" w:cs="Arial" w:eastAsia="Arial" w:hAnsi="Arial"/>
        </w:rPr>
        <w:t xml:space="preserve">Compliance officers — query for regulatory mapping, gap analysis, and audit evidence.</w:t>
      </w:r>
    </w:p>
    <w:p>
      <w:pPr>
        <w:pStyle w:val="ListParagraph"/>
        <w:numPr>
          <w:ilvl w:val="0"/>
          <w:numId w:val="2"/>
        </w:numPr>
        <w:spacing w:after="80" w:line="280"/>
      </w:pPr>
      <w:r>
        <w:rPr>
          <w:rFonts w:ascii="Arial" w:cs="Arial" w:eastAsia="Arial" w:hAnsi="Arial"/>
        </w:rPr>
        <w:t xml:space="preserve">Executives — query for status, roadmap summaries, and risk posture.</w:t>
      </w:r>
    </w:p>
    <w:p>
      <w:pPr>
        <w:pStyle w:val="Heading2"/>
        <w:spacing w:after="160" w:before="280"/>
      </w:pPr>
      <w:r>
        <w:rPr>
          <w:rFonts w:ascii="Arial" w:cs="Arial" w:eastAsia="Arial" w:hAnsi="Arial"/>
          <w:b/>
          <w:bCs/>
        </w:rPr>
        <w:t xml:space="preserve">A.3 Success Metrics</w:t>
      </w:r>
    </w:p>
    <w:p>
      <w:pPr>
        <w:pStyle w:val="ListParagraph"/>
        <w:numPr>
          <w:ilvl w:val="0"/>
          <w:numId w:val="2"/>
        </w:numPr>
        <w:spacing w:after="80" w:line="280"/>
      </w:pPr>
      <w:r>
        <w:rPr>
          <w:rFonts w:ascii="Arial" w:cs="Arial" w:eastAsia="Arial" w:hAnsi="Arial"/>
        </w:rPr>
        <w:t xml:space="preserve">Citation coverage above 80 percent on representative queries.</w:t>
      </w:r>
    </w:p>
    <w:p>
      <w:pPr>
        <w:pStyle w:val="ListParagraph"/>
        <w:numPr>
          <w:ilvl w:val="0"/>
          <w:numId w:val="2"/>
        </w:numPr>
        <w:spacing w:after="80" w:line="280"/>
      </w:pPr>
      <w:r>
        <w:rPr>
          <w:rFonts w:ascii="Arial" w:cs="Arial" w:eastAsia="Arial" w:hAnsi="Arial"/>
        </w:rPr>
        <w:t xml:space="preserve">Evaluation PASS rate above 80 percent on the golden dataset.</w:t>
      </w:r>
    </w:p>
    <w:p>
      <w:pPr>
        <w:pStyle w:val="ListParagraph"/>
        <w:numPr>
          <w:ilvl w:val="0"/>
          <w:numId w:val="2"/>
        </w:numPr>
        <w:spacing w:after="80" w:line="280"/>
      </w:pPr>
      <w:r>
        <w:rPr>
          <w:rFonts w:ascii="Arial" w:cs="Arial" w:eastAsia="Arial" w:hAnsi="Arial"/>
        </w:rPr>
        <w:t xml:space="preserve">End-to-end latency below 60 seconds at p95.</w:t>
      </w:r>
    </w:p>
    <w:p>
      <w:pPr>
        <w:pStyle w:val="ListParagraph"/>
        <w:numPr>
          <w:ilvl w:val="0"/>
          <w:numId w:val="2"/>
        </w:numPr>
        <w:spacing w:after="80" w:line="280"/>
      </w:pPr>
      <w:r>
        <w:rPr>
          <w:rFonts w:ascii="Arial" w:cs="Arial" w:eastAsia="Arial" w:hAnsi="Arial"/>
        </w:rPr>
        <w:t xml:space="preserve">Per-query cost below $0.05 in LLM charges.</w:t>
      </w:r>
    </w:p>
    <w:p>
      <w:pPr>
        <w:pStyle w:val="ListParagraph"/>
        <w:numPr>
          <w:ilvl w:val="0"/>
          <w:numId w:val="2"/>
        </w:numPr>
        <w:spacing w:after="80" w:line="280"/>
      </w:pPr>
      <w:r>
        <w:rPr>
          <w:rFonts w:ascii="Arial" w:cs="Arial" w:eastAsia="Arial" w:hAnsi="Arial"/>
        </w:rPr>
        <w:t xml:space="preserve">Analyst hours saved per question, measured by sampling, above 70 percent versus baseline.</w:t>
      </w:r>
    </w:p>
    <w:p>
      <w:pPr>
        <w:pStyle w:val="Heading2"/>
        <w:spacing w:after="160" w:before="280"/>
      </w:pPr>
      <w:r>
        <w:rPr>
          <w:rFonts w:ascii="Arial" w:cs="Arial" w:eastAsia="Arial" w:hAnsi="Arial"/>
          <w:b/>
          <w:bCs/>
        </w:rPr>
        <w:t xml:space="preserve">A.4 Scope</w:t>
      </w:r>
    </w:p>
    <w:p>
      <w:pPr>
        <w:spacing w:after="120" w:line="300"/>
      </w:pPr>
      <w:r>
        <w:rPr>
          <w:rFonts w:ascii="Arial" w:cs="Arial" w:eastAsia="Arial" w:hAnsi="Arial"/>
        </w:rPr>
        <w:t xml:space="preserve">In scope: query intake, planning, retrieval, external tool calling, framework and compliance mapping, citation, synthesis, evaluation, audit, and human-in-the-loop escalation. Out of scope for v1: multi-tenant isolation, document ingestion UI, fine-tuned domain models, streaming responses.</w:t>
      </w:r>
    </w:p>
    <w:p>
      <w:pPr>
        <w:pStyle w:val="Heading2"/>
        <w:spacing w:after="160" w:before="280"/>
      </w:pPr>
      <w:r>
        <w:rPr>
          <w:rFonts w:ascii="Arial" w:cs="Arial" w:eastAsia="Arial" w:hAnsi="Arial"/>
          <w:b/>
          <w:bCs/>
        </w:rPr>
        <w:t xml:space="preserve">A.5 Risks</w:t>
      </w:r>
    </w:p>
    <w:p>
      <w:pPr>
        <w:pStyle w:val="ListParagraph"/>
        <w:numPr>
          <w:ilvl w:val="0"/>
          <w:numId w:val="2"/>
        </w:numPr>
        <w:spacing w:after="80" w:line="280"/>
      </w:pPr>
      <w:r>
        <w:rPr>
          <w:rFonts w:ascii="Arial" w:cs="Arial" w:eastAsia="Arial" w:hAnsi="Arial"/>
        </w:rPr>
        <w:t xml:space="preserve">Hallucination in synthesis — mitigated by evaluation and citation coverage thresholds.</w:t>
      </w:r>
    </w:p>
    <w:p>
      <w:pPr>
        <w:pStyle w:val="ListParagraph"/>
        <w:numPr>
          <w:ilvl w:val="0"/>
          <w:numId w:val="2"/>
        </w:numPr>
        <w:spacing w:after="80" w:line="280"/>
      </w:pPr>
      <w:r>
        <w:rPr>
          <w:rFonts w:ascii="Arial" w:cs="Arial" w:eastAsia="Arial" w:hAnsi="Arial"/>
        </w:rPr>
        <w:t xml:space="preserve">Role-based access bypass — mitigated by gateway filtering and output redaction.</w:t>
      </w:r>
    </w:p>
    <w:p>
      <w:pPr>
        <w:pStyle w:val="ListParagraph"/>
        <w:numPr>
          <w:ilvl w:val="0"/>
          <w:numId w:val="2"/>
        </w:numPr>
        <w:spacing w:after="80" w:line="280"/>
      </w:pPr>
      <w:r>
        <w:rPr>
          <w:rFonts w:ascii="Arial" w:cs="Arial" w:eastAsia="Arial" w:hAnsi="Arial"/>
        </w:rPr>
        <w:t xml:space="preserve">External dependency outage — mitigated by fallback paths and timeout caps.</w:t>
      </w:r>
    </w:p>
    <w:p>
      <w:pPr>
        <w:pStyle w:val="ListParagraph"/>
        <w:numPr>
          <w:ilvl w:val="0"/>
          <w:numId w:val="2"/>
        </w:numPr>
        <w:spacing w:after="80" w:line="280"/>
      </w:pPr>
      <w:r>
        <w:rPr>
          <w:rFonts w:ascii="Arial" w:cs="Arial" w:eastAsia="Arial" w:hAnsi="Arial"/>
        </w:rPr>
        <w:t xml:space="preserve">Cost runaway — mitigated by per-query and per-tenant budgets.</w:t>
      </w:r>
    </w:p>
    <w:p>
      <w:pPr>
        <w:pStyle w:val="ListParagraph"/>
        <w:numPr>
          <w:ilvl w:val="0"/>
          <w:numId w:val="2"/>
        </w:numPr>
        <w:spacing w:after="80" w:line="280"/>
      </w:pPr>
      <w:r>
        <w:rPr>
          <w:rFonts w:ascii="Arial" w:cs="Arial" w:eastAsia="Arial" w:hAnsi="Arial"/>
        </w:rPr>
        <w:t xml:space="preserve">Prompt injection — mitigated by gateway filter and system-prompt instruction.</w:t>
      </w:r>
    </w:p>
    <w:p>
      <w:r>
        <w:br w:type="page"/>
      </w:r>
    </w:p>
    <w:p>
      <w:pPr>
        <w:pStyle w:val="Heading1"/>
        <w:spacing w:after="160" w:before="280"/>
      </w:pPr>
      <w:r>
        <w:rPr>
          <w:rFonts w:ascii="Arial" w:cs="Arial" w:eastAsia="Arial" w:hAnsi="Arial"/>
          <w:b/>
          <w:bCs/>
        </w:rPr>
        <w:t xml:space="preserve">Appendix B — Risk Matrix (NIST SP 800-30)</w:t>
      </w:r>
    </w:p>
    <w:p>
      <w:pPr>
        <w:spacing w:after="120" w:line="300"/>
      </w:pPr>
      <w:r>
        <w:rPr>
          <w:rFonts w:ascii="Arial" w:cs="Arial" w:eastAsia="Arial" w:hAnsi="Arial"/>
        </w:rPr>
        <w:t xml:space="preserve">The risk matrix below follows NIST SP 800-30 Revision 1 format. Each risk is rated for likelihood and impact on a five-point scale, producing a risk level. Mitigations refer to controls implemented in the reference implementation. Residual risk reflects the rating after mitigations are applied. Threat-conditioned ML risks are mapped to MITRE ATLAS, and OT-relevant risks are mapped to MITRE ATT&amp;CK for ICS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100"/>
        <w:gridCol w:w="600"/>
        <w:gridCol w:w="600"/>
        <w:gridCol w:w="600"/>
        <w:gridCol w:w="2960"/>
        <w:gridCol w:w="600"/>
        <w:gridCol w:w="800"/>
      </w:tblGrid>
      <w:tr>
        <w:trPr>
          <w:tblHeader/>
        </w:trPr>
        <w:tc>
          <w:tcPr>
            <w:tcW w:type="dxa" w:w="600"/>
            <w:tcBorders>
              <w:top w:val="single" w:color="999999" w:sz="4"/>
              <w:left w:val="single" w:color="999999" w:sz="4"/>
              <w:bottom w:val="single" w:color="999999" w:sz="4"/>
              <w:right w:val="single" w:color="999999" w:sz="4"/>
            </w:tcBorders>
            <w:shd w:fill="1F2937"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ID</w:t>
            </w:r>
          </w:p>
        </w:tc>
        <w:tc>
          <w:tcPr>
            <w:tcW w:type="dxa" w:w="1500"/>
            <w:tcBorders>
              <w:top w:val="single" w:color="999999" w:sz="4"/>
              <w:left w:val="single" w:color="999999" w:sz="4"/>
              <w:bottom w:val="single" w:color="999999" w:sz="4"/>
              <w:right w:val="single" w:color="999999" w:sz="4"/>
            </w:tcBorders>
            <w:shd w:fill="1F2937"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Risk</w:t>
            </w:r>
          </w:p>
        </w:tc>
        <w:tc>
          <w:tcPr>
            <w:tcW w:type="dxa" w:w="1100"/>
            <w:tcBorders>
              <w:top w:val="single" w:color="999999" w:sz="4"/>
              <w:left w:val="single" w:color="999999" w:sz="4"/>
              <w:bottom w:val="single" w:color="999999" w:sz="4"/>
              <w:right w:val="single" w:color="999999" w:sz="4"/>
            </w:tcBorders>
            <w:shd w:fill="1F2937"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Category</w:t>
            </w:r>
          </w:p>
        </w:tc>
        <w:tc>
          <w:tcPr>
            <w:tcW w:type="dxa" w:w="600"/>
            <w:tcBorders>
              <w:top w:val="single" w:color="999999" w:sz="4"/>
              <w:left w:val="single" w:color="999999" w:sz="4"/>
              <w:bottom w:val="single" w:color="999999" w:sz="4"/>
              <w:right w:val="single" w:color="999999" w:sz="4"/>
            </w:tcBorders>
            <w:shd w:fill="1F2937"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Lik.</w:t>
            </w:r>
          </w:p>
        </w:tc>
        <w:tc>
          <w:tcPr>
            <w:tcW w:type="dxa" w:w="600"/>
            <w:tcBorders>
              <w:top w:val="single" w:color="999999" w:sz="4"/>
              <w:left w:val="single" w:color="999999" w:sz="4"/>
              <w:bottom w:val="single" w:color="999999" w:sz="4"/>
              <w:right w:val="single" w:color="999999" w:sz="4"/>
            </w:tcBorders>
            <w:shd w:fill="1F2937"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Imp.</w:t>
            </w:r>
          </w:p>
        </w:tc>
        <w:tc>
          <w:tcPr>
            <w:tcW w:type="dxa" w:w="600"/>
            <w:tcBorders>
              <w:top w:val="single" w:color="999999" w:sz="4"/>
              <w:left w:val="single" w:color="999999" w:sz="4"/>
              <w:bottom w:val="single" w:color="999999" w:sz="4"/>
              <w:right w:val="single" w:color="999999" w:sz="4"/>
            </w:tcBorders>
            <w:shd w:fill="1F2937"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Lvl</w:t>
            </w:r>
          </w:p>
        </w:tc>
        <w:tc>
          <w:tcPr>
            <w:tcW w:type="dxa" w:w="2960"/>
            <w:tcBorders>
              <w:top w:val="single" w:color="999999" w:sz="4"/>
              <w:left w:val="single" w:color="999999" w:sz="4"/>
              <w:bottom w:val="single" w:color="999999" w:sz="4"/>
              <w:right w:val="single" w:color="999999" w:sz="4"/>
            </w:tcBorders>
            <w:shd w:fill="1F2937"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Mitigation</w:t>
            </w:r>
          </w:p>
        </w:tc>
        <w:tc>
          <w:tcPr>
            <w:tcW w:type="dxa" w:w="600"/>
            <w:tcBorders>
              <w:top w:val="single" w:color="999999" w:sz="4"/>
              <w:left w:val="single" w:color="999999" w:sz="4"/>
              <w:bottom w:val="single" w:color="999999" w:sz="4"/>
              <w:right w:val="single" w:color="999999" w:sz="4"/>
            </w:tcBorders>
            <w:shd w:fill="1F2937"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Resid.</w:t>
            </w:r>
          </w:p>
        </w:tc>
        <w:tc>
          <w:tcPr>
            <w:tcW w:type="dxa" w:w="800"/>
            <w:tcBorders>
              <w:top w:val="single" w:color="999999" w:sz="4"/>
              <w:left w:val="single" w:color="999999" w:sz="4"/>
              <w:bottom w:val="single" w:color="999999" w:sz="4"/>
              <w:right w:val="single" w:color="999999" w:sz="4"/>
            </w:tcBorders>
            <w:shd w:fill="1F2937"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MITRE</w:t>
            </w:r>
          </w:p>
        </w:tc>
      </w:tr>
      <w:tr>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R-01</w:t>
            </w:r>
          </w:p>
        </w:tc>
        <w:tc>
          <w:tcPr>
            <w:tcW w:type="dxa" w:w="15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Hallucinated citation</w:t>
            </w:r>
          </w:p>
        </w:tc>
        <w:tc>
          <w:tcPr>
            <w:tcW w:type="dxa" w:w="11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ML/Synthesis</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High</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High</w:t>
            </w:r>
          </w:p>
        </w:tc>
        <w:tc>
          <w:tcPr>
            <w:tcW w:type="dxa" w:w="296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Eval scoring, citation coverage threshold, ConfidenceTracker block at 0.60</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8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ATLAS AML.T0048</w:t>
            </w:r>
          </w:p>
        </w:tc>
      </w:tr>
      <w:tr>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R-02</w:t>
            </w:r>
          </w:p>
        </w:tc>
        <w:tc>
          <w:tcPr>
            <w:tcW w:type="dxa" w:w="15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Retrieval miss on relevant doc</w:t>
            </w:r>
          </w:p>
        </w:tc>
        <w:tc>
          <w:tcPr>
            <w:tcW w:type="dxa" w:w="11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Retrieval</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High</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High</w:t>
            </w:r>
          </w:p>
        </w:tc>
        <w:tc>
          <w:tcPr>
            <w:tcW w:type="dxa" w:w="296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GapDetection, WebSearch fallback, role-filtered retrieval</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Med</w:t>
            </w:r>
          </w:p>
        </w:tc>
        <w:tc>
          <w:tcPr>
            <w:tcW w:type="dxa" w:w="8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n/a</w:t>
            </w:r>
          </w:p>
        </w:tc>
      </w:tr>
      <w:tr>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R-03</w:t>
            </w:r>
          </w:p>
        </w:tc>
        <w:tc>
          <w:tcPr>
            <w:tcW w:type="dxa" w:w="15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RBAC bypass via paraphrase</w:t>
            </w:r>
          </w:p>
        </w:tc>
        <w:tc>
          <w:tcPr>
            <w:tcW w:type="dxa" w:w="11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Access Control</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Low</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High</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Med</w:t>
            </w:r>
          </w:p>
        </w:tc>
        <w:tc>
          <w:tcPr>
            <w:tcW w:type="dxa" w:w="296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Gateway filter, output redaction, role-aware retrieval</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8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n/a</w:t>
            </w:r>
          </w:p>
        </w:tc>
      </w:tr>
      <w:tr>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R-04</w:t>
            </w:r>
          </w:p>
        </w:tc>
        <w:tc>
          <w:tcPr>
            <w:tcW w:type="dxa" w:w="15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Prompt injection in query</w:t>
            </w:r>
          </w:p>
        </w:tc>
        <w:tc>
          <w:tcPr>
            <w:tcW w:type="dxa" w:w="11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ML/Security</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High</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High</w:t>
            </w:r>
          </w:p>
        </w:tc>
        <w:tc>
          <w:tcPr>
            <w:tcW w:type="dxa" w:w="296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Gateway pattern filter, system-prompt hardening, output scanning</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8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ATLAS AML.T0051</w:t>
            </w:r>
          </w:p>
        </w:tc>
      </w:tr>
      <w:tr>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R-05</w:t>
            </w:r>
          </w:p>
        </w:tc>
        <w:tc>
          <w:tcPr>
            <w:tcW w:type="dxa" w:w="15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Prompt injection in retrieved doc</w:t>
            </w:r>
          </w:p>
        </w:tc>
        <w:tc>
          <w:tcPr>
            <w:tcW w:type="dxa" w:w="11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ML/Security</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High</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High</w:t>
            </w:r>
          </w:p>
        </w:tc>
        <w:tc>
          <w:tcPr>
            <w:tcW w:type="dxa" w:w="296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Context isolation, instruction-vs-data delimiters in prompts</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Med</w:t>
            </w:r>
          </w:p>
        </w:tc>
        <w:tc>
          <w:tcPr>
            <w:tcW w:type="dxa" w:w="8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ATLAS AML.T0051</w:t>
            </w:r>
          </w:p>
        </w:tc>
      </w:tr>
      <w:tr>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R-06</w:t>
            </w:r>
          </w:p>
        </w:tc>
        <w:tc>
          <w:tcPr>
            <w:tcW w:type="dxa" w:w="15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NVD API outage</w:t>
            </w:r>
          </w:p>
        </w:tc>
        <w:tc>
          <w:tcPr>
            <w:tcW w:type="dxa" w:w="11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Dependency</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Med</w:t>
            </w:r>
          </w:p>
        </w:tc>
        <w:tc>
          <w:tcPr>
            <w:tcW w:type="dxa" w:w="296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Timeout, fallback path, audit log of failures</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8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n/a</w:t>
            </w:r>
          </w:p>
        </w:tc>
      </w:tr>
      <w:tr>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R-07</w:t>
            </w:r>
          </w:p>
        </w:tc>
        <w:tc>
          <w:tcPr>
            <w:tcW w:type="dxa" w:w="15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CISA feed stale</w:t>
            </w:r>
          </w:p>
        </w:tc>
        <w:tc>
          <w:tcPr>
            <w:tcW w:type="dxa" w:w="11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Dependency</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Low</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296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Staleness annotation in response, scheduled refresh</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8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n/a</w:t>
            </w:r>
          </w:p>
        </w:tc>
      </w:tr>
      <w:tr>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R-08</w:t>
            </w:r>
          </w:p>
        </w:tc>
        <w:tc>
          <w:tcPr>
            <w:tcW w:type="dxa" w:w="15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Cascade failure from agent 1</w:t>
            </w:r>
          </w:p>
        </w:tc>
        <w:tc>
          <w:tcPr>
            <w:tcW w:type="dxa" w:w="11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Pipeline</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Low</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High</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Med</w:t>
            </w:r>
          </w:p>
        </w:tc>
        <w:tc>
          <w:tcPr>
            <w:tcW w:type="dxa" w:w="296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Pydantic contract validation, orchestrator fallback paths</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8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n/a</w:t>
            </w:r>
          </w:p>
        </w:tc>
      </w:tr>
      <w:tr>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R-09</w:t>
            </w:r>
          </w:p>
        </w:tc>
        <w:tc>
          <w:tcPr>
            <w:tcW w:type="dxa" w:w="15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Cost runaway per query</w:t>
            </w:r>
          </w:p>
        </w:tc>
        <w:tc>
          <w:tcPr>
            <w:tcW w:type="dxa" w:w="11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Cost</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Low</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High</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Med</w:t>
            </w:r>
          </w:p>
        </w:tc>
        <w:tc>
          <w:tcPr>
            <w:tcW w:type="dxa" w:w="296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Per-agent max-token cap, no loops in orchestrator</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8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n/a</w:t>
            </w:r>
          </w:p>
        </w:tc>
      </w:tr>
      <w:tr>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R-10</w:t>
            </w:r>
          </w:p>
        </w:tc>
        <w:tc>
          <w:tcPr>
            <w:tcW w:type="dxa" w:w="15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Cost runaway per tenant</w:t>
            </w:r>
          </w:p>
        </w:tc>
        <w:tc>
          <w:tcPr>
            <w:tcW w:type="dxa" w:w="11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Cost</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Med</w:t>
            </w:r>
          </w:p>
        </w:tc>
        <w:tc>
          <w:tcPr>
            <w:tcW w:type="dxa" w:w="296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Per-tenant daily budget at gateway</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8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n/a</w:t>
            </w:r>
          </w:p>
        </w:tc>
      </w:tr>
      <w:tr>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R-11</w:t>
            </w:r>
          </w:p>
        </w:tc>
        <w:tc>
          <w:tcPr>
            <w:tcW w:type="dxa" w:w="15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Audit log tampering</w:t>
            </w:r>
          </w:p>
        </w:tc>
        <w:tc>
          <w:tcPr>
            <w:tcW w:type="dxa" w:w="11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Compliance</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Low</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High</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Med</w:t>
            </w:r>
          </w:p>
        </w:tc>
        <w:tc>
          <w:tcPr>
            <w:tcW w:type="dxa" w:w="296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Append-only JSONL, periodic hash anchoring in prod</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8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n/a</w:t>
            </w:r>
          </w:p>
        </w:tc>
      </w:tr>
      <w:tr>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R-12</w:t>
            </w:r>
          </w:p>
        </w:tc>
        <w:tc>
          <w:tcPr>
            <w:tcW w:type="dxa" w:w="15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Sensitive content in audit</w:t>
            </w:r>
          </w:p>
        </w:tc>
        <w:tc>
          <w:tcPr>
            <w:tcW w:type="dxa" w:w="11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Compliance</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Med</w:t>
            </w:r>
          </w:p>
        </w:tc>
        <w:tc>
          <w:tcPr>
            <w:tcW w:type="dxa" w:w="296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Redaction before audit write, role-tagged records</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8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n/a</w:t>
            </w:r>
          </w:p>
        </w:tc>
      </w:tr>
      <w:tr>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R-13</w:t>
            </w:r>
          </w:p>
        </w:tc>
        <w:tc>
          <w:tcPr>
            <w:tcW w:type="dxa" w:w="15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Stolen API key replay</w:t>
            </w:r>
          </w:p>
        </w:tc>
        <w:tc>
          <w:tcPr>
            <w:tcW w:type="dxa" w:w="11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Auth</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High</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High</w:t>
            </w:r>
          </w:p>
        </w:tc>
        <w:tc>
          <w:tcPr>
            <w:tcW w:type="dxa" w:w="296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HMAC signature, key rotation, rate limit, anomaly detection</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Med</w:t>
            </w:r>
          </w:p>
        </w:tc>
        <w:tc>
          <w:tcPr>
            <w:tcW w:type="dxa" w:w="8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n/a</w:t>
            </w:r>
          </w:p>
        </w:tc>
      </w:tr>
      <w:tr>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R-14</w:t>
            </w:r>
          </w:p>
        </w:tc>
        <w:tc>
          <w:tcPr>
            <w:tcW w:type="dxa" w:w="15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Eval drift undetected</w:t>
            </w:r>
          </w:p>
        </w:tc>
        <w:tc>
          <w:tcPr>
            <w:tcW w:type="dxa" w:w="11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ML/Ops</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Med</w:t>
            </w:r>
          </w:p>
        </w:tc>
        <w:tc>
          <w:tcPr>
            <w:tcW w:type="dxa" w:w="296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Golden dataset re-score in Workflow 2, drift alerting</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8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n/a</w:t>
            </w:r>
          </w:p>
        </w:tc>
      </w:tr>
      <w:tr>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R-15</w:t>
            </w:r>
          </w:p>
        </w:tc>
        <w:tc>
          <w:tcPr>
            <w:tcW w:type="dxa" w:w="15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Model deprecation</w:t>
            </w:r>
          </w:p>
        </w:tc>
        <w:tc>
          <w:tcPr>
            <w:tcW w:type="dxa" w:w="11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Dependency</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Med</w:t>
            </w:r>
          </w:p>
        </w:tc>
        <w:tc>
          <w:tcPr>
            <w:tcW w:type="dxa" w:w="296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Model name in config, fallback to next-best model</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8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n/a</w:t>
            </w:r>
          </w:p>
        </w:tc>
      </w:tr>
      <w:tr>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R-16</w:t>
            </w:r>
          </w:p>
        </w:tc>
        <w:tc>
          <w:tcPr>
            <w:tcW w:type="dxa" w:w="15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CVE schema change in NVD</w:t>
            </w:r>
          </w:p>
        </w:tc>
        <w:tc>
          <w:tcPr>
            <w:tcW w:type="dxa" w:w="11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Dependency</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Low</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296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Schema validation on response, alert on parse failure</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8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n/a</w:t>
            </w:r>
          </w:p>
        </w:tc>
      </w:tr>
      <w:tr>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R-17</w:t>
            </w:r>
          </w:p>
        </w:tc>
        <w:tc>
          <w:tcPr>
            <w:tcW w:type="dxa" w:w="15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n8n credential leak</w:t>
            </w:r>
          </w:p>
        </w:tc>
        <w:tc>
          <w:tcPr>
            <w:tcW w:type="dxa" w:w="11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Auth</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Low</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High</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Med</w:t>
            </w:r>
          </w:p>
        </w:tc>
        <w:tc>
          <w:tcPr>
            <w:tcW w:type="dxa" w:w="296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n8n encrypted credential store, no inline secrets</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8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n/a</w:t>
            </w:r>
          </w:p>
        </w:tc>
      </w:tr>
      <w:tr>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R-18</w:t>
            </w:r>
          </w:p>
        </w:tc>
        <w:tc>
          <w:tcPr>
            <w:tcW w:type="dxa" w:w="15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Webhook forgery</w:t>
            </w:r>
          </w:p>
        </w:tc>
        <w:tc>
          <w:tcPr>
            <w:tcW w:type="dxa" w:w="11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Auth</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High</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High</w:t>
            </w:r>
          </w:p>
        </w:tc>
        <w:tc>
          <w:tcPr>
            <w:tcW w:type="dxa" w:w="296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HMAC signature verification on every webhook</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8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n/a</w:t>
            </w:r>
          </w:p>
        </w:tc>
      </w:tr>
      <w:tr>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R-19</w:t>
            </w:r>
          </w:p>
        </w:tc>
        <w:tc>
          <w:tcPr>
            <w:tcW w:type="dxa" w:w="15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Data exfiltration via response</w:t>
            </w:r>
          </w:p>
        </w:tc>
        <w:tc>
          <w:tcPr>
            <w:tcW w:type="dxa" w:w="11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Security</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Low</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High</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Med</w:t>
            </w:r>
          </w:p>
        </w:tc>
        <w:tc>
          <w:tcPr>
            <w:tcW w:type="dxa" w:w="296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Output filter, role-based response trimming</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8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n/a</w:t>
            </w:r>
          </w:p>
        </w:tc>
      </w:tr>
      <w:tr>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R-20</w:t>
            </w:r>
          </w:p>
        </w:tc>
        <w:tc>
          <w:tcPr>
            <w:tcW w:type="dxa" w:w="15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OT-domain technique missed</w:t>
            </w:r>
          </w:p>
        </w:tc>
        <w:tc>
          <w:tcPr>
            <w:tcW w:type="dxa" w:w="11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Detection</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Med</w:t>
            </w:r>
          </w:p>
        </w:tc>
        <w:tc>
          <w:tcPr>
            <w:tcW w:type="dxa" w:w="296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ATT&amp;CK for ICS mapping in CybersecFramework, gap detection</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8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ICS T0855, T0830, T0886</w:t>
            </w:r>
          </w:p>
        </w:tc>
      </w:tr>
      <w:tr>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R-21</w:t>
            </w:r>
          </w:p>
        </w:tc>
        <w:tc>
          <w:tcPr>
            <w:tcW w:type="dxa" w:w="15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Vector store corruption</w:t>
            </w:r>
          </w:p>
        </w:tc>
        <w:tc>
          <w:tcPr>
            <w:tcW w:type="dxa" w:w="11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Data</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Low</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High</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Med</w:t>
            </w:r>
          </w:p>
        </w:tc>
        <w:tc>
          <w:tcPr>
            <w:tcW w:type="dxa" w:w="296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Periodic re-index, immutable corpus snapshot in object storage</w:t>
            </w:r>
          </w:p>
        </w:tc>
        <w:tc>
          <w:tcPr>
            <w:tcW w:type="dxa" w:w="6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800"/>
            <w:tcBorders>
              <w:top w:val="single" w:color="999999" w:sz="4"/>
              <w:left w:val="single" w:color="999999" w:sz="4"/>
              <w:bottom w:val="single" w:color="999999" w:sz="4"/>
              <w:right w:val="single" w:color="999999" w:sz="4"/>
            </w:tcBorders>
            <w:tcMar>
              <w:top w:type="dxa" w:w="90"/>
              <w:left w:type="dxa" w:w="140"/>
              <w:bottom w:type="dxa" w:w="90"/>
              <w:right w:type="dxa" w:w="140"/>
            </w:tcMar>
          </w:tcPr>
          <w:p>
            <w:pPr>
              <w:spacing w:line="260"/>
            </w:pPr>
            <w:r>
              <w:rPr>
                <w:rFonts w:ascii="Arial" w:cs="Arial" w:eastAsia="Arial" w:hAnsi="Arial"/>
                <w:sz w:val="19"/>
                <w:szCs w:val="19"/>
              </w:rPr>
              <w:t xml:space="preserve">n/a</w:t>
            </w:r>
          </w:p>
        </w:tc>
      </w:tr>
      <w:tr>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R-22</w:t>
            </w:r>
          </w:p>
        </w:tc>
        <w:tc>
          <w:tcPr>
            <w:tcW w:type="dxa" w:w="15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Embedding model deprecation</w:t>
            </w:r>
          </w:p>
        </w:tc>
        <w:tc>
          <w:tcPr>
            <w:tcW w:type="dxa" w:w="11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ML/Ops</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Low</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Med</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296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Embedding model versioned, re-index plan documented</w:t>
            </w:r>
          </w:p>
        </w:tc>
        <w:tc>
          <w:tcPr>
            <w:tcW w:type="dxa" w:w="6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b/>
                <w:bCs/>
                <w:sz w:val="19"/>
                <w:szCs w:val="19"/>
              </w:rPr>
              <w:t xml:space="preserve">Low</w:t>
            </w:r>
          </w:p>
        </w:tc>
        <w:tc>
          <w:tcPr>
            <w:tcW w:type="dxa" w:w="800"/>
            <w:tcBorders>
              <w:top w:val="single" w:color="999999" w:sz="4"/>
              <w:left w:val="single" w:color="999999" w:sz="4"/>
              <w:bottom w:val="single" w:color="999999" w:sz="4"/>
              <w:right w:val="single" w:color="999999" w:sz="4"/>
            </w:tcBorders>
            <w:shd w:fill="F8FAFC" w:val="clear"/>
            <w:tcMar>
              <w:top w:type="dxa" w:w="90"/>
              <w:left w:type="dxa" w:w="140"/>
              <w:bottom w:type="dxa" w:w="90"/>
              <w:right w:type="dxa" w:w="140"/>
            </w:tcMar>
          </w:tcPr>
          <w:p>
            <w:pPr>
              <w:spacing w:line="260"/>
            </w:pPr>
            <w:r>
              <w:rPr>
                <w:rFonts w:ascii="Arial" w:cs="Arial" w:eastAsia="Arial" w:hAnsi="Arial"/>
                <w:sz w:val="19"/>
                <w:szCs w:val="19"/>
              </w:rPr>
              <w:t xml:space="preserve">n/a</w:t>
            </w:r>
          </w:p>
        </w:tc>
      </w:tr>
    </w:tbl>
    <w:p>
      <w:pPr>
        <w:spacing w:before="240"/>
      </w:pPr>
      <w:r>
        <w:rPr>
          <w:rFonts w:ascii="Arial" w:cs="Arial" w:eastAsia="Arial" w:hAnsi="Arial"/>
        </w:rPr>
        <w:t xml:space="preserve"/>
      </w:r>
    </w:p>
    <w:p>
      <w:pPr>
        <w:spacing w:after="120" w:line="300"/>
      </w:pPr>
      <w:r>
        <w:rPr>
          <w:rFonts w:ascii="Arial" w:cs="Arial" w:eastAsia="Arial" w:hAnsi="Arial"/>
        </w:rPr>
        <w:t xml:space="preserve">Risks rated CRITICAL (none in this matrix) require board-level acceptance. Risks rated HIGH require executive sign-off and a documented mitigation roadmap. Risks rated MEDIUM require owner assignment and quarterly review. Risks rated LOW are tracked in the risk register and reviewed annually. The matrix is reviewed every six months and on every architecture-affecting change.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Lamonte Smith · IK Applied Agentic AI · Week 8 ·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8"/>
        <w:szCs w:val="18"/>
      </w:rPr>
      <w:t xml:space="preserve">Enterprise Knowledge Research Agent —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293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2026-05-10T23:23:23.280Z</dcterms:created>
  <dcterms:modified xsi:type="dcterms:W3CDTF">2026-05-10T23:23:23.280Z</dcterms:modified>
</cp:coreProperties>
</file>

<file path=docProps/custom.xml><?xml version="1.0" encoding="utf-8"?>
<Properties xmlns="http://schemas.openxmlformats.org/officeDocument/2006/custom-properties" xmlns:vt="http://schemas.openxmlformats.org/officeDocument/2006/docPropsVTypes"/>
</file>