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2"/>
        </w:rPr>
        <w:t>Stream #4 stability brief</w:t>
      </w:r>
    </w:p>
    <w:p>
      <w:pPr>
        <w:spacing w:after="160" w:line="276" w:lineRule="auto"/>
      </w:pPr>
      <w:r>
        <w:t>Stream #4 focuses on making web AI exploration more reliable under repeated, high-variance browsing tasks. The main stability goal is to keep discovery broad while preserving clear checkpoints, so results remain explainable even when pages shift, links fail, or interactive surfaces behave differently across sessions.</w:t>
      </w:r>
    </w:p>
    <w:p>
      <w:pPr>
        <w:spacing w:after="160" w:line="276" w:lineRule="auto"/>
      </w:pPr>
      <w:r>
        <w:t>A stable exploration loop should combine structured search, direct page inspection, and evidence capture before drawing conclusions. For web AI systems, this means logging assumptions, separating fresh facts from model inference, and validating important findings against primary or recent sources whenever the topic may have changed.</w:t>
      </w:r>
    </w:p>
    <w:p>
      <w:pPr>
        <w:spacing w:after="160" w:line="276" w:lineRule="auto"/>
      </w:pPr>
      <w:r>
        <w:t>The practical outcome is a workflow that can test more of the web interface without becoming brittle. By pairing broad coverage with concise verification notes, Stream #4 can expose regressions, document successful interaction patterns, and turn exploratory findings into repeatable calls for future automation.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 #4 stability brief</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