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DATA PROCESSING AGREEMENT</w:t>
      </w:r>
    </w:p>
    <w:p>
      <w:pPr>
        <w:spacing w:after="600"/>
        <w:jc w:val="center"/>
      </w:pPr>
      <w:r>
        <w:rPr>
          <w:color w:val="595959"/>
          <w:sz w:val="26"/>
          <w:szCs w:val="26"/>
        </w:rPr>
        <w:t xml:space="preserve">Pursuant to Article 28 of the UK GDPR</w:t>
      </w:r>
    </w:p>
    <w:p>
      <w:pPr>
        <w:spacing w:after="200"/>
        <w:jc w:val="center"/>
      </w:pPr>
      <w:r>
        <w:rPr>
          <w:sz w:val="24"/>
          <w:szCs w:val="24"/>
        </w:rPr>
        <w:t xml:space="preserve">Dated: [              ] 20[  ]</w:t>
      </w:r>
    </w:p>
    <w:p>
      <w:pPr>
        <w:spacing w:after="100"/>
        <w:jc w:val="center"/>
      </w:pPr>
      <w:r>
        <w:rPr>
          <w:i/>
          <w:iCs/>
          <w:sz w:val="24"/>
          <w:szCs w:val="24"/>
        </w:rPr>
        <w:t xml:space="preserve">between</w:t>
      </w:r>
    </w:p>
    <w:p>
      <w:pPr>
        <w:spacing w:after="100"/>
        <w:jc w:val="center"/>
      </w:pPr>
      <w:r>
        <w:rPr>
          <w:b/>
          <w:bCs/>
          <w:sz w:val="24"/>
          <w:szCs w:val="24"/>
        </w:rPr>
        <w:t xml:space="preserve">LEADING TALENT [LIMITED] (the "Controller")</w:t>
      </w:r>
    </w:p>
    <w:p>
      <w:pPr>
        <w:spacing w:after="100"/>
        <w:jc w:val="center"/>
      </w:pPr>
      <w:r>
        <w:rPr>
          <w:i/>
          <w:iCs/>
          <w:sz w:val="24"/>
          <w:szCs w:val="24"/>
        </w:rPr>
        <w:t xml:space="preserve">and</w:t>
      </w:r>
    </w:p>
    <w:p>
      <w:pPr>
        <w:spacing w:after="600"/>
        <w:jc w:val="center"/>
      </w:pPr>
      <w:r>
        <w:rPr>
          <w:b/>
          <w:bCs/>
          <w:sz w:val="24"/>
          <w:szCs w:val="24"/>
        </w:rPr>
        <w:t xml:space="preserve">[PROCESSOR NAME] (the "Processor")</w:t>
      </w:r>
    </w:p>
    <w:p>
      <w:pPr>
        <w:spacing w:after="0" w:before="2400"/>
        <w:jc w:val="center"/>
      </w:pPr>
      <w:r>
        <w:rPr>
          <w:i/>
          <w:iCs/>
          <w:color w:val="808080"/>
          <w:sz w:val="20"/>
          <w:szCs w:val="20"/>
        </w:rPr>
        <w:t xml:space="preserve">TEMPLATE — for review by a qualified solicitor before use. Square brackets indicate details to complete.</w:t>
      </w:r>
    </w:p>
    <w:p>
      <w:r>
        <w:br w:type="page"/>
      </w:r>
    </w:p>
    <w:p>
      <w:pPr>
        <w:pStyle w:val="Heading1"/>
        <w:spacing w:after="160" w:before="320"/>
      </w:pPr>
      <w:r>
        <w:t xml:space="preserve">PARTIES</w:t>
      </w:r>
    </w:p>
    <w:p>
      <w:pPr>
        <w:tabs>
          <w:tab w:val="left" w:pos="792"/>
        </w:tabs>
        <w:spacing w:after="160"/>
        <w:ind w:left="792" w:hanging="792"/>
      </w:pPr>
      <w:r>
        <w:rPr>
          <w:b w:val="false"/>
          <w:bCs w:val="false"/>
        </w:rPr>
        <w:t xml:space="preserve">(1)	</w:t>
      </w:r>
      <w:r>
        <w:rPr>
          <w:b/>
          <w:bCs/>
        </w:rPr>
        <w:t xml:space="preserve">LEADING TALENT [LIMITED]</w:t>
      </w:r>
      <w:r>
        <w:t xml:space="preserve">, a company incorporated in England and Wales (company number [        ]) whose registered office is at [ADDRESS] (the </w:t>
      </w:r>
      <w:r>
        <w:rPr>
          <w:b/>
          <w:bCs/>
        </w:rPr>
        <w:t xml:space="preserve">"Controller"</w:t>
      </w:r>
      <w:r>
        <w:t xml:space="preserve">); and</w:t>
      </w:r>
    </w:p>
    <w:p>
      <w:pPr>
        <w:tabs>
          <w:tab w:val="left" w:pos="792"/>
        </w:tabs>
        <w:spacing w:after="160"/>
        <w:ind w:left="792" w:hanging="792"/>
      </w:pPr>
      <w:r>
        <w:rPr>
          <w:b w:val="false"/>
          <w:bCs w:val="false"/>
        </w:rPr>
        <w:t xml:space="preserve">(2)	</w:t>
      </w:r>
      <w:r>
        <w:rPr>
          <w:b/>
          <w:bCs/>
        </w:rPr>
        <w:t xml:space="preserve">[PROCESSOR NAME]</w:t>
      </w:r>
      <w:r>
        <w:t xml:space="preserve">, a company incorporated in [England and Wales] (company number [        ]) whose registered office is at [ADDRESS] (the </w:t>
      </w:r>
      <w:r>
        <w:rPr>
          <w:b/>
          <w:bCs/>
        </w:rPr>
        <w:t xml:space="preserve">"Processor"</w:t>
      </w:r>
      <w:r>
        <w:t xml:space="preserve">),</w:t>
      </w:r>
    </w:p>
    <w:p>
      <w:pPr>
        <w:spacing w:after="160"/>
      </w:pPr>
      <w:r>
        <w:t xml:space="preserve">each a </w:t>
      </w:r>
      <w:r>
        <w:rPr>
          <w:b/>
          <w:bCs/>
        </w:rPr>
        <w:t xml:space="preserve">"party"</w:t>
      </w:r>
      <w:r>
        <w:t xml:space="preserve"> and together the </w:t>
      </w:r>
      <w:r>
        <w:rPr>
          <w:b/>
          <w:bCs/>
        </w:rPr>
        <w:t xml:space="preserve">"parties"</w:t>
      </w:r>
      <w:r>
        <w:t xml:space="preserve">.</w:t>
      </w:r>
    </w:p>
    <w:p>
      <w:pPr>
        <w:pStyle w:val="Heading1"/>
        <w:spacing w:after="160" w:before="320"/>
      </w:pPr>
      <w:r>
        <w:t xml:space="preserve">BACKGROUND</w:t>
      </w:r>
    </w:p>
    <w:p>
      <w:pPr>
        <w:tabs>
          <w:tab w:val="left" w:pos="792"/>
        </w:tabs>
        <w:spacing w:after="160"/>
        <w:ind w:left="792" w:hanging="792"/>
      </w:pPr>
      <w:r>
        <w:rPr>
          <w:b w:val="false"/>
          <w:bCs w:val="false"/>
        </w:rPr>
        <w:t xml:space="preserve">(A)	</w:t>
      </w:r>
      <w:r>
        <w:t xml:space="preserve">The Controller and the Processor have entered into an agreement dated [DATE] for the provision of [DESCRIPTION OF SERVICES] (the "Principal Agreement").</w:t>
      </w:r>
    </w:p>
    <w:p>
      <w:pPr>
        <w:tabs>
          <w:tab w:val="left" w:pos="792"/>
        </w:tabs>
        <w:spacing w:after="160"/>
        <w:ind w:left="792" w:hanging="792"/>
      </w:pPr>
      <w:r>
        <w:rPr>
          <w:b w:val="false"/>
          <w:bCs w:val="false"/>
        </w:rPr>
        <w:t xml:space="preserve">(B)	</w:t>
      </w:r>
      <w:r>
        <w:t xml:space="preserve">In performing the Principal Agreement, the Processor will process personal data on behalf of the Controller.</w:t>
      </w:r>
    </w:p>
    <w:p>
      <w:pPr>
        <w:tabs>
          <w:tab w:val="left" w:pos="792"/>
        </w:tabs>
        <w:spacing w:after="160"/>
        <w:ind w:left="792" w:hanging="792"/>
      </w:pPr>
      <w:r>
        <w:rPr>
          <w:b w:val="false"/>
          <w:bCs w:val="false"/>
        </w:rPr>
        <w:t xml:space="preserve">(C)	</w:t>
      </w:r>
      <w:r>
        <w:t xml:space="preserve">This Agreement sets out the terms on which that processing takes place, as required by Article 28(3) of the UK GDPR.</w:t>
      </w:r>
    </w:p>
    <w:p>
      <w:pPr>
        <w:pStyle w:val="Heading1"/>
        <w:spacing w:after="160" w:before="320"/>
      </w:pPr>
      <w:r>
        <w:t xml:space="preserve">1. DEFINITIONS AND INTERPRETATION</w:t>
      </w:r>
    </w:p>
    <w:p>
      <w:pPr>
        <w:tabs>
          <w:tab w:val="left" w:pos="792"/>
        </w:tabs>
        <w:spacing w:after="160"/>
        <w:ind w:left="792" w:hanging="792"/>
      </w:pPr>
      <w:r>
        <w:rPr>
          <w:b w:val="false"/>
          <w:bCs w:val="false"/>
        </w:rPr>
        <w:t xml:space="preserve">1.1	</w:t>
      </w:r>
      <w:r>
        <w:t xml:space="preserve">In this Agreement, the following definitions apply:</w:t>
      </w:r>
    </w:p>
    <w:p>
      <w:pPr>
        <w:spacing w:after="120"/>
        <w:ind w:left="792"/>
      </w:pPr>
      <w:r>
        <w:rPr>
          <w:b/>
          <w:bCs/>
        </w:rPr>
        <w:t xml:space="preserve">"Data Protection Legislation"</w:t>
      </w:r>
      <w:r>
        <w:t xml:space="preserve"> means all applicable data protection and privacy legislation in force from time to time in the UK, including the UK GDPR; the Data Protection Act 2018 (and regulations made under it) as amended, including by the Data (Use and Access) Act 2025; and the Privacy and Electronic Communications Regulations 2003 (SI 2003/2426), in each case as amended, replaced or superseded from time to time;</w:t>
      </w:r>
    </w:p>
    <w:p>
      <w:pPr>
        <w:spacing w:after="120"/>
        <w:ind w:left="792"/>
      </w:pPr>
      <w:r>
        <w:rPr>
          <w:b/>
          <w:bCs/>
        </w:rPr>
        <w:t xml:space="preserve">"UK GDPR"</w:t>
      </w:r>
      <w:r>
        <w:t xml:space="preserve"> has the meaning given to it in section 3(10) (as supplemented by section 205(4)) of the Data Protection Act 2018;</w:t>
      </w:r>
    </w:p>
    <w:p>
      <w:pPr>
        <w:spacing w:after="120"/>
        <w:ind w:left="792"/>
      </w:pPr>
      <w:r>
        <w:rPr>
          <w:b/>
          <w:bCs/>
        </w:rPr>
        <w:t xml:space="preserve">"Controller Personal Data"</w:t>
      </w:r>
      <w:r>
        <w:t xml:space="preserve"> means any personal data processed by the Processor on behalf of the Controller in connection with the Principal Agreement, as described in Schedule 1;</w:t>
      </w:r>
    </w:p>
    <w:p>
      <w:pPr>
        <w:spacing w:after="120"/>
        <w:ind w:left="792"/>
      </w:pPr>
      <w:r>
        <w:rPr>
          <w:b/>
          <w:bCs/>
        </w:rPr>
        <w:t xml:space="preserve">"Personal Data Breach"</w:t>
      </w:r>
      <w:r>
        <w:t xml:space="preserve"> means a breach of security leading to the accidental or unlawful destruction, loss, alteration, unauthorised disclosure of, or access to, Controller Personal Data;</w:t>
      </w:r>
    </w:p>
    <w:p>
      <w:pPr>
        <w:spacing w:after="120"/>
        <w:ind w:left="792"/>
      </w:pPr>
      <w:r>
        <w:rPr>
          <w:b/>
          <w:bCs/>
        </w:rPr>
        <w:t xml:space="preserve">"Sub-processor"</w:t>
      </w:r>
      <w:r>
        <w:t xml:space="preserve"> means any third party appointed by or on behalf of the Processor to process Controller Personal Data;</w:t>
      </w:r>
    </w:p>
    <w:p>
      <w:pPr>
        <w:spacing w:after="120"/>
        <w:ind w:left="792"/>
      </w:pPr>
      <w:r>
        <w:rPr>
          <w:b/>
          <w:bCs/>
        </w:rPr>
        <w:t xml:space="preserve">"ICO"</w:t>
      </w:r>
      <w:r>
        <w:t xml:space="preserve"> means the Information Commissioner’s Office, the UK supervisory authority for data protection;</w:t>
      </w:r>
    </w:p>
    <w:p>
      <w:pPr>
        <w:spacing w:after="120"/>
        <w:ind w:left="792"/>
      </w:pPr>
      <w:r>
        <w:rPr>
          <w:b/>
          <w:bCs/>
        </w:rPr>
        <w:t xml:space="preserve">"Restricted Transfer"</w:t>
      </w:r>
      <w:r>
        <w:t xml:space="preserve"> means a transfer of Controller Personal Data to a country or territory outside the United Kingdom which is not subject to adequacy regulations under Data Protection Legislation.</w:t>
      </w:r>
    </w:p>
    <w:p>
      <w:pPr>
        <w:tabs>
          <w:tab w:val="left" w:pos="792"/>
        </w:tabs>
        <w:spacing w:after="160"/>
        <w:ind w:left="792" w:hanging="792"/>
      </w:pPr>
      <w:r>
        <w:rPr>
          <w:b w:val="false"/>
          <w:bCs w:val="false"/>
        </w:rPr>
        <w:t xml:space="preserve">1.2	</w:t>
      </w:r>
      <w:r>
        <w:t xml:space="preserve">The terms "controller", "processor", "data subject", "personal data", "processing" (and "process") and "special categories of personal data" have the meanings given to them in the Data Protection Legislation.</w:t>
      </w:r>
    </w:p>
    <w:p>
      <w:pPr>
        <w:tabs>
          <w:tab w:val="left" w:pos="792"/>
        </w:tabs>
        <w:spacing w:after="160"/>
        <w:ind w:left="792" w:hanging="792"/>
      </w:pPr>
      <w:r>
        <w:rPr>
          <w:b w:val="false"/>
          <w:bCs w:val="false"/>
        </w:rPr>
        <w:t xml:space="preserve">1.3	</w:t>
      </w:r>
      <w:r>
        <w:t xml:space="preserve">In the event of any conflict between this Agreement and the Principal Agreement in relation to the processing of Controller Personal Data, this Agreement shall prevail.</w:t>
      </w:r>
    </w:p>
    <w:p>
      <w:pPr>
        <w:pStyle w:val="Heading1"/>
        <w:spacing w:after="160" w:before="320"/>
      </w:pPr>
      <w:r>
        <w:t xml:space="preserve">2. PROCESSING OF CONTROLLER PERSONAL DATA</w:t>
      </w:r>
    </w:p>
    <w:p>
      <w:pPr>
        <w:tabs>
          <w:tab w:val="left" w:pos="792"/>
        </w:tabs>
        <w:spacing w:after="160"/>
        <w:ind w:left="792" w:hanging="792"/>
      </w:pPr>
      <w:r>
        <w:rPr>
          <w:b w:val="false"/>
          <w:bCs w:val="false"/>
        </w:rPr>
        <w:t xml:space="preserve">2.1	</w:t>
      </w:r>
      <w:r>
        <w:t xml:space="preserve">The parties acknowledge that, for the purposes of the Data Protection Legislation, the Controller is the controller and the Processor is the processor of the Controller Personal Data.</w:t>
      </w:r>
    </w:p>
    <w:p>
      <w:pPr>
        <w:tabs>
          <w:tab w:val="left" w:pos="792"/>
        </w:tabs>
        <w:spacing w:after="160"/>
        <w:ind w:left="792" w:hanging="792"/>
      </w:pPr>
      <w:r>
        <w:rPr>
          <w:b w:val="false"/>
          <w:bCs w:val="false"/>
        </w:rPr>
        <w:t xml:space="preserve">2.2	</w:t>
      </w:r>
      <w:r>
        <w:t xml:space="preserve">The subject matter, duration, nature and purpose of the processing, the types of personal data and the categories of data subjects are set out in Schedule 1.</w:t>
      </w:r>
    </w:p>
    <w:p>
      <w:pPr>
        <w:tabs>
          <w:tab w:val="left" w:pos="792"/>
        </w:tabs>
        <w:spacing w:after="160"/>
        <w:ind w:left="792" w:hanging="792"/>
      </w:pPr>
      <w:r>
        <w:rPr>
          <w:b w:val="false"/>
          <w:bCs w:val="false"/>
        </w:rPr>
        <w:t xml:space="preserve">2.3	</w:t>
      </w:r>
      <w:r>
        <w:t xml:space="preserve">The Processor shall process Controller Personal Data only on, and in accordance with, the documented instructions of the Controller (which include this Agreement and the Principal Agreement), including with regard to transfers of Controller Personal Data outside the UK, unless required to do otherwise by domestic law to which the Processor is subject. In that case, the Processor shall inform the Controller of that legal requirement before processing, unless that law prohibits it from doing so on important grounds of public interest.</w:t>
      </w:r>
    </w:p>
    <w:p>
      <w:pPr>
        <w:tabs>
          <w:tab w:val="left" w:pos="792"/>
        </w:tabs>
        <w:spacing w:after="160"/>
        <w:ind w:left="792" w:hanging="792"/>
      </w:pPr>
      <w:r>
        <w:rPr>
          <w:b w:val="false"/>
          <w:bCs w:val="false"/>
        </w:rPr>
        <w:t xml:space="preserve">2.4	</w:t>
      </w:r>
      <w:r>
        <w:t xml:space="preserve">The Processor shall immediately inform the Controller if, in its opinion, an instruction from the Controller infringes the Data Protection Legislation.</w:t>
      </w:r>
    </w:p>
    <w:p>
      <w:pPr>
        <w:tabs>
          <w:tab w:val="left" w:pos="792"/>
        </w:tabs>
        <w:spacing w:after="160"/>
        <w:ind w:left="792" w:hanging="792"/>
      </w:pPr>
      <w:r>
        <w:rPr>
          <w:b w:val="false"/>
          <w:bCs w:val="false"/>
        </w:rPr>
        <w:t xml:space="preserve">2.5	</w:t>
      </w:r>
      <w:r>
        <w:t xml:space="preserve">The Processor shall not process the Controller Personal Data for its own purposes or those of any third party.</w:t>
      </w:r>
    </w:p>
    <w:p>
      <w:pPr>
        <w:pStyle w:val="Heading1"/>
        <w:spacing w:after="160" w:before="320"/>
      </w:pPr>
      <w:r>
        <w:t xml:space="preserve">3. PROCESSOR PERSONNEL</w:t>
      </w:r>
    </w:p>
    <w:p>
      <w:pPr>
        <w:tabs>
          <w:tab w:val="left" w:pos="792"/>
        </w:tabs>
        <w:spacing w:after="160"/>
        <w:ind w:left="792" w:hanging="792"/>
      </w:pPr>
      <w:r>
        <w:rPr>
          <w:b w:val="false"/>
          <w:bCs w:val="false"/>
        </w:rPr>
        <w:t xml:space="preserve">3.1	</w:t>
      </w:r>
      <w:r>
        <w:t xml:space="preserve">The Processor shall ensure that access to Controller Personal Data is limited to those personnel who need access for the purposes of the Principal Agreement.</w:t>
      </w:r>
    </w:p>
    <w:p>
      <w:pPr>
        <w:tabs>
          <w:tab w:val="left" w:pos="792"/>
        </w:tabs>
        <w:spacing w:after="160"/>
        <w:ind w:left="792" w:hanging="792"/>
      </w:pPr>
      <w:r>
        <w:rPr>
          <w:b w:val="false"/>
          <w:bCs w:val="false"/>
        </w:rPr>
        <w:t xml:space="preserve">3.2	</w:t>
      </w:r>
      <w:r>
        <w:t xml:space="preserve">The Processor shall ensure that all personnel authorised to process Controller Personal Data are subject to binding obligations of confidentiality (whether contractual or statutory) and have received appropriate training in the care and handling of personal data.</w:t>
      </w:r>
    </w:p>
    <w:p>
      <w:pPr>
        <w:pStyle w:val="Heading1"/>
        <w:spacing w:after="160" w:before="320"/>
      </w:pPr>
      <w:r>
        <w:t xml:space="preserve">4. SECURITY</w:t>
      </w:r>
    </w:p>
    <w:p>
      <w:pPr>
        <w:tabs>
          <w:tab w:val="left" w:pos="792"/>
        </w:tabs>
        <w:spacing w:after="160"/>
        <w:ind w:left="792" w:hanging="792"/>
      </w:pPr>
      <w:r>
        <w:rPr>
          <w:b w:val="false"/>
          <w:bCs w:val="false"/>
        </w:rPr>
        <w:t xml:space="preserve">4.1	</w:t>
      </w:r>
      <w:r>
        <w:t xml:space="preserve">Taking into account the state of the art, the costs of implementation and the nature, scope, context and purposes of processing, as well as the risk of varying likelihood and severity for the rights and freedoms of natural persons, the Processor shall implement and maintain appropriate technical and organisational measures to ensure a level of security appropriate to that risk, in accordance with Article 32 of the UK GDPR, including as a minimum the measures set out in Schedule 2.</w:t>
      </w:r>
    </w:p>
    <w:p>
      <w:pPr>
        <w:tabs>
          <w:tab w:val="left" w:pos="792"/>
        </w:tabs>
        <w:spacing w:after="160"/>
        <w:ind w:left="792" w:hanging="792"/>
      </w:pPr>
      <w:r>
        <w:rPr>
          <w:b w:val="false"/>
          <w:bCs w:val="false"/>
        </w:rPr>
        <w:t xml:space="preserve">4.2	</w:t>
      </w:r>
      <w:r>
        <w:t xml:space="preserve">The Processor shall not materially decrease the overall level of protection afforded by those measures during the term of this Agreement.</w:t>
      </w:r>
    </w:p>
    <w:p>
      <w:pPr>
        <w:pStyle w:val="Heading1"/>
        <w:spacing w:after="160" w:before="320"/>
      </w:pPr>
      <w:r>
        <w:t xml:space="preserve">5. SUB-PROCESSING</w:t>
      </w:r>
    </w:p>
    <w:p>
      <w:pPr>
        <w:tabs>
          <w:tab w:val="left" w:pos="792"/>
        </w:tabs>
        <w:spacing w:after="160"/>
        <w:ind w:left="792" w:hanging="792"/>
      </w:pPr>
      <w:r>
        <w:rPr>
          <w:b w:val="false"/>
          <w:bCs w:val="false"/>
        </w:rPr>
        <w:t xml:space="preserve">5.1	</w:t>
      </w:r>
      <w:r>
        <w:t xml:space="preserve">The Processor shall not engage any Sub-processor without the prior [specific written authorisation of the Controller] </w:t>
      </w:r>
      <w:r>
        <w:rPr>
          <w:b/>
          <w:bCs/>
        </w:rPr>
        <w:t xml:space="preserve">OR</w:t>
      </w:r>
      <w:r>
        <w:t xml:space="preserve"> [general written authorisation of the Controller, in which case the Processor shall inform the Controller in writing of any intended addition or replacement of a Sub-processor at least 30 days in advance, giving the Controller the opportunity to object].</w:t>
      </w:r>
    </w:p>
    <w:p>
      <w:pPr>
        <w:tabs>
          <w:tab w:val="left" w:pos="792"/>
        </w:tabs>
        <w:spacing w:after="160"/>
        <w:ind w:left="792" w:hanging="792"/>
      </w:pPr>
      <w:r>
        <w:rPr>
          <w:b w:val="false"/>
          <w:bCs w:val="false"/>
        </w:rPr>
        <w:t xml:space="preserve">5.2	</w:t>
      </w:r>
      <w:r>
        <w:t xml:space="preserve">The Sub-processors listed in Schedule 3 are approved as at the date of this Agreement.</w:t>
      </w:r>
    </w:p>
    <w:p>
      <w:pPr>
        <w:tabs>
          <w:tab w:val="left" w:pos="792"/>
        </w:tabs>
        <w:spacing w:after="160"/>
        <w:ind w:left="792" w:hanging="792"/>
      </w:pPr>
      <w:r>
        <w:rPr>
          <w:b w:val="false"/>
          <w:bCs w:val="false"/>
        </w:rPr>
        <w:t xml:space="preserve">5.3	</w:t>
      </w:r>
      <w:r>
        <w:t xml:space="preserve">Where the Processor engages a Sub-processor, it shall do so under a written contract imposing on the Sub-processor data protection obligations equivalent to those set out in this Agreement, in particular providing sufficient guarantees to implement appropriate technical and organisational measures.</w:t>
      </w:r>
    </w:p>
    <w:p>
      <w:pPr>
        <w:tabs>
          <w:tab w:val="left" w:pos="792"/>
        </w:tabs>
        <w:spacing w:after="160"/>
        <w:ind w:left="792" w:hanging="792"/>
      </w:pPr>
      <w:r>
        <w:rPr>
          <w:b w:val="false"/>
          <w:bCs w:val="false"/>
        </w:rPr>
        <w:t xml:space="preserve">5.4	</w:t>
      </w:r>
      <w:r>
        <w:t xml:space="preserve">The Processor shall remain fully liable to the Controller for the performance of each Sub-processor’s obligations.</w:t>
      </w:r>
    </w:p>
    <w:p>
      <w:pPr>
        <w:pStyle w:val="Heading1"/>
        <w:spacing w:after="160" w:before="320"/>
      </w:pPr>
      <w:r>
        <w:t xml:space="preserve">6. DATA SUBJECT RIGHTS</w:t>
      </w:r>
    </w:p>
    <w:p>
      <w:pPr>
        <w:tabs>
          <w:tab w:val="left" w:pos="792"/>
        </w:tabs>
        <w:spacing w:after="160"/>
        <w:ind w:left="792" w:hanging="792"/>
      </w:pPr>
      <w:r>
        <w:rPr>
          <w:b w:val="false"/>
          <w:bCs w:val="false"/>
        </w:rPr>
        <w:t xml:space="preserve">6.1	</w:t>
      </w:r>
      <w:r>
        <w:t xml:space="preserve">Taking into account the nature of the processing, the Processor shall assist the Controller by appropriate technical and organisational measures, insofar as this is possible, in fulfilling the Controller’s obligation to respond to requests from data subjects exercising their rights under the Data Protection Legislation (including rights of access, rectification, erasure, restriction, portability and objection).</w:t>
      </w:r>
    </w:p>
    <w:p>
      <w:pPr>
        <w:tabs>
          <w:tab w:val="left" w:pos="792"/>
        </w:tabs>
        <w:spacing w:after="160"/>
        <w:ind w:left="792" w:hanging="792"/>
      </w:pPr>
      <w:r>
        <w:rPr>
          <w:b w:val="false"/>
          <w:bCs w:val="false"/>
        </w:rPr>
        <w:t xml:space="preserve">6.2	</w:t>
      </w:r>
      <w:r>
        <w:t xml:space="preserve">The Processor shall notify the Controller without undue delay (and in any event within [three] business days) if it receives a request from a data subject relating to Controller Personal Data, and shall not respond to that request except on the documented instructions of the Controller or as required by law (in which case it shall, to the extent permitted, inform the Controller before responding).</w:t>
      </w:r>
    </w:p>
    <w:p>
      <w:pPr>
        <w:pStyle w:val="Heading1"/>
        <w:spacing w:after="160" w:before="320"/>
      </w:pPr>
      <w:r>
        <w:t xml:space="preserve">7. PERSONAL DATA BREACHES AND ASSISTANCE</w:t>
      </w:r>
    </w:p>
    <w:p>
      <w:pPr>
        <w:tabs>
          <w:tab w:val="left" w:pos="792"/>
        </w:tabs>
        <w:spacing w:after="160"/>
        <w:ind w:left="792" w:hanging="792"/>
      </w:pPr>
      <w:r>
        <w:rPr>
          <w:b w:val="false"/>
          <w:bCs w:val="false"/>
        </w:rPr>
        <w:t xml:space="preserve">7.1	</w:t>
      </w:r>
      <w:r>
        <w:t xml:space="preserve">The Processor shall notify the Controller without undue delay, and in any event within [24/48] hours, after becoming aware of a Personal Data Breach, providing sufficient information to allow the Controller to meet its obligations to report the breach to the ICO and, where applicable, communicate it to affected data subjects.</w:t>
      </w:r>
    </w:p>
    <w:p>
      <w:pPr>
        <w:tabs>
          <w:tab w:val="left" w:pos="792"/>
        </w:tabs>
        <w:spacing w:after="160"/>
        <w:ind w:left="792" w:hanging="792"/>
      </w:pPr>
      <w:r>
        <w:rPr>
          <w:b w:val="false"/>
          <w:bCs w:val="false"/>
        </w:rPr>
        <w:t xml:space="preserve">7.2	</w:t>
      </w:r>
      <w:r>
        <w:t xml:space="preserve">The Processor shall cooperate with the Controller and take such reasonable steps as the Controller directs to assist in the investigation, mitigation and remediation of any Personal Data Breach, and shall not inform any third party of a Personal Data Breach without the Controller’s prior written consent, unless required by law.</w:t>
      </w:r>
    </w:p>
    <w:p>
      <w:pPr>
        <w:tabs>
          <w:tab w:val="left" w:pos="792"/>
        </w:tabs>
        <w:spacing w:after="160"/>
        <w:ind w:left="792" w:hanging="792"/>
      </w:pPr>
      <w:r>
        <w:rPr>
          <w:b w:val="false"/>
          <w:bCs w:val="false"/>
        </w:rPr>
        <w:t xml:space="preserve">7.3	</w:t>
      </w:r>
      <w:r>
        <w:t xml:space="preserve">Taking into account the nature of the processing and the information available to it, the Processor shall provide reasonable assistance to the Controller in ensuring compliance with the Controller’s obligations under Articles 32 to 36 of the UK GDPR (security, breach notification, data protection impact assessments and prior consultation with the ICO).</w:t>
      </w:r>
    </w:p>
    <w:p>
      <w:pPr>
        <w:pStyle w:val="Heading1"/>
        <w:spacing w:after="160" w:before="320"/>
      </w:pPr>
      <w:r>
        <w:t xml:space="preserve">8. DELETION OR RETURN OF PERSONAL DATA</w:t>
      </w:r>
    </w:p>
    <w:p>
      <w:pPr>
        <w:tabs>
          <w:tab w:val="left" w:pos="792"/>
        </w:tabs>
        <w:spacing w:after="160"/>
        <w:ind w:left="792" w:hanging="792"/>
      </w:pPr>
      <w:r>
        <w:rPr>
          <w:b w:val="false"/>
          <w:bCs w:val="false"/>
        </w:rPr>
        <w:t xml:space="preserve">8.1	</w:t>
      </w:r>
      <w:r>
        <w:t xml:space="preserve">On termination or expiry of the Principal Agreement, or earlier at the Controller’s written request, the Processor shall, at the Controller’s option, delete or return to the Controller all Controller Personal Data (including copies), and shall certify in writing that it has done so within [30] days.</w:t>
      </w:r>
    </w:p>
    <w:p>
      <w:pPr>
        <w:tabs>
          <w:tab w:val="left" w:pos="792"/>
        </w:tabs>
        <w:spacing w:after="160"/>
        <w:ind w:left="792" w:hanging="792"/>
      </w:pPr>
      <w:r>
        <w:rPr>
          <w:b w:val="false"/>
          <w:bCs w:val="false"/>
        </w:rPr>
        <w:t xml:space="preserve">8.2	</w:t>
      </w:r>
      <w:r>
        <w:t xml:space="preserve">Clause 8.1 does not apply to the extent domestic law requires the Processor to retain Controller Personal Data, in which case the Processor shall notify the Controller of that requirement, retain only what that law requires, isolate it from further processing and continue to protect it in accordance with this Agreement.</w:t>
      </w:r>
    </w:p>
    <w:p>
      <w:pPr>
        <w:pStyle w:val="Heading1"/>
        <w:spacing w:after="160" w:before="320"/>
      </w:pPr>
      <w:r>
        <w:t xml:space="preserve">9. AUDIT AND INFORMATION</w:t>
      </w:r>
    </w:p>
    <w:p>
      <w:pPr>
        <w:tabs>
          <w:tab w:val="left" w:pos="792"/>
        </w:tabs>
        <w:spacing w:after="160"/>
        <w:ind w:left="792" w:hanging="792"/>
      </w:pPr>
      <w:r>
        <w:rPr>
          <w:b w:val="false"/>
          <w:bCs w:val="false"/>
        </w:rPr>
        <w:t xml:space="preserve">9.1	</w:t>
      </w:r>
      <w:r>
        <w:t xml:space="preserve">The Processor shall make available to the Controller on request all information necessary to demonstrate compliance with the obligations in this Agreement and Article 28 of the UK GDPR.</w:t>
      </w:r>
    </w:p>
    <w:p>
      <w:pPr>
        <w:tabs>
          <w:tab w:val="left" w:pos="792"/>
        </w:tabs>
        <w:spacing w:after="160"/>
        <w:ind w:left="792" w:hanging="792"/>
      </w:pPr>
      <w:r>
        <w:rPr>
          <w:b w:val="false"/>
          <w:bCs w:val="false"/>
        </w:rPr>
        <w:t xml:space="preserve">9.2	</w:t>
      </w:r>
      <w:r>
        <w:t xml:space="preserve">The Processor shall allow for and contribute to audits, including inspections, conducted by the Controller or an auditor mandated by the Controller, on reasonable prior written notice of at least [14] days, no more than [once] in any 12-month period (except following a Personal Data Breach or where required by the ICO), during normal business hours and subject to reasonable confidentiality undertakings.</w:t>
      </w:r>
    </w:p>
    <w:p>
      <w:pPr>
        <w:pStyle w:val="Heading1"/>
        <w:spacing w:after="160" w:before="320"/>
      </w:pPr>
      <w:r>
        <w:t xml:space="preserve">10. INTERNATIONAL TRANSFERS</w:t>
      </w:r>
    </w:p>
    <w:p>
      <w:pPr>
        <w:tabs>
          <w:tab w:val="left" w:pos="792"/>
        </w:tabs>
        <w:spacing w:after="160"/>
        <w:ind w:left="792" w:hanging="792"/>
      </w:pPr>
      <w:r>
        <w:rPr>
          <w:b w:val="false"/>
          <w:bCs w:val="false"/>
        </w:rPr>
        <w:t xml:space="preserve">10.1	</w:t>
      </w:r>
      <w:r>
        <w:t xml:space="preserve">The Processor shall not make (nor permit any Sub-processor to make) a Restricted Transfer without the prior written consent of the Controller.</w:t>
      </w:r>
    </w:p>
    <w:p>
      <w:pPr>
        <w:tabs>
          <w:tab w:val="left" w:pos="792"/>
        </w:tabs>
        <w:spacing w:after="160"/>
        <w:ind w:left="792" w:hanging="792"/>
      </w:pPr>
      <w:r>
        <w:rPr>
          <w:b w:val="false"/>
          <w:bCs w:val="false"/>
        </w:rPr>
        <w:t xml:space="preserve">10.2	</w:t>
      </w:r>
      <w:r>
        <w:t xml:space="preserve">Where the Controller consents to a Restricted Transfer, the Processor shall ensure that the transfer complies with Chapter V of the UK GDPR, including (as applicable) by relying on adequacy regulations made under the Data Protection Legislation or by entering into the ICO’s International Data Transfer Agreement, the ICO Addendum to the EU Standard Contractual Clauses, or such other transfer mechanism as is valid under the Data Protection Legislation at the time of the transfer, together with any supplementary measures reasonably required.</w:t>
      </w:r>
    </w:p>
    <w:p>
      <w:pPr>
        <w:tabs>
          <w:tab w:val="left" w:pos="792"/>
        </w:tabs>
        <w:spacing w:after="160"/>
        <w:ind w:left="792" w:hanging="792"/>
      </w:pPr>
      <w:r>
        <w:rPr>
          <w:b w:val="false"/>
          <w:bCs w:val="false"/>
        </w:rPr>
        <w:t xml:space="preserve">10.3	</w:t>
      </w:r>
      <w:r>
        <w:t xml:space="preserve">The Processor shall provide the Controller, on request, with details of the countries to which Controller Personal Data is transferred and the safeguards in place.</w:t>
      </w:r>
    </w:p>
    <w:p>
      <w:pPr>
        <w:pStyle w:val="Heading1"/>
        <w:spacing w:after="160" w:before="320"/>
      </w:pPr>
      <w:r>
        <w:t xml:space="preserve">11. LIABILITY AND INDEMNITY</w:t>
      </w:r>
    </w:p>
    <w:p>
      <w:pPr>
        <w:tabs>
          <w:tab w:val="left" w:pos="792"/>
        </w:tabs>
        <w:spacing w:after="160"/>
        <w:ind w:left="792" w:hanging="792"/>
      </w:pPr>
      <w:r>
        <w:rPr>
          <w:b w:val="false"/>
          <w:bCs w:val="false"/>
        </w:rPr>
        <w:t xml:space="preserve">11.1	</w:t>
      </w:r>
      <w:r>
        <w:t xml:space="preserve">[The Processor shall indemnify the Controller against all losses, claims, fines, costs and expenses (including reasonable legal fees) arising out of or in connection with any breach by the Processor (or its Sub-processors) of this Agreement or the Data Protection Legislation.]</w:t>
      </w:r>
    </w:p>
    <w:p>
      <w:pPr>
        <w:tabs>
          <w:tab w:val="left" w:pos="792"/>
        </w:tabs>
        <w:spacing w:after="160"/>
        <w:ind w:left="792" w:hanging="792"/>
      </w:pPr>
      <w:r>
        <w:rPr>
          <w:b w:val="false"/>
          <w:bCs w:val="false"/>
        </w:rPr>
        <w:t xml:space="preserve">11.2	</w:t>
      </w:r>
      <w:r>
        <w:t xml:space="preserve">[Any limitation or exclusion of liability in the Principal Agreement shall / shall not apply to liability arising under this Agreement.] [Drafting note: align this clause with the liability provisions of the Principal Agreement.]</w:t>
      </w:r>
    </w:p>
    <w:p>
      <w:pPr>
        <w:pStyle w:val="Heading1"/>
        <w:spacing w:after="160" w:before="320"/>
      </w:pPr>
      <w:r>
        <w:t xml:space="preserve">12. TERM</w:t>
      </w:r>
    </w:p>
    <w:p>
      <w:pPr>
        <w:tabs>
          <w:tab w:val="left" w:pos="792"/>
        </w:tabs>
        <w:spacing w:after="160"/>
        <w:ind w:left="792" w:hanging="792"/>
      </w:pPr>
      <w:r>
        <w:rPr>
          <w:b w:val="false"/>
          <w:bCs w:val="false"/>
        </w:rPr>
        <w:t xml:space="preserve">12.1	</w:t>
      </w:r>
      <w:r>
        <w:t xml:space="preserve">This Agreement takes effect on the date it is signed by both parties and remains in force for as long as the Processor processes Controller Personal Data, notwithstanding termination or expiry of the Principal Agreement.</w:t>
      </w:r>
    </w:p>
    <w:p>
      <w:pPr>
        <w:pStyle w:val="Heading1"/>
        <w:spacing w:after="160" w:before="320"/>
      </w:pPr>
      <w:r>
        <w:t xml:space="preserve">13. GENERAL</w:t>
      </w:r>
    </w:p>
    <w:p>
      <w:pPr>
        <w:tabs>
          <w:tab w:val="left" w:pos="792"/>
        </w:tabs>
        <w:spacing w:after="160"/>
        <w:ind w:left="792" w:hanging="792"/>
      </w:pPr>
      <w:r>
        <w:rPr>
          <w:b w:val="false"/>
          <w:bCs w:val="false"/>
        </w:rPr>
        <w:t xml:space="preserve">13.1	</w:t>
      </w:r>
      <w:r>
        <w:t xml:space="preserve">Variation. No variation of this Agreement is effective unless in writing and signed by both parties.</w:t>
      </w:r>
    </w:p>
    <w:p>
      <w:pPr>
        <w:tabs>
          <w:tab w:val="left" w:pos="792"/>
        </w:tabs>
        <w:spacing w:after="160"/>
        <w:ind w:left="792" w:hanging="792"/>
      </w:pPr>
      <w:r>
        <w:rPr>
          <w:b w:val="false"/>
          <w:bCs w:val="false"/>
        </w:rPr>
        <w:t xml:space="preserve">13.2	</w:t>
      </w:r>
      <w:r>
        <w:t xml:space="preserve">Severance. If any provision of this Agreement is or becomes invalid or unenforceable, it shall be deemed modified to the minimum extent necessary to make it valid and enforceable; the remaining provisions are unaffected.</w:t>
      </w:r>
    </w:p>
    <w:p>
      <w:pPr>
        <w:tabs>
          <w:tab w:val="left" w:pos="792"/>
        </w:tabs>
        <w:spacing w:after="160"/>
        <w:ind w:left="792" w:hanging="792"/>
      </w:pPr>
      <w:r>
        <w:rPr>
          <w:b w:val="false"/>
          <w:bCs w:val="false"/>
        </w:rPr>
        <w:t xml:space="preserve">13.3	</w:t>
      </w:r>
      <w:r>
        <w:t xml:space="preserve">Notices. Any notice under this Agreement shall be in writing and delivered by hand, pre-paid first-class post or email to the addresses set out above (or as notified from time to time) and, in the case of notices under clauses 6 and 7, also to [privacy@leadingtalent.co.uk].</w:t>
      </w:r>
    </w:p>
    <w:p>
      <w:pPr>
        <w:tabs>
          <w:tab w:val="left" w:pos="792"/>
        </w:tabs>
        <w:spacing w:after="160"/>
        <w:ind w:left="792" w:hanging="792"/>
      </w:pPr>
      <w:r>
        <w:rPr>
          <w:b w:val="false"/>
          <w:bCs w:val="false"/>
        </w:rPr>
        <w:t xml:space="preserve">13.4	</w:t>
      </w:r>
      <w:r>
        <w:t xml:space="preserve">Third parties. A person who is not a party to this Agreement has no rights under the Contracts (Rights of Third Parties) Act 1999 to enforce any term of it.</w:t>
      </w:r>
    </w:p>
    <w:p>
      <w:pPr>
        <w:tabs>
          <w:tab w:val="left" w:pos="792"/>
        </w:tabs>
        <w:spacing w:after="160"/>
        <w:ind w:left="792" w:hanging="792"/>
      </w:pPr>
      <w:r>
        <w:rPr>
          <w:b w:val="false"/>
          <w:bCs w:val="false"/>
        </w:rPr>
        <w:t xml:space="preserve">13.5	</w:t>
      </w:r>
      <w:r>
        <w:t xml:space="preserve">Governing law and jurisdiction. This Agreement and any dispute or claim arising out of or in connection with it (including non-contractual disputes or claims) are governed by the law of England and Wales, and the parties submit to the exclusive jurisdiction of the courts of England and Wales.</w:t>
      </w:r>
    </w:p>
    <w:p>
      <w:pPr>
        <w:spacing w:after="200" w:before="400"/>
      </w:pPr>
      <w:r>
        <w:rPr>
          <w:i/>
          <w:iCs/>
        </w:rPr>
        <w:t xml:space="preserve">This Agreement has been entered into on the date stated at the beginning of it.</w:t>
      </w:r>
    </w:p>
    <w:p>
      <w:pPr>
        <w:spacing w:after="60" w:before="300"/>
      </w:pPr>
      <w:r>
        <w:rPr>
          <w:b/>
          <w:bCs/>
        </w:rPr>
        <w:t xml:space="preserve">Signed for and on behalf of LEADING TALENT [LIMITED]:</w:t>
      </w:r>
    </w:p>
    <w:p>
      <w:pPr>
        <w:spacing w:after="160"/>
      </w:pPr>
      <w:r>
        <w:t xml:space="preserve">Signature:  ________________________________</w:t>
      </w:r>
    </w:p>
    <w:p>
      <w:pPr>
        <w:spacing w:after="160"/>
      </w:pPr>
      <w:r>
        <w:t xml:space="preserve">Name:      ________________________________</w:t>
      </w:r>
    </w:p>
    <w:p>
      <w:pPr>
        <w:spacing w:after="160"/>
      </w:pPr>
      <w:r>
        <w:t xml:space="preserve">Position:    ________________________________</w:t>
      </w:r>
    </w:p>
    <w:p>
      <w:pPr>
        <w:spacing w:after="160"/>
      </w:pPr>
      <w:r>
        <w:t xml:space="preserve">Date:       ________________________________</w:t>
      </w:r>
    </w:p>
    <w:p>
      <w:pPr>
        <w:spacing w:after="60" w:before="300"/>
      </w:pPr>
      <w:r>
        <w:rPr>
          <w:b/>
          <w:bCs/>
        </w:rPr>
        <w:t xml:space="preserve">Signed for and on behalf of [PROCESSOR NAME]:</w:t>
      </w:r>
    </w:p>
    <w:p>
      <w:pPr>
        <w:spacing w:after="160"/>
      </w:pPr>
      <w:r>
        <w:t xml:space="preserve">Signature:  ________________________________</w:t>
      </w:r>
    </w:p>
    <w:p>
      <w:pPr>
        <w:spacing w:after="160"/>
      </w:pPr>
      <w:r>
        <w:t xml:space="preserve">Name:      ________________________________</w:t>
      </w:r>
    </w:p>
    <w:p>
      <w:pPr>
        <w:spacing w:after="160"/>
      </w:pPr>
      <w:r>
        <w:t xml:space="preserve">Position:    ________________________________</w:t>
      </w:r>
    </w:p>
    <w:p>
      <w:pPr>
        <w:spacing w:after="160"/>
      </w:pPr>
      <w:r>
        <w:t xml:space="preserve">Date:       ________________________________</w:t>
      </w:r>
    </w:p>
    <w:p>
      <w:r>
        <w:br w:type="page"/>
      </w:r>
    </w:p>
    <w:p>
      <w:pPr>
        <w:pStyle w:val="Heading1"/>
        <w:spacing w:after="160" w:before="320"/>
      </w:pPr>
      <w:r>
        <w:t xml:space="preserve">SCHEDULE 1 — DETAILS OF PROCESSING</w:t>
      </w:r>
    </w:p>
    <w:p>
      <w:pPr>
        <w:spacing w:after="160"/>
      </w:pPr>
      <w:r>
        <w:t xml:space="preserve">To be completed for the specific engagement. The examples below reflect typical recruitment-sector processing — delete or amend as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Subject matter</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Processing of personal data in connection with the provision of [DESCRIPTION OF SERVICES] under the Principal Agreement.</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Duration</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The term of the Principal Agreement, plus any period required for deletion or return under clause 8.</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Nature and purpose</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[E.g. hosting, storage, and support of the Controller’s applicant tracking / CRM system; payroll processing; background screening; email distribution.]</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Categories of data subjects</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Candidates and work-seekers</w:t>
            </w:r>
          </w:p>
          <w:p>
            <w:pPr>
              <w:spacing w:after="60"/>
            </w:pPr>
            <w:r>
              <w:t xml:space="preserve">Client and supplier contacts</w:t>
            </w:r>
          </w:p>
          <w:p>
            <w:pPr>
              <w:spacing w:after="60"/>
            </w:pPr>
            <w:r>
              <w:t xml:space="preserve">Controller’s employees and contractors</w:t>
            </w:r>
          </w:p>
          <w:p>
            <w:pPr>
              <w:spacing w:after="60"/>
            </w:pPr>
            <w:r>
              <w:t xml:space="preserve">[Others — specify]</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Types of personal data</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Contact details (name, email, phone, address)</w:t>
            </w:r>
          </w:p>
          <w:p>
            <w:pPr>
              <w:spacing w:after="60"/>
            </w:pPr>
            <w:r>
              <w:t xml:space="preserve">CVs, work history, qualifications, references</w:t>
            </w:r>
          </w:p>
          <w:p>
            <w:pPr>
              <w:spacing w:after="60"/>
            </w:pPr>
            <w:r>
              <w:t xml:space="preserve">Right-to-work and identity documents</w:t>
            </w:r>
          </w:p>
          <w:p>
            <w:pPr>
              <w:spacing w:after="60"/>
            </w:pPr>
            <w:r>
              <w:t xml:space="preserve">Remuneration and bank details (payroll only)</w:t>
            </w:r>
          </w:p>
          <w:p>
            <w:pPr>
              <w:spacing w:after="60"/>
            </w:pPr>
            <w:r>
              <w:t xml:space="preserve">[Others — specify]</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Special categories / criminal offence data</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[None] OR [e.g. health data for reasonable adjustments; DBS check results — specify and ensure an Article 9/10 condition and DPA 2018 Schedule 1 condition applies.]</w:t>
            </w:r>
          </w:p>
        </w:tc>
      </w:tr>
    </w:tbl>
    <w:p>
      <w:r>
        <w:br w:type="page"/>
      </w:r>
    </w:p>
    <w:p>
      <w:pPr>
        <w:pStyle w:val="Heading1"/>
        <w:spacing w:after="160" w:before="320"/>
      </w:pPr>
      <w:r>
        <w:t xml:space="preserve">SCHEDULE 2 — TECHNICAL AND ORGANISATIONAL SECURITY MEASURES</w:t>
      </w:r>
    </w:p>
    <w:p>
      <w:pPr>
        <w:spacing w:after="160"/>
      </w:pPr>
      <w:r>
        <w:t xml:space="preserve">The Processor shall maintain, as a minimum, the following measures (amend to reflect what the Processor has actually agreed):</w:t>
      </w:r>
    </w:p>
    <w:p>
      <w:pPr>
        <w:pStyle w:val="ListParagraph"/>
        <w:numPr>
          <w:ilvl w:val="0"/>
          <w:numId w:val="2"/>
        </w:numPr>
        <w:spacing w:after="100"/>
      </w:pPr>
      <w:r>
        <w:t xml:space="preserve">Encryption of Controller Personal Data in transit (TLS 1.2 or higher) and at rest.</w:t>
      </w:r>
    </w:p>
    <w:p>
      <w:pPr>
        <w:pStyle w:val="ListParagraph"/>
        <w:numPr>
          <w:ilvl w:val="0"/>
          <w:numId w:val="2"/>
        </w:numPr>
        <w:spacing w:after="100"/>
      </w:pPr>
      <w:r>
        <w:t xml:space="preserve">Access controls based on least privilege, with unique user accounts and multi-factor authentication for remote and administrative access.</w:t>
      </w:r>
    </w:p>
    <w:p>
      <w:pPr>
        <w:pStyle w:val="ListParagraph"/>
        <w:numPr>
          <w:ilvl w:val="0"/>
          <w:numId w:val="2"/>
        </w:numPr>
        <w:spacing w:after="100"/>
      </w:pPr>
      <w:r>
        <w:t xml:space="preserve">Regular testing, assessment and evaluation of the effectiveness of security measures, including [annual] penetration testing.</w:t>
      </w:r>
    </w:p>
    <w:p>
      <w:pPr>
        <w:pStyle w:val="ListParagraph"/>
        <w:numPr>
          <w:ilvl w:val="0"/>
          <w:numId w:val="2"/>
        </w:numPr>
        <w:spacing w:after="100"/>
      </w:pPr>
      <w:r>
        <w:t xml:space="preserve">Measures to ensure ongoing confidentiality, integrity, availability and resilience of processing systems, including regular backups and a tested business continuity / disaster recovery plan.</w:t>
      </w:r>
    </w:p>
    <w:p>
      <w:pPr>
        <w:pStyle w:val="ListParagraph"/>
        <w:numPr>
          <w:ilvl w:val="0"/>
          <w:numId w:val="2"/>
        </w:numPr>
        <w:spacing w:after="100"/>
      </w:pPr>
      <w:r>
        <w:t xml:space="preserve">The ability to restore availability and access to personal data in a timely manner in the event of a physical or technical incident.</w:t>
      </w:r>
    </w:p>
    <w:p>
      <w:pPr>
        <w:pStyle w:val="ListParagraph"/>
        <w:numPr>
          <w:ilvl w:val="0"/>
          <w:numId w:val="2"/>
        </w:numPr>
        <w:spacing w:after="100"/>
      </w:pPr>
      <w:r>
        <w:t xml:space="preserve">A documented information security policy, staff security training, and defined incident response procedures.</w:t>
      </w:r>
    </w:p>
    <w:p>
      <w:pPr>
        <w:pStyle w:val="ListParagraph"/>
        <w:numPr>
          <w:ilvl w:val="0"/>
          <w:numId w:val="2"/>
        </w:numPr>
        <w:spacing w:after="100"/>
      </w:pPr>
      <w:r>
        <w:t xml:space="preserve">Physical security controls at premises and data centres where Controller Personal Data is processed.</w:t>
      </w:r>
    </w:p>
    <w:p>
      <w:pPr>
        <w:pStyle w:val="ListParagraph"/>
        <w:numPr>
          <w:ilvl w:val="0"/>
          <w:numId w:val="2"/>
        </w:numPr>
        <w:spacing w:after="100"/>
      </w:pPr>
      <w:r>
        <w:t xml:space="preserve">Secure deletion and disposal of media containing Controller Personal Data.</w:t>
      </w:r>
    </w:p>
    <w:p>
      <w:pPr>
        <w:pStyle w:val="ListParagraph"/>
        <w:numPr>
          <w:ilvl w:val="0"/>
          <w:numId w:val="2"/>
        </w:numPr>
        <w:spacing w:after="100"/>
      </w:pPr>
      <w:r>
        <w:t xml:space="preserve">[Certifications held, e.g. Cyber Essentials / Cyber Essentials Plus / ISO 27001 — specify.]</w:t>
      </w:r>
    </w:p>
    <w:p>
      <w:r>
        <w:br w:type="page"/>
      </w:r>
    </w:p>
    <w:p>
      <w:pPr>
        <w:pStyle w:val="Heading1"/>
        <w:spacing w:after="160" w:before="320"/>
      </w:pPr>
      <w:r>
        <w:t xml:space="preserve">SCHEDULE 3 — APPROVED SUB-PROCESSORS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Sub-processor</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Processing activity</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Location of processing</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Transfer safeguard (if outside UK)</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[Name]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[Activity]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[Country]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[e.g. UK adequacy regulations / IDTA / UK Addendum]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[Name]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[Activity]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[Country]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[e.g. UK adequacy regulations / IDTA / UK Addendum]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[Name]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[Activity]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[Country]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[e.g. UK adequacy regulations / IDTA / UK Addendum]</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Data Processing Agreement — Leading Talent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2026-08-23T21:40:55.217Z</dcterms:created>
  <dcterms:modified xsi:type="dcterms:W3CDTF">2026-08-23T21:40:55.230Z</dcterms:modified>
</cp:coreProperties>
</file>

<file path=docProps/custom.xml><?xml version="1.0" encoding="utf-8"?>
<Properties xmlns="http://schemas.openxmlformats.org/officeDocument/2006/custom-properties" xmlns:vt="http://schemas.openxmlformats.org/officeDocument/2006/docPropsVTypes"/>
</file>