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60"/>
      </w:pPr>
      <w:r>
        <w:rPr>
          <w:rFonts w:ascii="Calibri" w:hAnsi="Calibri" w:eastAsia="Calibri" w:cs="Calibri"/>
          <w:b/>
          <w:color w:val="1D6F73"/>
          <w:sz w:val="22"/>
        </w:rPr>
        <w:t>SYSTEM &amp; SOFTWARE REQUIREMENTS SPECIFICATION</w:t>
      </w:r>
    </w:p>
    <w:p>
      <w:pPr>
        <w:spacing w:after="160"/>
      </w:pPr>
      <w:r>
        <w:rPr>
          <w:rFonts w:ascii="Calibri" w:hAnsi="Calibri" w:eastAsia="Calibri" w:cs="Calibri"/>
          <w:b/>
          <w:color w:val="16324F"/>
          <w:sz w:val="60"/>
        </w:rPr>
        <w:t>Modular AI Playground</w:t>
      </w:r>
    </w:p>
    <w:p>
      <w:pPr>
        <w:spacing w:after="560"/>
      </w:pPr>
      <w:r>
        <w:rPr>
          <w:rFonts w:ascii="Calibri" w:hAnsi="Calibri" w:eastAsia="Calibri" w:cs="Calibri"/>
          <w:color w:val="667085"/>
          <w:sz w:val="30"/>
        </w:rPr>
        <w:t>A secure, consent-aware platform for bilingual AI experimentation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16324F"/>
                <w:sz w:val="21"/>
              </w:rPr>
              <w:t>VERSION 1.7 - EXTENSIBLE PRODUCT EXPERIENCE AND CONSENTED LEARNING RECORDS</w:t>
            </w:r>
          </w:p>
          <w:p>
            <w:pPr>
              <w:spacing w:after="0"/>
            </w:pPr>
            <w:r>
              <w:rPr>
                <w:rFonts w:ascii="Calibri" w:hAnsi="Calibri" w:eastAsia="Calibri" w:cs="Calibri"/>
                <w:color w:val="202124"/>
                <w:sz w:val="19"/>
              </w:rPr>
              <w:t>This revision defines the scalable navigation shell, module catalogue, usage and access records, purpose-separated query/answer retention, and voluntary sign-out feedback experience.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Field</w:t>
            </w:r>
          </w:p>
        </w:tc>
        <w:tc>
          <w:tcPr>
            <w:tcW w:type="dxa" w:w="67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Value</w:t>
            </w:r>
          </w:p>
        </w:tc>
      </w:tr>
      <w:tr>
        <w:trPr>
          <w:cantSplit/>
        </w:trPr>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Document status</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Architecture and implementation baseline</w:t>
            </w:r>
          </w:p>
        </w:tc>
      </w:tr>
      <w:tr>
        <w:trPr>
          <w:cantSplit/>
        </w:trPr>
        <w:tc>
          <w:tcPr>
            <w:tcW w:type="dxa" w:w="26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Version</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1.7.0</w:t>
            </w:r>
          </w:p>
        </w:tc>
      </w:tr>
      <w:tr>
        <w:trPr>
          <w:cantSplit/>
        </w:trPr>
        <w:tc>
          <w:tcPr>
            <w:tcW w:type="dxa" w:w="26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Date</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5 September 2026</w:t>
            </w:r>
          </w:p>
        </w:tc>
      </w:tr>
      <w:tr>
        <w:trPr>
          <w:cantSplit/>
        </w:trPr>
        <w:tc>
          <w:tcPr>
            <w:tcW w:type="dxa" w:w="2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Primary audience</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Product owner, architecture board, engineering, security, privacy and QA teams</w:t>
            </w:r>
          </w:p>
        </w:tc>
      </w:tr>
      <w:tr>
        <w:trPr>
          <w:cantSplit/>
        </w:trPr>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Approval scope</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Pilot build after Phase 0 decisions; production release only after all go-live gates pass</w:t>
            </w:r>
          </w:p>
        </w:tc>
      </w:tr>
      <w:tr>
        <w:trPr>
          <w:cantSplit/>
        </w:trPr>
        <w:tc>
          <w:tcPr>
            <w:tcW w:type="dxa" w:w="26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Supersedes</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Modular AI Playground Technical Specification v1.6</w:t>
            </w:r>
          </w:p>
        </w:tc>
      </w:tr>
    </w:tbl>
    <w:p>
      <w:pPr>
        <w:spacing w:after="40"/>
      </w:pPr>
    </w:p>
    <w:p>
      <w:pPr>
        <w:spacing w:before="400"/>
        <w:jc w:val="center"/>
      </w:pPr>
      <w:r>
        <w:rPr>
          <w:rFonts w:ascii="Calibri" w:hAnsi="Calibri" w:eastAsia="Calibri" w:cs="Calibri"/>
          <w:b/>
          <w:color w:val="1D6F73"/>
          <w:sz w:val="20"/>
        </w:rPr>
        <w:t>English and Tamil user experience  |  Local-first inference  |  Controlled cloud use</w:t>
      </w:r>
    </w:p>
    <w:p>
      <w:r>
        <w:br w:type="page"/>
      </w:r>
    </w:p>
    <w:p>
      <w:pPr>
        <w:pStyle w:val="Heading1"/>
        <w:keepNext/>
      </w:pPr>
      <w:r>
        <w:t>Document control</w:t>
      </w:r>
    </w:p>
    <w:p>
      <w:pPr>
        <w:pStyle w:val="Heading2"/>
        <w:keepNext/>
      </w:pPr>
      <w:r>
        <w:t>Revision history</w:t>
      </w:r>
    </w:p>
    <w:tbl>
      <w:tblPr>
        <w:tblStyle w:val="TableGrid"/>
        <w:tblW w:type="dxa" w:w="9360"/>
        <w:tblLayout w:type="fixed"/>
        <w:tblLook w:firstColumn="1" w:firstRow="1" w:lastColumn="0" w:lastRow="0" w:noHBand="0" w:noVBand="1" w:val="04A0"/>
        <w:jc w:val="left"/>
        <w:tblInd w:w="120" w:type="dxa"/>
      </w:tblPr>
      <w:tblGrid>
        <w:gridCol w:w="1100"/>
        <w:gridCol w:w="6560"/>
        <w:gridCol w:w="1700"/>
      </w:tblGrid>
      <w:tr>
        <w:trPr>
          <w:tblHeader w:val="true"/>
          <w:cantSplit/>
        </w:trPr>
        <w:tc>
          <w:tcPr>
            <w:tcW w:type="dxa" w:w="11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Version</w:t>
            </w:r>
          </w:p>
        </w:tc>
        <w:tc>
          <w:tcPr>
            <w:tcW w:type="dxa" w:w="65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Summary</w:t>
            </w:r>
          </w:p>
        </w:tc>
        <w:tc>
          <w:tcPr>
            <w:tcW w:type="dxa" w:w="17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Status</w:t>
            </w:r>
          </w:p>
        </w:tc>
      </w:tr>
      <w:tr>
        <w:trPr>
          <w:cantSplit/>
        </w:trPr>
        <w:tc>
          <w:tcPr>
            <w:tcW w:type="dxa" w:w="11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1.1</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Initial modular AI playground specification</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Superseded</w:t>
            </w:r>
          </w:p>
        </w:tc>
      </w:tr>
      <w:tr>
        <w:trPr>
          <w:cantSplit/>
        </w:trPr>
        <w:tc>
          <w:tcPr>
            <w:tcW w:type="dxa" w:w="11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1.2</w:t>
            </w:r>
          </w:p>
        </w:tc>
        <w:tc>
          <w:tcPr>
            <w:tcW w:type="dxa" w:w="65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Added Redis Streams, purge worker, Redis HA, WebSocket token renewal and HNSW</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Superseded</w:t>
            </w:r>
          </w:p>
        </w:tc>
      </w:tr>
      <w:tr>
        <w:trPr>
          <w:cantSplit/>
        </w:trPr>
        <w:tc>
          <w:tcPr>
            <w:tcW w:type="dxa" w:w="11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1.3</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Resolved architecture ownership; redesigned identity, consent, failover, audit, deletion, RAG, NFRs, QA and roadmap</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Superseded</w:t>
            </w:r>
          </w:p>
        </w:tc>
      </w:tr>
      <w:tr>
        <w:trPr>
          <w:cantSplit/>
        </w:trPr>
        <w:tc>
          <w:tcPr>
            <w:tcW w:type="dxa" w:w="11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1.4</w:t>
            </w:r>
          </w:p>
        </w:tc>
        <w:tc>
          <w:tcPr>
            <w:tcW w:type="dxa" w:w="65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Internal review checkpoint; not issued as an implementation baseline</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Not issued</w:t>
            </w:r>
          </w:p>
        </w:tc>
      </w:tr>
      <w:tr>
        <w:trPr>
          <w:cantSplit/>
        </w:trPr>
        <w:tc>
          <w:tcPr>
            <w:tcW w:type="dxa" w:w="11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1.5</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Strengthened audit throughput, session continuity, object deletion, vector indexing, Redis recovery and localization builds</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Superseded</w:t>
            </w:r>
          </w:p>
        </w:tc>
      </w:tr>
      <w:tr>
        <w:trPr>
          <w:cantSplit/>
        </w:trPr>
        <w:tc>
          <w:tcPr>
            <w:tcW w:type="dxa" w:w="11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1.6</w:t>
            </w:r>
          </w:p>
        </w:tc>
        <w:tc>
          <w:tcPr>
            <w:tcW w:type="dxa" w:w="65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Defined idempotency storage, numerical RAG gates, bounded admission, provider onboarding, Redis degradation and Phase 0 privacy obligations</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Superseded</w:t>
            </w:r>
          </w:p>
        </w:tc>
      </w:tr>
      <w:tr>
        <w:trPr>
          <w:cantSplit/>
        </w:trPr>
        <w:tc>
          <w:tcPr>
            <w:tcW w:type="dxa" w:w="1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1.7</w:t>
            </w:r>
          </w:p>
        </w:tc>
        <w:tc>
          <w:tcPr>
            <w:tcW w:type="dxa" w:w="6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Added extensible product shell, module catalogue, usage/access separation, consented query-answer records and sign-out feedback</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Current</w:t>
            </w:r>
          </w:p>
        </w:tc>
      </w:tr>
    </w:tbl>
    <w:p>
      <w:pPr>
        <w:spacing w:after="40"/>
      </w:pPr>
    </w:p>
    <w:p>
      <w:pPr>
        <w:pStyle w:val="Heading2"/>
        <w:keepNext/>
      </w:pPr>
      <w:r>
        <w:t>Approval gates</w:t>
      </w:r>
    </w:p>
    <w:p>
      <w:pPr>
        <w:keepNext w:val="0"/>
      </w:pPr>
      <w:r>
        <w:rPr>
          <w:rFonts w:ascii="Calibri" w:hAnsi="Calibri" w:eastAsia="Calibri" w:cs="Calibri"/>
          <w:i w:val="0"/>
          <w:color w:val="202124"/>
          <w:sz w:val="22"/>
        </w:rPr>
        <w:t>Approval of this document authorises implementation of the pilot baseline only. Production approval requires evidence for every gate below.</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Gate</w:t>
            </w:r>
          </w:p>
        </w:tc>
        <w:tc>
          <w:tcPr>
            <w:tcW w:type="dxa" w:w="73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Required evidence</w:t>
            </w:r>
          </w:p>
        </w:tc>
      </w:tr>
      <w:tr>
        <w:trPr>
          <w:cantSplit/>
        </w:trPr>
        <w:tc>
          <w:tcPr>
            <w:tcW w:type="dxa" w:w="2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Architecture</w:t>
            </w:r>
          </w:p>
        </w:tc>
        <w:tc>
          <w:tcPr>
            <w:tcW w:type="dxa" w:w="7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All Phase 0 decisions accepted and no unresolved critical ADRs</w:t>
            </w:r>
          </w:p>
        </w:tc>
      </w:tr>
      <w:tr>
        <w:trPr>
          <w:cantSplit/>
        </w:trPr>
        <w:tc>
          <w:tcPr>
            <w:tcW w:type="dxa" w:w="2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Security</w:t>
            </w:r>
          </w:p>
        </w:tc>
        <w:tc>
          <w:tcPr>
            <w:tcW w:type="dxa" w:w="7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Threat model, penetration test and dependency/container scans accepted</w:t>
            </w:r>
          </w:p>
        </w:tc>
      </w:tr>
      <w:tr>
        <w:trPr>
          <w:cantSplit/>
        </w:trPr>
        <w:tc>
          <w:tcPr>
            <w:tcW w:type="dxa" w:w="2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Privacy</w:t>
            </w:r>
          </w:p>
        </w:tc>
        <w:tc>
          <w:tcPr>
            <w:tcW w:type="dxa" w:w="7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Data Protection Impact Assessment and cross-border processor review approved</w:t>
            </w:r>
          </w:p>
        </w:tc>
      </w:tr>
      <w:tr>
        <w:trPr>
          <w:cantSplit/>
        </w:trPr>
        <w:tc>
          <w:tcPr>
            <w:tcW w:type="dxa" w:w="2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Performance</w:t>
            </w:r>
          </w:p>
        </w:tc>
        <w:tc>
          <w:tcPr>
            <w:tcW w:type="dxa" w:w="7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Capacity and latency SLOs demonstrated under representative load</w:t>
            </w:r>
          </w:p>
        </w:tc>
      </w:tr>
      <w:tr>
        <w:trPr>
          <w:cantSplit/>
        </w:trPr>
        <w:tc>
          <w:tcPr>
            <w:tcW w:type="dxa" w:w="2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Reliability</w:t>
            </w:r>
          </w:p>
        </w:tc>
        <w:tc>
          <w:tcPr>
            <w:tcW w:type="dxa" w:w="7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Restore, failover, deletion and dependency-outage exercises passed</w:t>
            </w:r>
          </w:p>
        </w:tc>
      </w:tr>
      <w:tr>
        <w:trPr>
          <w:cantSplit/>
        </w:trPr>
        <w:tc>
          <w:tcPr>
            <w:tcW w:type="dxa" w:w="2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Language quality</w:t>
            </w:r>
          </w:p>
        </w:tc>
        <w:tc>
          <w:tcPr>
            <w:tcW w:type="dxa" w:w="7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English and Tamil UI packs approved by nominated reviewers</w:t>
            </w:r>
          </w:p>
        </w:tc>
      </w:tr>
      <w:tr>
        <w:trPr>
          <w:cantSplit/>
        </w:trPr>
        <w:tc>
          <w:tcPr>
            <w:tcW w:type="dxa" w:w="2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Operations</w:t>
            </w:r>
          </w:p>
        </w:tc>
        <w:tc>
          <w:tcPr>
            <w:tcW w:type="dxa" w:w="7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Runbooks, alert ownership and rollback procedures exercised</w:t>
            </w:r>
          </w:p>
        </w:tc>
      </w:tr>
    </w:tbl>
    <w:p>
      <w:pPr>
        <w:spacing w:after="40"/>
      </w:pPr>
    </w:p>
    <w:p>
      <w:pPr>
        <w:pStyle w:val="Heading2"/>
        <w:keepNext/>
      </w:pPr>
      <w:r>
        <w:t>Normative language</w:t>
      </w:r>
    </w:p>
    <w:p>
      <w:pPr>
        <w:keepNext w:val="0"/>
      </w:pPr>
      <w:r>
        <w:rPr>
          <w:rFonts w:ascii="Calibri" w:hAnsi="Calibri" w:eastAsia="Calibri" w:cs="Calibri"/>
          <w:i w:val="0"/>
          <w:color w:val="202124"/>
          <w:sz w:val="22"/>
        </w:rPr>
        <w:t>SHALL indicates a mandatory requirement. SHOULD indicates a recommended control that may be waived only through an approved architecture decision. MAY indicates an optional capability. Requirement identifiers remain stable across revisions and are the basis for traceability and acceptance testing.</w:t>
      </w:r>
    </w:p>
    <w:p>
      <w:pPr>
        <w:pStyle w:val="Heading1"/>
        <w:keepNext/>
        <w:pageBreakBefore/>
      </w:pPr>
      <w:r>
        <w:t>Technical review disposition for v1.7</w:t>
      </w:r>
    </w:p>
    <w:tbl>
      <w:tblPr>
        <w:tblStyle w:val="TableGrid"/>
        <w:tblW w:type="dxa" w:w="9360"/>
        <w:tblLayout w:type="fixed"/>
        <w:tblLook w:firstColumn="1" w:firstRow="1" w:lastColumn="0" w:lastRow="0" w:noHBand="0" w:noVBand="1" w:val="04A0"/>
        <w:jc w:val="left"/>
        <w:tblInd w:w="120" w:type="dxa"/>
      </w:tblPr>
      <w:tblGrid>
        <w:gridCol w:w="1800"/>
        <w:gridCol w:w="2300"/>
        <w:gridCol w:w="5260"/>
      </w:tblGrid>
      <w:tr>
        <w:trPr>
          <w:tblHeader w:val="true"/>
          <w:cantSplit/>
        </w:trPr>
        <w:tc>
          <w:tcPr>
            <w:tcW w:type="dxa" w:w="18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Concern</w:t>
            </w:r>
          </w:p>
        </w:tc>
        <w:tc>
          <w:tcPr>
            <w:tcW w:type="dxa" w:w="23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Disposition</w:t>
            </w:r>
          </w:p>
        </w:tc>
        <w:tc>
          <w:tcPr>
            <w:tcW w:type="dxa" w:w="52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Binding v1.7 decision</w:t>
            </w:r>
          </w:p>
        </w:tc>
      </w:tr>
      <w:tr>
        <w:trPr>
          <w:cantSplit/>
        </w:trP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Idempotency lifecycle</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and specified</w:t>
            </w:r>
          </w:p>
        </w:tc>
        <w:tc>
          <w:tcPr>
            <w:tcW w:type="dxa" w:w="5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 a dedicated idempotency_keys table scoped by authenticated user and route, store only a key hash and request fingerprint, enforce deterministic replay/conflict behaviour, expire records automatically and include them in account deletion.</w:t>
            </w:r>
          </w:p>
        </w:tc>
      </w:tr>
      <w:tr>
        <w:trPr>
          <w:cantSplit/>
        </w:trPr>
        <w:tc>
          <w:tcPr>
            <w:tcW w:type="dxa" w:w="18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RAG acceptance thresholds</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with benchmark controls</w:t>
            </w:r>
          </w:p>
        </w:tc>
        <w:tc>
          <w:tcPr>
            <w:tcW w:type="dxa" w:w="5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Require Recall@10 &gt;= 0.85, MRR@10 &gt;= 0.80, p95 vector-search latency &lt;= 50 ms and full-index build &lt;= 4 hours on a frozen bilingual benchmark and declared reference environment.</w:t>
            </w:r>
          </w:p>
        </w:tc>
      </w:tr>
      <w:tr>
        <w:trPr>
          <w:cantSplit/>
        </w:trP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Queue saturation and dead letters</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and specified</w:t>
            </w:r>
          </w:p>
        </w:tc>
        <w:tc>
          <w:tcPr>
            <w:tcW w:type="dxa" w:w="5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Configure per-class and system queue limits, reject user work with 429 QUEUE_FULL and Retry-After before durable acceptance, and isolate exhausted work after explicit attempt limits. Compliance work uses reserved capacity and is never silently dropped.</w:t>
            </w:r>
          </w:p>
        </w:tc>
      </w:tr>
      <w:tr>
        <w:trPr>
          <w:cantSplit/>
        </w:trPr>
        <w:tc>
          <w:tcPr>
            <w:tcW w:type="dxa" w:w="18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Provider onboarding</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with four-eyes activation</w:t>
            </w:r>
          </w:p>
        </w:tc>
        <w:tc>
          <w:tcPr>
            <w:tcW w:type="dxa" w:w="5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Allow model_operator to create a draft through POST /admin/providers. Activation requires schema, health, security and policy validation plus independent approval; secrets remain external references.</w:t>
            </w:r>
          </w:p>
        </w:tc>
      </w:tr>
      <w:tr>
        <w:trPr>
          <w:cantSplit/>
        </w:trPr>
        <w:tc>
          <w:tcPr>
            <w:tcW w:type="dxa" w:w="18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Slow Redis</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unrestricted bypass rejected</w:t>
            </w:r>
          </w:p>
        </w:tc>
        <w:tc>
          <w:tcPr>
            <w:tcW w:type="dxa" w:w="5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 a 25 ms operation timeout and 50 ms request budget, circuit breaking and conservative in-process token buckets. Expensive cloud work may fail closed; essential control paths retain reserved local capacity.</w:t>
            </w:r>
          </w:p>
        </w:tc>
      </w:tr>
      <w:tr>
        <w:trPr>
          <w:cantSplit/>
        </w:trPr>
        <w:tc>
          <w:tcPr>
            <w:tcW w:type="dxa" w:w="18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DPIA sequencing</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and front-loaded</w:t>
            </w:r>
          </w:p>
        </w:tc>
        <w:tc>
          <w:tcPr>
            <w:tcW w:type="dxa" w:w="5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Identify the DPO, open the DPIA and record scope, data map, processors, risks and owner before Phase 0 can exit. Production cloud processing still requires completed approval.</w:t>
            </w:r>
          </w:p>
        </w:tc>
      </w:tr>
      <w:tr>
        <w:trPr>
          <w:cantSplit/>
        </w:trP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batch configuration</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and parameterised</w:t>
            </w:r>
          </w:p>
        </w:tc>
        <w:tc>
          <w:tcPr>
            <w:tcW w:type="dxa" w:w="5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Configure event count and flush interval per environment within approved bounds, defaulting to 500 events or 1,000 ms, and prove both the 10 ms write-overhead and 60-second projection SLOs.</w:t>
            </w:r>
          </w:p>
        </w:tc>
      </w:tr>
      <w:tr>
        <w:trPr>
          <w:cantSplit/>
        </w:trPr>
        <w:tc>
          <w:tcPr>
            <w:tcW w:type="dxa" w:w="18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Vector migration and deletion sweep</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and specified</w:t>
            </w:r>
          </w:p>
        </w:tc>
        <w:tc>
          <w:tcPr>
            <w:tcW w:type="dxa" w:w="5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 versioned physical generations, dual-write or change capture, atomic alias promotion and rollback. Compute the second deletion sweep from recorded task deadlines plus a global 60-second grace period.</w:t>
            </w:r>
          </w:p>
        </w:tc>
      </w:tr>
      <w:tr>
        <w:trPr>
          <w:cantSplit/>
        </w:trP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Application shell</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and specified</w:t>
            </w:r>
          </w:p>
        </w:tc>
        <w:tc>
          <w:tcPr>
            <w:tcW w:type="dxa" w:w="5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Adopt an original, catalogue-driven sidebar shell with grouped platform, module, administration, support and account navigation; remove the marketing-style hero from authenticated work.</w:t>
            </w:r>
          </w:p>
        </w:tc>
      </w:tr>
      <w:tr>
        <w:trPr>
          <w:cantSplit/>
        </w:trP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Query and answer retention</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with purpose separation</w:t>
            </w:r>
          </w:p>
        </w:tc>
        <w:tc>
          <w:tcPr>
            <w:tcW w:type="dxa" w:w="5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Keep content out of logs and audit. Save history only on user request; require separate revocable consent for product improvement and an additional governed eligibility step for training.</w:t>
            </w:r>
          </w:p>
        </w:tc>
      </w:tr>
      <w:tr>
        <w:trPr>
          <w:cantSplit/>
        </w:trPr>
        <w:tc>
          <w:tcPr>
            <w:tcW w:type="dxa" w:w="18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Sign-out feedback</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as voluntary</w:t>
            </w:r>
          </w:p>
        </w:tc>
        <w:tc>
          <w:tcPr>
            <w:tcW w:type="dxa" w:w="5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Offer rating, task outcome, modules and optional comment before deliberate sign-out, with an equally visible skip action and a two-second maximum submission delay before mandatory logout.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5D6"/>
            <w:tcMar>
              <w:top w:w="80" w:type="dxa"/>
              <w:bottom w:w="80" w:type="dxa"/>
              <w:start w:w="120" w:type="dxa"/>
              <w:end w:w="120" w:type="dxa"/>
            </w:tcMar>
            <w:vAlign w:val="center"/>
          </w:tcPr>
          <w:p>
            <w:pPr>
              <w:spacing w:after="60"/>
            </w:pPr>
            <w:r/>
            <w:r>
              <w:rPr>
                <w:rFonts w:ascii="Calibri" w:hAnsi="Calibri" w:eastAsia="Calibri" w:cs="Calibri"/>
                <w:b/>
                <w:color w:val="16324F"/>
                <w:sz w:val="21"/>
              </w:rPr>
              <w:t>ARCHITECTURE JUDGEMENT</w:t>
            </w:r>
          </w:p>
          <w:p>
            <w:pPr>
              <w:spacing w:after="0" w:line="269" w:lineRule="auto"/>
            </w:pPr>
            <w:r>
              <w:rPr>
                <w:rFonts w:ascii="Calibri" w:hAnsi="Calibri" w:eastAsia="Calibri" w:cs="Calibri"/>
                <w:color w:val="202124"/>
                <w:sz w:val="19"/>
              </w:rPr>
              <w:t>v1.7 keeps the existing controls testable and adds enforceable product-experience and data-learning boundaries. Numerical RAG thresholds are bound to a frozen benchmark and declared reference hardware. Slow Redis never causes unrestricted rate-limit bypass: the Gateway uses short timeouts, opens a circuit and applies conservative local admission limits while protecting consent withdrawal and other essential control paths.</w:t>
            </w:r>
          </w:p>
        </w:tc>
      </w:tr>
    </w:tbl>
    <w:p>
      <w:pPr>
        <w:spacing w:after="40"/>
      </w:pPr>
    </w:p>
    <w:p>
      <w:pPr>
        <w:pStyle w:val="Heading1"/>
        <w:keepNext/>
        <w:pageBreakBefore/>
      </w:pPr>
      <w:r>
        <w:t>Contents</w:t>
      </w:r>
    </w:p>
    <w:tbl>
      <w:tblPr>
        <w:tblStyle w:val="TableGrid"/>
        <w:tblW w:type="dxa" w:w="9360"/>
        <w:tblLayout w:type="fixed"/>
        <w:tblLook w:firstColumn="1" w:firstRow="1" w:lastColumn="0" w:lastRow="0" w:noHBand="0" w:noVBand="1" w:val="04A0"/>
        <w:jc w:val="left"/>
        <w:tblInd w:w="120" w:type="dxa"/>
      </w:tblPr>
      <w:tblGrid>
        <w:gridCol w:w="1300"/>
        <w:gridCol w:w="8060"/>
      </w:tblGrid>
      <w:tr>
        <w:trPr>
          <w:tblHeader w:val="true"/>
          <w:cantSplit/>
        </w:trPr>
        <w:tc>
          <w:tcPr>
            <w:tcW w:type="dxa" w:w="13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Section</w:t>
            </w:r>
          </w:p>
        </w:tc>
        <w:tc>
          <w:tcPr>
            <w:tcW w:type="dxa" w:w="80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Title</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1</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Purpose, scope and product requirements</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2</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Architecture baseline and decisions</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3</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Identity, session and access management</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 privacy and data governance</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5</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Model providers, routing and failure semantics</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6</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External API and streaming contract</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7</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Authoritative data model</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8</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deletion and background processing</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9</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Retrieval-augmented generation and vector search</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10</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Security architecture</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11</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Non-functional requirements and operations</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12</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Localization, accessibility and user experience</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13</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Extensible product shell, usage records and feedback</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14</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Verification, validation and release acceptance</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15</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Delivery plan and governance</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16</w:t>
            </w:r>
          </w:p>
        </w:tc>
        <w:tc>
          <w:tcPr>
            <w:tcW w:type="dxa" w:w="8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Risks, assumptions and reference standards</w:t>
            </w:r>
          </w:p>
        </w:tc>
      </w:tr>
    </w:tbl>
    <w:p>
      <w:pPr>
        <w:spacing w:after="40"/>
      </w:pPr>
    </w:p>
    <w:p>
      <w:pPr>
        <w:pStyle w:val="Heading1"/>
        <w:keepNext/>
        <w:pageBreakBefore/>
      </w:pPr>
      <w:r>
        <w:t>1. Purpose, scope and product requirements</w:t>
      </w:r>
    </w:p>
    <w:p>
      <w:pPr>
        <w:pStyle w:val="Heading2"/>
        <w:keepNext/>
      </w:pPr>
      <w:r>
        <w:t>1.1 Purpose</w:t>
      </w:r>
    </w:p>
    <w:p>
      <w:pPr>
        <w:keepNext w:val="0"/>
      </w:pPr>
      <w:r>
        <w:rPr>
          <w:rFonts w:ascii="Calibri" w:hAnsi="Calibri" w:eastAsia="Calibri" w:cs="Calibri"/>
          <w:i w:val="0"/>
          <w:color w:val="202124"/>
          <w:sz w:val="22"/>
        </w:rPr>
        <w:t>The Modular AI Playground is a bilingual web platform for experimenting with optical character recognition (OCR), automatic speech recognition (ASR), text-to-speech (TTS), conversational text generation and headline generation. It provides a consistent user experience across locally hosted and explicitly approved cloud models while preserving user choice, consent and traceability.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7F3F3"/>
            <w:tcMar>
              <w:top w:w="80" w:type="dxa"/>
              <w:bottom w:w="80" w:type="dxa"/>
              <w:start w:w="120" w:type="dxa"/>
              <w:end w:w="120" w:type="dxa"/>
            </w:tcMar>
            <w:vAlign w:val="center"/>
          </w:tcPr>
          <w:p>
            <w:pPr>
              <w:spacing w:after="60"/>
            </w:pPr>
            <w:r/>
            <w:r>
              <w:rPr>
                <w:rFonts w:ascii="Calibri" w:hAnsi="Calibri" w:eastAsia="Calibri" w:cs="Calibri"/>
                <w:b/>
                <w:color w:val="16324F"/>
                <w:sz w:val="21"/>
              </w:rPr>
              <w:t>PRODUCT POSITION</w:t>
            </w:r>
          </w:p>
          <w:p>
            <w:pPr>
              <w:spacing w:after="0" w:line="269" w:lineRule="auto"/>
            </w:pPr>
            <w:r>
              <w:rPr>
                <w:rFonts w:ascii="Calibri" w:hAnsi="Calibri" w:eastAsia="Calibri" w:cs="Calibri"/>
                <w:color w:val="202124"/>
                <w:sz w:val="19"/>
              </w:rPr>
              <w:t>The system is local-first, not local-only. Local inference is preferred whenever it satisfies the requested capability and service objective. Cloud processing occurs only when an approved policy permits the data class, provider, region and purpose.</w:t>
            </w:r>
          </w:p>
        </w:tc>
      </w:tr>
    </w:tbl>
    <w:p>
      <w:pPr>
        <w:spacing w:after="40"/>
      </w:pPr>
    </w:p>
    <w:p>
      <w:pPr>
        <w:pStyle w:val="Heading2"/>
        <w:keepNext/>
      </w:pPr>
      <w:r>
        <w:t>1.2 In scope</w:t>
      </w:r>
    </w:p>
    <w:p>
      <w:pPr>
        <w:spacing w:after="80" w:line="300" w:lineRule="auto"/>
        <w:numPr>
          <w:ilvl w:val="0"/>
          <w:numId w:val="10"/>
        </w:numPr>
      </w:pPr>
      <w:r>
        <w:t>Responsive English and Tamil web interfaces for the initial AI modules and future catalogue extensions.</w:t>
      </w:r>
    </w:p>
    <w:p>
      <w:pPr>
        <w:spacing w:after="80" w:line="300" w:lineRule="auto"/>
        <w:numPr>
          <w:ilvl w:val="0"/>
          <w:numId w:val="10"/>
        </w:numPr>
      </w:pPr>
      <w:r>
        <w:t>OIDC sign-in using Google and Facebook, with extensible provider registration.</w:t>
      </w:r>
    </w:p>
    <w:p>
      <w:pPr>
        <w:spacing w:after="80" w:line="300" w:lineRule="auto"/>
        <w:numPr>
          <w:ilvl w:val="0"/>
          <w:numId w:val="10"/>
        </w:numPr>
      </w:pPr>
      <w:r>
        <w:t>Versioned consent, withdrawal, export and deletion-request workflows.</w:t>
      </w:r>
    </w:p>
    <w:p>
      <w:pPr>
        <w:spacing w:after="80" w:line="300" w:lineRule="auto"/>
        <w:numPr>
          <w:ilvl w:val="0"/>
          <w:numId w:val="10"/>
        </w:numPr>
      </w:pPr>
      <w:r>
        <w:t>Local and approved cloud inference adapters behind stable capability contracts.</w:t>
      </w:r>
    </w:p>
    <w:p>
      <w:pPr>
        <w:spacing w:after="80" w:line="300" w:lineRule="auto"/>
        <w:numPr>
          <w:ilvl w:val="0"/>
          <w:numId w:val="10"/>
        </w:numPr>
      </w:pPr>
      <w:r>
        <w:t>Streaming ASR and chat, asynchronous jobs for long-running OCR and TTS, and retrieval-augmented generation.</w:t>
      </w:r>
    </w:p>
    <w:p>
      <w:pPr>
        <w:spacing w:after="80" w:line="300" w:lineRule="auto"/>
        <w:numPr>
          <w:ilvl w:val="0"/>
          <w:numId w:val="10"/>
        </w:numPr>
      </w:pPr>
      <w:r>
        <w:t>Auditing, telemetry, rate limits, lifecycle enforcement and operational administration.</w:t>
      </w:r>
    </w:p>
    <w:p>
      <w:pPr>
        <w:pStyle w:val="Heading2"/>
        <w:keepNext/>
      </w:pPr>
      <w:r>
        <w:t>1.3 Out of scope for v1.7</w:t>
      </w:r>
    </w:p>
    <w:p>
      <w:pPr>
        <w:spacing w:after="80" w:line="300" w:lineRule="auto"/>
        <w:numPr>
          <w:ilvl w:val="0"/>
          <w:numId w:val="10"/>
        </w:numPr>
      </w:pPr>
      <w:r>
        <w:t>Training foundation models, autonomous agents, model marketplaces or user-supplied executable code.</w:t>
      </w:r>
    </w:p>
    <w:p>
      <w:pPr>
        <w:spacing w:after="80" w:line="300" w:lineRule="auto"/>
        <w:numPr>
          <w:ilvl w:val="0"/>
          <w:numId w:val="10"/>
        </w:numPr>
      </w:pPr>
      <w:r>
        <w:t>Anonymous inference. Every inference operation requires an authenticated user and active consent.</w:t>
      </w:r>
    </w:p>
    <w:p>
      <w:pPr>
        <w:spacing w:after="80" w:line="300" w:lineRule="auto"/>
        <w:numPr>
          <w:ilvl w:val="0"/>
          <w:numId w:val="10"/>
        </w:numPr>
      </w:pPr>
      <w:r>
        <w:t>Automatic transmission of restricted data to an unapproved cloud provider.</w:t>
      </w:r>
    </w:p>
    <w:p>
      <w:pPr>
        <w:spacing w:after="80" w:line="300" w:lineRule="auto"/>
        <w:numPr>
          <w:ilvl w:val="0"/>
          <w:numId w:val="10"/>
        </w:numPr>
      </w:pPr>
      <w:r>
        <w:t>Using user content for model training unless a separate, explicit and revocable opt-in is approved.</w:t>
      </w:r>
    </w:p>
    <w:p>
      <w:pPr>
        <w:spacing w:after="80" w:line="300" w:lineRule="auto"/>
        <w:numPr>
          <w:ilvl w:val="0"/>
          <w:numId w:val="10"/>
        </w:numPr>
      </w:pPr>
      <w:r>
        <w:t>A guarantee of identical output across different providers or model versions.</w:t>
      </w:r>
    </w:p>
    <w:p>
      <w:pPr>
        <w:pStyle w:val="Heading2"/>
        <w:keepNext/>
      </w:pPr>
      <w:r>
        <w:t>1.4 Stakeholders and personas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Persona</w:t>
            </w:r>
          </w:p>
        </w:tc>
        <w:tc>
          <w:tcPr>
            <w:tcW w:type="dxa" w:w="67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Primary responsibility</w:t>
            </w:r>
          </w:p>
        </w:tc>
      </w:tr>
      <w:tr>
        <w:trPr>
          <w:cantSplit/>
        </w:trPr>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Learner or researcher</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Runs experiments, compares outputs and controls whether content may be stored or processed in the cloud.</w:t>
            </w:r>
          </w:p>
        </w:tc>
      </w:tr>
      <w:tr>
        <w:trPr>
          <w:cantSplit/>
        </w:trPr>
        <w:tc>
          <w:tcPr>
            <w:tcW w:type="dxa" w:w="2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Research administrator</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Configures approved models, quotas, projects and data-governance policies.</w:t>
            </w:r>
          </w:p>
        </w:tc>
      </w:tr>
      <w:tr>
        <w:trPr>
          <w:cantSplit/>
        </w:trPr>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Platform operator</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Deploys, monitors, restores and scales the services without accessing raw user content by default.</w:t>
            </w:r>
          </w:p>
        </w:tc>
      </w:tr>
      <w:tr>
        <w:trPr>
          <w:cantSplit/>
        </w:trPr>
        <w:tc>
          <w:tcPr>
            <w:tcW w:type="dxa" w:w="2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Privacy or security reviewer</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Reviews consent evidence, processor configuration, audit events and deletion completion.</w:t>
            </w:r>
          </w:p>
        </w:tc>
      </w:tr>
      <w:tr>
        <w:trPr>
          <w:cantSplit/>
        </w:trPr>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Model service owner</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Publishes a versioned model endpoint, capability declaration, limits and health status.</w:t>
            </w:r>
          </w:p>
        </w:tc>
      </w:tr>
    </w:tbl>
    <w:p>
      <w:pPr>
        <w:spacing w:after="40"/>
      </w:pPr>
    </w:p>
    <w:p>
      <w:pPr>
        <w:pStyle w:val="Heading2"/>
        <w:keepNext/>
      </w:pPr>
      <w:r>
        <w:t>1.5 Product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PRD-001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system SHALL expose OCR, ASR, TTS, chat and headline-generation modules through one authenticated web application.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End-to-end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PRD-002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interface SHALL support en and ta-LK locales, persist the user preference and provide a visible language switch without signing out.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UI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PRD-003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Every result SHALL identify the model, model version, provider class (local or cloud), processing region when applicable and request identifier.</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API/UI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PRD-004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Users SHALL be able to compare local and cloud output only when cloud processing is permitted by policy and expressly selected.</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Policy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PRD-005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Headline generation SHALL use the text-generation capability contract with a versioned headline prompt template; it SHALL NOT be an undefined standalone adapter.</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Contract review</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PRD-006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system SHALL clearly distinguish transient processing from stored project content before submission.</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UX review</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PRD-007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platform SHOULD expose model limitations and supported language/modality metadata before a request is submitted.</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UI/API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Should</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PRD-008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All externally observable product behaviour SHALL be covered by an acceptance criterion mapped to a stable requirement ID.</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Traceability audit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2. Architecture baseline and decisions</w:t>
      </w:r>
    </w:p>
    <w:p>
      <w:pPr>
        <w:pStyle w:val="Heading2"/>
        <w:keepNext/>
      </w:pPr>
      <w:r>
        <w:t>2.1 Binding decisions</w:t>
      </w:r>
    </w:p>
    <w:tbl>
      <w:tblPr>
        <w:tblStyle w:val="TableGrid"/>
        <w:tblW w:type="dxa" w:w="9360"/>
        <w:jc w:val="left"/>
        <w:tblLayout w:type="fixed"/>
        <w:tblLook w:firstColumn="1" w:firstRow="1" w:lastColumn="0" w:lastRow="0" w:noHBand="0" w:noVBand="1" w:val="04A0"/>
        <w:tblInd w:w="120" w:type="dxa"/>
      </w:tblPr>
      <w:tblGrid>
        <w:gridCol w:w="1300"/>
        <w:gridCol w:w="1700"/>
        <w:gridCol w:w="6360"/>
      </w:tblGrid>
      <w:tr>
        <w:trPr>
          <w:tblHeader w:val="true"/>
          <w:cantSplit/>
        </w:trPr>
        <w:tc>
          <w:tcPr>
            <w:tcW w:type="dxa" w:w="13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Decision</w:t>
            </w:r>
          </w:p>
        </w:tc>
        <w:tc>
          <w:tcPr>
            <w:tcW w:type="dxa" w:w="17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Topic</w:t>
            </w:r>
          </w:p>
        </w:tc>
        <w:tc>
          <w:tcPr>
            <w:tcW w:type="dxa" w:w="63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Binding position</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ADR-001</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Gateway</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FastAPI is the only public API and identity authority. The earlier “FastAPI / Node.js” choice is removed.</w:t>
            </w:r>
          </w:p>
        </w:tc>
      </w:tr>
      <w:tr>
        <w:trPr>
          <w:cantSplit/>
        </w:trPr>
        <w:tc>
          <w:tcPr>
            <w:tcW w:type="dxa" w:w="13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ADR-002</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Web application</w:t>
            </w:r>
          </w:p>
        </w:tc>
        <w:tc>
          <w:tcPr>
            <w:tcW w:type="dxa" w:w="6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Next.js renders the UI and communicates with the Gateway through a same-origin reverse proxy. It does not issue identity tokens.</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ADR-003</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Authentication</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Gateway owns OIDC Authorization Code + PKCE, account linking, server-side sessions and logout.</w:t>
            </w:r>
          </w:p>
        </w:tc>
      </w:tr>
      <w:tr>
        <w:trPr>
          <w:cantSplit/>
        </w:trPr>
        <w:tc>
          <w:tcPr>
            <w:tcW w:type="dxa" w:w="13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ADR-004</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Authoritative data</w:t>
            </w:r>
          </w:p>
        </w:tc>
        <w:tc>
          <w:tcPr>
            <w:tcW w:type="dxa" w:w="6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PostgreSQL is the system of record for identity, consent, jobs, audit evidence and deletion requests.</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ADR-005</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Redis boundary</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Redis contains expendable cache, rate-limit counters and live-session hints only; loss of Redis cannot lose consent, audit or deletion commands.</w:t>
            </w:r>
          </w:p>
        </w:tc>
      </w:tr>
      <w:tr>
        <w:trPr>
          <w:cantSplit/>
        </w:trPr>
        <w:tc>
          <w:tcPr>
            <w:tcW w:type="dxa" w:w="13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ADR-006</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Inference routing</w:t>
            </w:r>
          </w:p>
        </w:tc>
        <w:tc>
          <w:tcPr>
            <w:tcW w:type="dxa" w:w="6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Routing is capability- and policy-driven. Cloud fallback is never silent and mid-stream ASR provider switching is prohibited.</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ADR-007</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Durable work</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PostgreSQL transactional outbox and idempotent workers handle audit, deletion and indexing. A dedicated broker may be introduced only after measured scale requires it.</w:t>
            </w:r>
          </w:p>
        </w:tc>
      </w:tr>
      <w:tr>
        <w:trPr>
          <w:cantSplit/>
        </w:trPr>
        <w:tc>
          <w:tcPr>
            <w:tcW w:type="dxa" w:w="13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ADR-008</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Artifact storage</w:t>
            </w:r>
          </w:p>
        </w:tc>
        <w:tc>
          <w:tcPr>
            <w:tcW w:type="dxa" w:w="6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Binary inputs and outputs use encrypted S3-compatible object storage with lifecycle controls; database rows store metadata and opaque object keys.</w:t>
            </w:r>
          </w:p>
        </w:tc>
      </w:tr>
      <w:tr>
        <w:trPr>
          <w:cantSplit/>
        </w:trPr>
        <w:tc>
          <w:tcPr>
            <w:tcW w:type="dxa" w:w="1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ADR-009</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RAG</w:t>
            </w:r>
          </w:p>
        </w:tc>
        <w:tc>
          <w:tcPr>
            <w:tcW w:type="dxa" w:w="6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Each embedding collection is bound to one model and dimension. Model changes create a new collection and controlled re-indexing process.</w:t>
            </w:r>
          </w:p>
        </w:tc>
      </w:tr>
      <w:tr>
        <w:trPr>
          <w:cantSplit/>
        </w:trPr>
        <w:tc>
          <w:tcPr>
            <w:tcW w:type="dxa" w:w="13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ADR-010</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Deployment</w:t>
            </w:r>
          </w:p>
        </w:tc>
        <w:tc>
          <w:tcPr>
            <w:tcW w:type="dxa" w:w="6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Containerised services run behind a TLS-terminating load balancer. Production uses at least two Gateway replicas and controlled WebSocket draining.</w:t>
            </w:r>
          </w:p>
        </w:tc>
      </w:tr>
    </w:tbl>
    <w:p>
      <w:pPr>
        <w:spacing w:after="40"/>
      </w:pPr>
    </w:p>
    <w:p>
      <w:pPr>
        <w:pStyle w:val="Heading2"/>
        <w:keepNext/>
      </w:pPr>
      <w:r>
        <w:t>2.2 Logical architecture</w:t>
      </w:r>
    </w:p>
    <w:p>
      <w:pPr>
        <w:jc w:val="center"/>
      </w:pPr>
      <w:r>
        <w:drawing>
          <wp:inline xmlns:a="http://schemas.openxmlformats.org/drawingml/2006/main" xmlns:pic="http://schemas.openxmlformats.org/drawingml/2006/picture">
            <wp:extent cx="5897880" cy="3538728"/>
            <wp:docPr id="1" name="Picture 1" title="Logical architecture" descr="Browser accesses a FastAPI Gateway. PostgreSQL holds durable records; Redis holds ephemeral state; workers manage background tasks; a provider policy controls access to local and cloud model services."/>
            <wp:cNvGraphicFramePr>
              <a:graphicFrameLocks noChangeAspect="1"/>
            </wp:cNvGraphicFramePr>
            <a:graphic>
              <a:graphicData uri="http://schemas.openxmlformats.org/drawingml/2006/picture">
                <pic:pic>
                  <pic:nvPicPr>
                    <pic:cNvPr id="0" name="v16_architecture.png"/>
                    <pic:cNvPicPr/>
                  </pic:nvPicPr>
                  <pic:blipFill>
                    <a:blip r:embed="rId11"/>
                    <a:stretch>
                      <a:fillRect/>
                    </a:stretch>
                  </pic:blipFill>
                  <pic:spPr>
                    <a:xfrm>
                      <a:off x="0" y="0"/>
                      <a:ext cx="5897880" cy="3538728"/>
                    </a:xfrm>
                    <a:prstGeom prst="rect"/>
                  </pic:spPr>
                </pic:pic>
              </a:graphicData>
            </a:graphic>
          </wp:inline>
        </w:drawing>
      </w:r>
    </w:p>
    <w:p>
      <w:pPr>
        <w:spacing w:after="160"/>
        <w:jc w:val="center"/>
      </w:pPr>
      <w:r>
        <w:rPr>
          <w:rFonts w:ascii="Calibri" w:hAnsi="Calibri" w:eastAsia="Calibri" w:cs="Calibri"/>
          <w:i/>
          <w:color w:val="667085"/>
          <w:sz w:val="18"/>
        </w:rPr>
        <w:t>Figure 1. Logical architecture and trust boundaries</w:t>
      </w:r>
    </w:p>
    <w:p>
      <w:pPr>
        <w:pStyle w:val="Heading2"/>
        <w:keepNext/>
      </w:pPr>
      <w:r>
        <w:t>2.3 Component responsibilities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Component</w:t>
            </w:r>
          </w:p>
        </w:tc>
        <w:tc>
          <w:tcPr>
            <w:tcW w:type="dxa" w:w="70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Responsibility boundary</w:t>
            </w:r>
          </w:p>
        </w:tc>
      </w:tr>
      <w:tr>
        <w:trPr>
          <w:cantSplit/>
        </w:trPr>
        <w:tc>
          <w:tcPr>
            <w:tcW w:type="dxa" w:w="2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Next.js UI</w:t>
            </w:r>
          </w:p>
        </w:tc>
        <w:tc>
          <w:tcPr>
            <w:tcW w:type="dxa" w:w="7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Presentation, locale selection, accessibility, upload preparation and result visualisation. It never receives provider secrets.</w:t>
            </w:r>
          </w:p>
        </w:tc>
      </w:tr>
      <w:tr>
        <w:trPr>
          <w:cantSplit/>
        </w:trPr>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FastAPI Gateway</w:t>
            </w:r>
          </w:p>
        </w:tc>
        <w:tc>
          <w:tcPr>
            <w:tcW w:type="dxa" w:w="7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OIDC, sessions, CSRF, consent enforcement, validation, authorisation, provider policy, job orchestration and API contracts.</w:t>
            </w:r>
          </w:p>
        </w:tc>
      </w:tr>
      <w:tr>
        <w:trPr>
          <w:cantSplit/>
        </w:trPr>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Model services</w:t>
            </w:r>
          </w:p>
        </w:tc>
        <w:tc>
          <w:tcPr>
            <w:tcW w:type="dxa" w:w="7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Versioned inference capabilities on a private service network. They do not make consent or cloud-routing decisions.</w:t>
            </w:r>
          </w:p>
        </w:tc>
      </w:tr>
      <w:tr>
        <w:trPr>
          <w:cantSplit/>
        </w:trPr>
        <w:tc>
          <w:tcPr>
            <w:tcW w:type="dxa" w:w="23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PostgreSQL</w:t>
            </w:r>
          </w:p>
        </w:tc>
        <w:tc>
          <w:tcPr>
            <w:tcW w:type="dxa" w:w="7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Durable source of truth, transactional outbox, monthly audit partitions and point-in-time recovery.</w:t>
            </w:r>
          </w:p>
        </w:tc>
      </w:tr>
      <w:tr>
        <w:trPr>
          <w:cantSplit/>
        </w:trPr>
        <w:tc>
          <w:tcPr>
            <w:tcW w:type="dxa" w:w="2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Redis</w:t>
            </w:r>
          </w:p>
        </w:tc>
        <w:tc>
          <w:tcPr>
            <w:tcW w:type="dxa" w:w="7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Rate limits, bounded caches, presence/connection hints and circuit-breaker hints with explicit TTLs.</w:t>
            </w:r>
          </w:p>
        </w:tc>
      </w:tr>
      <w:tr>
        <w:trPr>
          <w:cantSplit/>
        </w:trPr>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Object storage</w:t>
            </w:r>
          </w:p>
        </w:tc>
        <w:tc>
          <w:tcPr>
            <w:tcW w:type="dxa" w:w="7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Encrypted, private buckets for consented artifacts; versioning and lifecycle policies are environment-specific.</w:t>
            </w:r>
          </w:p>
        </w:tc>
      </w:tr>
      <w:tr>
        <w:trPr>
          <w:cantSplit/>
        </w:trPr>
        <w:tc>
          <w:tcPr>
            <w:tcW w:type="dxa" w:w="2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Workers</w:t>
            </w:r>
          </w:p>
        </w:tc>
        <w:tc>
          <w:tcPr>
            <w:tcW w:type="dxa" w:w="7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Claim durable tasks, enforce idempotency, purge data, index RAG content and record outcomes.</w:t>
            </w:r>
          </w:p>
        </w:tc>
      </w:tr>
      <w:tr>
        <w:trPr>
          <w:cantSplit/>
        </w:trPr>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Observability stack</w:t>
            </w:r>
          </w:p>
        </w:tc>
        <w:tc>
          <w:tcPr>
            <w:tcW w:type="dxa" w:w="7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OpenTelemetry collection, metrics, traces and redacted operational logs separated from the compliance audit trail.</w:t>
            </w:r>
          </w:p>
        </w:tc>
      </w:tr>
    </w:tbl>
    <w:p>
      <w:pPr>
        <w:spacing w:after="40"/>
      </w:pPr>
    </w:p>
    <w:p>
      <w:pPr>
        <w:pStyle w:val="Heading2"/>
        <w:keepNext/>
      </w:pPr>
      <w:r>
        <w:t>2.4 Architecture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ARC-001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Only the FastAPI Gateway SHALL be reachable from the public ingress for API and WebSocket traffic.</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Network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ARC-002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Model services, PostgreSQL, Redis and worker control endpoints SHALL be reachable only through private network policy.</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Network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ARC-003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Every synchronous request and asynchronous job SHALL propagate request_id and trace_id values.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Trace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ARC-004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No durable command SHALL depend exclusively on Redis acknowledgement or Redis replication.</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Failure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ARC-005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All component-to-component contracts SHALL be versioned and backward compatible for at least one deployed release.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Contract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ARC-006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platform SHALL reject startup when required configuration is missing, malformed or references an unapproved provider.</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Startup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ARC-007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Architecture changes affecting identity, data location, retention or provider routing SHALL require an approved ADR and threat/privacy review.</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Governance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3. Identity, session and access management</w:t>
      </w:r>
    </w:p>
    <w:p>
      <w:pPr>
        <w:pStyle w:val="Heading2"/>
        <w:keepNext/>
      </w:pPr>
      <w:r>
        <w:t>3.1 Sign-in flow</w:t>
      </w:r>
    </w:p>
    <w:p>
      <w:pPr>
        <w:spacing w:after="80" w:line="300" w:lineRule="auto"/>
        <w:numPr>
          <w:ilvl w:val="0"/>
          <w:numId w:val="11"/>
        </w:numPr>
      </w:pPr>
      <w:r>
        <w:t>The browser requests /api/v1/auth/login/{provider}.</w:t>
      </w:r>
    </w:p>
    <w:p>
      <w:pPr>
        <w:spacing w:after="80" w:line="300" w:lineRule="auto"/>
        <w:numPr>
          <w:ilvl w:val="0"/>
          <w:numId w:val="11"/>
        </w:numPr>
      </w:pPr>
      <w:r>
        <w:t>The Gateway generates state, nonce and PKCE values and redirects to the configured OIDC provider.</w:t>
      </w:r>
    </w:p>
    <w:p>
      <w:pPr>
        <w:spacing w:after="80" w:line="300" w:lineRule="auto"/>
        <w:numPr>
          <w:ilvl w:val="0"/>
          <w:numId w:val="11"/>
        </w:numPr>
      </w:pPr>
      <w:r>
        <w:t>The provider returns an authorisation code to the Gateway callback. The Gateway validates state, nonce, issuer, audience and the provider signature before exchanging the code.</w:t>
      </w:r>
    </w:p>
    <w:p>
      <w:pPr>
        <w:spacing w:after="80" w:line="300" w:lineRule="auto"/>
        <w:numPr>
          <w:ilvl w:val="0"/>
          <w:numId w:val="11"/>
        </w:numPr>
      </w:pPr>
      <w:r>
        <w:t>The Gateway resolves the identity by (provider, subject), applies the approved account-linking policy and creates a server-side session.</w:t>
      </w:r>
    </w:p>
    <w:p>
      <w:pPr>
        <w:spacing w:after="80" w:line="300" w:lineRule="auto"/>
        <w:numPr>
          <w:ilvl w:val="0"/>
          <w:numId w:val="11"/>
        </w:numPr>
      </w:pPr>
      <w:r>
        <w:t>The browser receives only a Secure, HttpOnly, SameSite=Lax session cookie. Third-party access or refresh tokens are never returned to browser JavaScript.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CE8E6"/>
            <w:tcMar>
              <w:top w:w="80" w:type="dxa"/>
              <w:bottom w:w="80" w:type="dxa"/>
              <w:start w:w="120" w:type="dxa"/>
              <w:end w:w="120" w:type="dxa"/>
            </w:tcMar>
            <w:vAlign w:val="center"/>
          </w:tcPr>
          <w:p>
            <w:pPr>
              <w:spacing w:after="60"/>
            </w:pPr>
            <w:r/>
            <w:r>
              <w:rPr>
                <w:rFonts w:ascii="Calibri" w:hAnsi="Calibri" w:eastAsia="Calibri" w:cs="Calibri"/>
                <w:b/>
                <w:color w:val="9B1C1C"/>
                <w:sz w:val="21"/>
              </w:rPr>
              <w:t>REMOVED FROM v1.2</w:t>
            </w:r>
          </w:p>
          <w:p>
            <w:pPr>
              <w:spacing w:after="0" w:line="269" w:lineRule="auto"/>
            </w:pPr>
            <w:r>
              <w:rPr>
                <w:rFonts w:ascii="Calibri" w:hAnsi="Calibri" w:eastAsia="Calibri" w:cs="Calibri"/>
                <w:color w:val="202124"/>
                <w:sz w:val="19"/>
              </w:rPr>
              <w:t>The browser no longer posts a Google or Facebook OAuth token to /auth/sso. The specification also removes split ownership between NextAuth and the Gateway.</w:t>
            </w:r>
          </w:p>
        </w:tc>
      </w:tr>
    </w:tbl>
    <w:p>
      <w:pPr>
        <w:spacing w:after="40"/>
      </w:pPr>
    </w:p>
    <w:p>
      <w:pPr>
        <w:pStyle w:val="Heading2"/>
        <w:keepNext/>
      </w:pPr>
      <w:r>
        <w:t>3.2 Session and WebSocket policy</w:t>
      </w:r>
    </w:p>
    <w:p>
      <w:pPr>
        <w:keepNext w:val="0"/>
      </w:pPr>
      <w:r>
        <w:rPr>
          <w:rFonts w:ascii="Calibri" w:hAnsi="Calibri" w:eastAsia="Calibri" w:cs="Calibri"/>
          <w:i w:val="0"/>
          <w:color w:val="202124"/>
          <w:sz w:val="22"/>
        </w:rPr>
        <w:t>Browser HTTP and WebSocket traffic uses the same-origin session cookie. The Gateway validates the Origin header during WebSocket upgrade and periodically rechecks the server-side session and consent state. There is no JavaScript-accessible bearer token and no token in a URL or WebSocket subprotocol.</w:t>
      </w:r>
    </w:p>
    <w:p>
      <w:pPr>
        <w:keepNext w:val="0"/>
      </w:pPr>
      <w:r>
        <w:rPr>
          <w:rFonts w:ascii="Calibri" w:hAnsi="Calibri" w:eastAsia="Calibri" w:cs="Calibri"/>
          <w:i w:val="0"/>
          <w:color w:val="202124"/>
          <w:sz w:val="22"/>
        </w:rPr>
        <w:t>Long-lived connections receive a session_expiring control message containing connection_id, expires_at and refresh_deadline. The browser renews the rolling server-side session through CSRF-protected POST /auth/session/refresh over HTTPS. After a 204 response, it sends {"type":"session_refresh","connection_id":"..."} on the socket; this message contains no credential and only requests immediate server-side revalidation. The Gateway replies session_refreshed with the new expiry. Audio sequencing, decoder state and provider context remain intact when renewal succeeds before the deadline.</w:t>
      </w:r>
    </w:p>
    <w:p>
      <w:pPr>
        <w:keepNext w:val="0"/>
      </w:pPr>
      <w:r>
        <w:rPr>
          <w:rFonts w:ascii="Calibri" w:hAnsi="Calibri" w:eastAsia="Calibri" w:cs="Calibri"/>
          <w:i w:val="0"/>
          <w:color w:val="202124"/>
          <w:sz w:val="22"/>
        </w:rPr>
        <w:t>The Gateway also revalidates the server-side session and consent on a bounded interval, so the control message is an optimisation rather than an authority. Absolute expiry, logout, account suspension, role removal or failed revalidation closes the connection with 4401; consent withdrawal closes it with 4403. No in-band message may extend an absolute timeout or revive a revoked session.</w:t>
      </w:r>
    </w:p>
    <w:p>
      <w:pPr>
        <w:pStyle w:val="Heading2"/>
        <w:keepNext/>
      </w:pPr>
      <w:r>
        <w:t>3.3 Roles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Role</w:t>
            </w:r>
          </w:p>
        </w:tc>
        <w:tc>
          <w:tcPr>
            <w:tcW w:type="dxa" w:w="71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Permitted responsibility</w:t>
            </w:r>
          </w:p>
        </w:tc>
      </w:tr>
      <w:tr>
        <w:trPr>
          <w:cantSplit/>
        </w:trPr>
        <w:tc>
          <w:tcPr>
            <w:tcW w:type="dxa" w:w="2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user</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Run authorised inference, manage own consent, data and deletion requests.</w:t>
            </w:r>
          </w:p>
        </w:tc>
      </w:tr>
      <w:tr>
        <w:trPr>
          <w:cantSplit/>
        </w:trPr>
        <w:tc>
          <w:tcPr>
            <w:tcW w:type="dxa" w:w="2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project_admin</w:t>
            </w:r>
          </w:p>
        </w:tc>
        <w:tc>
          <w:tcPr>
            <w:tcW w:type="dxa" w:w="7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Manage project membership, quotas and project-scoped provider policy.</w:t>
            </w:r>
          </w:p>
        </w:tc>
      </w:tr>
      <w:tr>
        <w:trPr>
          <w:cantSplit/>
        </w:trP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model_operator</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Register model deployments and view operational health without raw content access.</w:t>
            </w:r>
          </w:p>
        </w:tc>
      </w:tr>
      <w:tr>
        <w:trPr>
          <w:cantSplit/>
        </w:trPr>
        <w:tc>
          <w:tcPr>
            <w:tcW w:type="dxa" w:w="2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privacy_reviewer</w:t>
            </w:r>
          </w:p>
        </w:tc>
        <w:tc>
          <w:tcPr>
            <w:tcW w:type="dxa" w:w="7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Review consent and deletion evidence; raw content requires separate time-bound approval.</w:t>
            </w:r>
          </w:p>
        </w:tc>
      </w:tr>
      <w:tr>
        <w:trPr>
          <w:cantSplit/>
        </w:trP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platform_admin</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Manage system configuration and roles; cannot silently impersonate users.</w:t>
            </w:r>
          </w:p>
        </w:tc>
      </w:tr>
      <w:tr>
        <w:trPr>
          <w:cantSplit/>
        </w:trPr>
        <w:tc>
          <w:tcPr>
            <w:tcW w:type="dxa" w:w="2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auditor</w:t>
            </w:r>
          </w:p>
        </w:tc>
        <w:tc>
          <w:tcPr>
            <w:tcW w:type="dxa" w:w="7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Read immutable audit evidence through a filtered, exportable view.</w:t>
            </w:r>
          </w:p>
        </w:tc>
      </w:tr>
    </w:tbl>
    <w:p>
      <w:pPr>
        <w:spacing w:after="40"/>
      </w:pPr>
    </w:p>
    <w:p>
      <w:pPr>
        <w:pStyle w:val="Heading2"/>
        <w:keepNext/>
      </w:pPr>
      <w:r>
        <w:t>3.4 Identity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IAM-001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OIDC SHALL use Authorization Code with PKCE, state and nonce validation.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Security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IAM-002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Identity lookup SHALL use the provider issuer and subject; email SHALL NOT be the primary external identity key.</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Data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IAM-003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Account linking SHALL require a verified email and explicit confirmation from an already authenticated account, or administrator review.</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Abuse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IAM-004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Session cookies SHALL be Secure, HttpOnly, Path=/ and SameSite=Lax; production cookies SHALL use the __Host- prefix.</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Header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IAM-005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State-changing HTTP operations SHALL require a CSRF token bound to the session.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Security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IAM-006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Idle and absolute session timeouts SHALL be configurable; initial defaults are 30 minutes idle and 12 hours absolute.</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Session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IAM-007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Logout, role removal, account suspension and consent withdrawal SHALL invalidate active sessions within 60 seconds.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Revocation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IAM-008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Administrative operations SHALL require least-privilege RBAC and step-up authentication where the identity provider supports it.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Access review</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IAM-009</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successful rolling session refresh SHALL preserve the active WebSocket and model context without carrying an access token or refresh token in any WebSocket message.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Continuity/security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4. Consent, privacy and data governance</w:t>
      </w:r>
    </w:p>
    <w:p>
      <w:pPr>
        <w:pStyle w:val="Heading2"/>
        <w:keepNext/>
      </w:pPr>
      <w:r>
        <w:t>4.1 Consent model</w:t>
      </w:r>
    </w:p>
    <w:p>
      <w:pPr>
        <w:keepNext w:val="0"/>
      </w:pPr>
      <w:r>
        <w:rPr>
          <w:rFonts w:ascii="Calibri" w:hAnsi="Calibri" w:eastAsia="Calibri" w:cs="Calibri"/>
          <w:i w:val="0"/>
          <w:color w:val="202124"/>
          <w:sz w:val="22"/>
        </w:rPr>
        <w:t>Consent is a versioned legal record, not a Boolean user attribute. Each acceptance references the exact terms and privacy-document versions, locale and content hashes presented to the user. A withdrawal closes the active consent record and starts a durable deletion workflow.</w:t>
      </w:r>
    </w:p>
    <w:p>
      <w:pPr>
        <w:keepNext w:val="0"/>
      </w:pPr>
      <w:r>
        <w:rPr>
          <w:rFonts w:ascii="Calibri" w:hAnsi="Calibri" w:eastAsia="Calibri" w:cs="Calibri"/>
          <w:i w:val="0"/>
          <w:color w:val="202124"/>
          <w:sz w:val="22"/>
        </w:rPr>
        <w:t>The following routes are available before active consent: login/callback, session status, current consent documents, consent status, consent acceptance, logout and public service health. All inference and project-content routes require active consent.</w:t>
      </w:r>
    </w:p>
    <w:p>
      <w:pPr>
        <w:pStyle w:val="Heading2"/>
        <w:keepNext/>
      </w:pPr>
      <w:r>
        <w:t>4.2 Data classes and provisional retention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5D6"/>
            <w:tcMar>
              <w:top w:w="80" w:type="dxa"/>
              <w:bottom w:w="80" w:type="dxa"/>
              <w:start w:w="120" w:type="dxa"/>
              <w:end w:w="120" w:type="dxa"/>
            </w:tcMar>
            <w:vAlign w:val="center"/>
          </w:tcPr>
          <w:p>
            <w:pPr>
              <w:spacing w:after="60"/>
            </w:pPr>
            <w:r/>
            <w:r>
              <w:rPr>
                <w:rFonts w:ascii="Calibri" w:hAnsi="Calibri" w:eastAsia="Calibri" w:cs="Calibri"/>
                <w:b/>
                <w:color w:val="16324F"/>
                <w:sz w:val="21"/>
              </w:rPr>
              <w:t>POLICY NOTE</w:t>
            </w:r>
          </w:p>
          <w:p>
            <w:pPr>
              <w:spacing w:after="0" w:line="269" w:lineRule="auto"/>
            </w:pPr>
            <w:r>
              <w:rPr>
                <w:rFonts w:ascii="Calibri" w:hAnsi="Calibri" w:eastAsia="Calibri" w:cs="Calibri"/>
                <w:color w:val="202124"/>
                <w:sz w:val="19"/>
              </w:rPr>
              <w:t>The periods below are safe engineering defaults for the pilot, not legal advice. The Data Protection Officer or authorised legal reviewer must approve the final schedule before production.</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500"/>
        <w:gridCol w:w="2400"/>
        <w:gridCol w:w="2300"/>
        <w:gridCol w:w="3160"/>
      </w:tblGrid>
      <w:tr>
        <w:trPr>
          <w:tblHeader w:val="true"/>
          <w:cantSplit/>
        </w:trPr>
        <w:tc>
          <w:tcPr>
            <w:tcW w:type="dxa" w:w="15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Class</w:t>
            </w:r>
          </w:p>
        </w:tc>
        <w:tc>
          <w:tcPr>
            <w:tcW w:type="dxa" w:w="24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Examples</w:t>
            </w:r>
          </w:p>
        </w:tc>
        <w:tc>
          <w:tcPr>
            <w:tcW w:type="dxa" w:w="23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Default retention</w:t>
            </w:r>
          </w:p>
        </w:tc>
        <w:tc>
          <w:tcPr>
            <w:tcW w:type="dxa" w:w="31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Processing boundary</w:t>
            </w:r>
          </w:p>
        </w:tc>
      </w:tr>
      <w:tr>
        <w:trPr>
          <w:cantSplit/>
        </w:trPr>
        <w:tc>
          <w:tcPr>
            <w:tcW w:type="dxa" w:w="15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D0 Public</w:t>
            </w:r>
          </w:p>
        </w:tc>
        <w:tc>
          <w:tcPr>
            <w:tcW w:type="dxa" w:w="2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Model metadata, public help</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Release lifetime</w:t>
            </w:r>
          </w:p>
        </w:tc>
        <w:tc>
          <w:tcPr>
            <w:tcW w:type="dxa" w:w="3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May use approved public cloud</w:t>
            </w:r>
          </w:p>
        </w:tc>
      </w:tr>
      <w:tr>
        <w:trPr>
          <w:cantSplit/>
        </w:trPr>
        <w:tc>
          <w:tcPr>
            <w:tcW w:type="dxa" w:w="15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D1 Account</w:t>
            </w:r>
          </w:p>
        </w:tc>
        <w:tc>
          <w:tcPr>
            <w:tcW w:type="dxa" w:w="2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Name, email, external identity subject</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Account life + 30 days</w:t>
            </w:r>
          </w:p>
        </w:tc>
        <w:tc>
          <w:tcPr>
            <w:tcW w:type="dxa" w:w="3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Approved identity provider only</w:t>
            </w:r>
          </w:p>
        </w:tc>
      </w:tr>
      <w:tr>
        <w:trPr>
          <w:cantSplit/>
        </w:trPr>
        <w:tc>
          <w:tcPr>
            <w:tcW w:type="dxa" w:w="15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D2 User content</w:t>
            </w:r>
          </w:p>
        </w:tc>
        <w:tc>
          <w:tcPr>
            <w:tcW w:type="dxa" w:w="2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Prompt, image, audio, generated output</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Memory-only unless Save is selected; saved content defaults to 30 days</w:t>
            </w:r>
          </w:p>
        </w:tc>
        <w:tc>
          <w:tcPr>
            <w:tcW w:type="dxa" w:w="3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Local by default; cloud requires explicit policy and choice</w:t>
            </w:r>
          </w:p>
        </w:tc>
      </w:tr>
      <w:tr>
        <w:trPr>
          <w:cantSplit/>
        </w:trPr>
        <w:tc>
          <w:tcPr>
            <w:tcW w:type="dxa" w:w="15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D3 Restricted</w:t>
            </w:r>
          </w:p>
        </w:tc>
        <w:tc>
          <w:tcPr>
            <w:tcW w:type="dxa" w:w="2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Sensitive research, unpublished or personal datasets</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Project policy; shortest feasible period</w:t>
            </w:r>
          </w:p>
        </w:tc>
        <w:tc>
          <w:tcPr>
            <w:tcW w:type="dxa" w:w="3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Cloud denied unless provider, region and purpose are specifically approved</w:t>
            </w:r>
          </w:p>
        </w:tc>
      </w:tr>
      <w:tr>
        <w:trPr>
          <w:cantSplit/>
        </w:trPr>
        <w:tc>
          <w:tcPr>
            <w:tcW w:type="dxa" w:w="15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D4 Security</w:t>
            </w:r>
          </w:p>
        </w:tc>
        <w:tc>
          <w:tcPr>
            <w:tcW w:type="dxa" w:w="2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metadata, request IDs, administrative actions</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12 months pilot default</w:t>
            </w:r>
          </w:p>
        </w:tc>
        <w:tc>
          <w:tcPr>
            <w:tcW w:type="dxa" w:w="3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No raw content; approved observability systems only</w:t>
            </w:r>
          </w:p>
        </w:tc>
      </w:tr>
      <w:tr>
        <w:trPr>
          <w:cantSplit/>
        </w:trPr>
        <w:tc>
          <w:tcPr>
            <w:tcW w:type="dxa" w:w="15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D5 Consent evidence</w:t>
            </w:r>
          </w:p>
        </w:tc>
        <w:tc>
          <w:tcPr>
            <w:tcW w:type="dxa" w:w="2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Accepted document versions and withdrawal evidence</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Seven-year provisional default</w:t>
            </w:r>
          </w:p>
        </w:tc>
        <w:tc>
          <w:tcPr>
            <w:tcW w:type="dxa" w:w="3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Authorised privacy/audit access only</w:t>
            </w:r>
          </w:p>
        </w:tc>
      </w:tr>
    </w:tbl>
    <w:p>
      <w:pPr>
        <w:spacing w:after="40"/>
      </w:pPr>
    </w:p>
    <w:p>
      <w:pPr>
        <w:pStyle w:val="Heading2"/>
        <w:keepNext/>
      </w:pPr>
      <w:r>
        <w:t>4.3 User rights and lifecycle</w:t>
      </w:r>
    </w:p>
    <w:p>
      <w:pPr>
        <w:spacing w:after="80" w:line="300" w:lineRule="auto"/>
        <w:numPr>
          <w:ilvl w:val="0"/>
          <w:numId w:val="10"/>
        </w:numPr>
      </w:pPr>
      <w:r>
        <w:t>View the current consent state and the legal-document versions previously accepted.</w:t>
      </w:r>
    </w:p>
    <w:p>
      <w:pPr>
        <w:spacing w:after="80" w:line="300" w:lineRule="auto"/>
        <w:numPr>
          <w:ilvl w:val="0"/>
          <w:numId w:val="10"/>
        </w:numPr>
      </w:pPr>
      <w:r>
        <w:t>Export account, consent, project metadata and stored content in a machine-readable package.</w:t>
      </w:r>
    </w:p>
    <w:p>
      <w:pPr>
        <w:spacing w:after="80" w:line="300" w:lineRule="auto"/>
        <w:numPr>
          <w:ilvl w:val="0"/>
          <w:numId w:val="10"/>
        </w:numPr>
      </w:pPr>
      <w:r>
        <w:t>Withdraw consent without being forced to delete the external identity immediately.</w:t>
      </w:r>
    </w:p>
    <w:p>
      <w:pPr>
        <w:spacing w:after="80" w:line="300" w:lineRule="auto"/>
        <w:numPr>
          <w:ilvl w:val="0"/>
          <w:numId w:val="10"/>
        </w:numPr>
      </w:pPr>
      <w:r>
        <w:t>Request account deletion and track the deletion request to completion.</w:t>
      </w:r>
    </w:p>
    <w:p>
      <w:pPr>
        <w:spacing w:after="80" w:line="300" w:lineRule="auto"/>
        <w:numPr>
          <w:ilvl w:val="0"/>
          <w:numId w:val="10"/>
        </w:numPr>
      </w:pPr>
      <w:r>
        <w:t>Re-consent later as a new consent record; previously deleted data is not restored.</w:t>
      </w:r>
    </w:p>
    <w:p>
      <w:pPr>
        <w:pStyle w:val="Heading2"/>
        <w:keepNext/>
      </w:pPr>
      <w:r>
        <w:t>4.4 Privacy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Inference routes SHALL deny access when no active consent record exists; acceptance, status, withdrawal and legal-document routes SHALL remain reachable.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Authorisation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Stored artifacts and inference records SHALL reference the exact consent_id that authorised collection or processing.</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Referential audit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Raw prompts, images, audio and model outputs SHALL NOT appear in application logs, audit metadata or traces.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Log scan</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Cloud processing SHALL record the provider, region, purpose, policy decision and user choice.</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UI SHALL present purpose, data categories, storage period, cloud-processing policy and withdrawal consequences before consent.</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UX/legal review</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withdrawal SHALL block new inference and persistent writes immediately and create a durable deletion_request in the same database transaction.</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Concurrency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Primary and derived data SHALL be purged within 24 hours of withdrawal unless a documented legal hold applies.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Deletion drill</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Backups SHALL expire within 35 days; restoration procedures SHALL reapply deletion tombstones before restored data becomes accessible.</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Restore drill</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PRV-009</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Model-training use SHALL require a separate opt-in consent purpose and SHALL remain disabled by default.</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Configuration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PRV-010</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Data Protection Impact Assessment and processor/data-transfer review SHALL be approved before production cloud processing.</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Go-live review</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PRV-011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Before Phase 0 exits, the organisation SHALL identify the accountable Data Protection Officer or authorised privacy lead and open a DPIA record containing scope, purposes, data map, data subjects, processors/regions, retention, initial risks, actions, owner and approval schedule.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Phase 0 gate review</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2"/>
        <w:keepNext/>
      </w:pPr>
      <w:r>
        <w:t>4.5 Phase 0 privacy gate</w:t>
      </w:r>
    </w:p>
    <w:p>
      <w:pPr>
        <w:keepNext w:val="0"/>
      </w:pPr>
      <w:r>
        <w:rPr>
          <w:rFonts w:ascii="Calibri" w:hAnsi="Calibri" w:eastAsia="Calibri" w:cs="Calibri"/>
          <w:i w:val="0"/>
          <w:color w:val="202124"/>
          <w:sz w:val="22"/>
        </w:rPr>
        <w:t>The DPIA is initiated during architecture definition, not deferred to production hardening. Phase 0 cannot exit without a named privacy owner, DPIA identifier, initial data-flow map, cloud processor inventory, cross-border transfer questions, consultation plan and dated closure actions. Provider prototyping may use synthetic D0 data in an isolated environment, but no production-like D2/D3 cloud processing or real-user pilot begins before the relevant policy and legal review are approved. PRV-011 controls initiation; PRV-010 remains the production approval gate.</w:t>
      </w:r>
    </w:p>
    <w:p>
      <w:pPr>
        <w:pStyle w:val="Heading1"/>
        <w:keepNext/>
      </w:pPr>
      <w:r>
        <w:t>5. Model providers, routing and failure semantics</w:t>
      </w:r>
    </w:p>
    <w:p>
      <w:pPr>
        <w:pStyle w:val="Heading2"/>
        <w:keepNext/>
      </w:pPr>
      <w:r>
        <w:t>5.1 Capability contract</w:t>
      </w:r>
    </w:p>
    <w:p>
      <w:pPr>
        <w:keepNext w:val="0"/>
      </w:pPr>
      <w:r>
        <w:rPr>
          <w:rFonts w:ascii="Calibri" w:hAnsi="Calibri" w:eastAsia="Calibri" w:cs="Calibri"/>
          <w:i w:val="0"/>
          <w:color w:val="202124"/>
          <w:sz w:val="22"/>
        </w:rPr>
        <w:t>Each model deployment registers a versioned capability descriptor. Routing never assumes that providers are interchangeable.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Capability area</w:t>
            </w:r>
          </w:p>
        </w:tc>
        <w:tc>
          <w:tcPr>
            <w:tcW w:type="dxa" w:w="71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Required declaration</w:t>
            </w:r>
          </w:p>
        </w:tc>
      </w:tr>
      <w:tr>
        <w:trPr>
          <w:cantSplit/>
        </w:trPr>
        <w:tc>
          <w:tcPr>
            <w:tcW w:type="dxa" w:w="2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Identity</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provider_id, deployment_id, model_id, model_version</w:t>
            </w:r>
          </w:p>
        </w:tc>
      </w:tr>
      <w:tr>
        <w:trPr>
          <w:cantSplit/>
        </w:trPr>
        <w:tc>
          <w:tcPr>
            <w:tcW w:type="dxa" w:w="2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Task</w:t>
            </w:r>
          </w:p>
        </w:tc>
        <w:tc>
          <w:tcPr>
            <w:tcW w:type="dxa" w:w="7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ocr, asr, tts or text_generation; headline uses text_generation with prompt_template_id</w:t>
            </w:r>
          </w:p>
        </w:tc>
      </w:tr>
      <w:tr>
        <w:trPr>
          <w:cantSplit/>
        </w:trPr>
        <w:tc>
          <w:tcPr>
            <w:tcW w:type="dxa" w:w="2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Languages</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BCP 47 language tags, dialect notes and measured quality</w:t>
            </w:r>
          </w:p>
        </w:tc>
      </w:tr>
      <w:tr>
        <w:trPr>
          <w:cantSplit/>
        </w:trPr>
        <w:tc>
          <w:tcPr>
            <w:tcW w:type="dxa" w:w="2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I/O</w:t>
            </w:r>
          </w:p>
        </w:tc>
        <w:tc>
          <w:tcPr>
            <w:tcW w:type="dxa" w:w="7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Accepted MIME types, codecs, sample rates, size and duration limits</w:t>
            </w:r>
          </w:p>
        </w:tc>
      </w:tr>
      <w:tr>
        <w:trPr>
          <w:cantSplit/>
        </w:trPr>
        <w:tc>
          <w:tcPr>
            <w:tcW w:type="dxa" w:w="2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Streaming</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Streaming support, framing protocol, partial/final semantics and backpressure limits</w:t>
            </w:r>
          </w:p>
        </w:tc>
      </w:tr>
      <w:tr>
        <w:trPr>
          <w:cantSplit/>
        </w:trPr>
        <w:tc>
          <w:tcPr>
            <w:tcW w:type="dxa" w:w="2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Governance</w:t>
            </w:r>
          </w:p>
        </w:tc>
        <w:tc>
          <w:tcPr>
            <w:tcW w:type="dxa" w:w="7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Provider class, processing regions, retention declaration and allowed data classes</w:t>
            </w:r>
          </w:p>
        </w:tc>
      </w:tr>
      <w:tr>
        <w:trPr>
          <w:cantSplit/>
        </w:trPr>
        <w:tc>
          <w:tcPr>
            <w:tcW w:type="dxa" w:w="2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Operations</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Timeout, concurrency, quota, cost class and health endpoint</w:t>
            </w:r>
          </w:p>
        </w:tc>
      </w:tr>
    </w:tbl>
    <w:p>
      <w:pPr>
        <w:spacing w:after="40"/>
      </w:pPr>
    </w:p>
    <w:p>
      <w:pPr>
        <w:keepNext w:val="0"/>
      </w:pPr>
      <w:r>
        <w:rPr>
          <w:rFonts w:ascii="Calibri" w:hAnsi="Calibri" w:eastAsia="Calibri" w:cs="Calibri"/>
          <w:i w:val="0"/>
          <w:color w:val="202124"/>
          <w:sz w:val="22"/>
        </w:rPr>
        <w:t>Provider onboarding is an administrative workflow, not a direct database operation. POST /api/v1/admin/providers accepts a descriptor and secret-reference identifiers from model_operator and creates a draft record. It never accepts secret values or an arbitrary user-controlled runtime URL. Automated validation checks schema, health, supported media, egress allowlisting and contract conformance. A different platform_admin approves local activation; cloud activation additionally requires privacy_reviewer approval of provider, region, subprocessors, retention, training-use controls and allowed data classes. States are draft, validating, pending_approval, active, suspended, rejected and retired. Every transition is audited and activation is atomic.</w:t>
      </w:r>
    </w:p>
    <w:p>
      <w:pPr>
        <w:pStyle w:val="Heading2"/>
        <w:keepNext/>
      </w:pPr>
      <w:r>
        <w:t>5.2 Routing decision order</w:t>
      </w:r>
    </w:p>
    <w:p>
      <w:pPr>
        <w:spacing w:after="80" w:line="300" w:lineRule="auto"/>
        <w:numPr>
          <w:ilvl w:val="0"/>
          <w:numId w:val="12"/>
        </w:numPr>
      </w:pPr>
      <w:r>
        <w:t>Validate authentication, active consent, request schema and project membership.</w:t>
      </w:r>
    </w:p>
    <w:p>
      <w:pPr>
        <w:spacing w:after="80" w:line="300" w:lineRule="auto"/>
        <w:numPr>
          <w:ilvl w:val="0"/>
          <w:numId w:val="12"/>
        </w:numPr>
      </w:pPr>
      <w:r>
        <w:t>Classify the requested data and read the project/user provider policy.</w:t>
      </w:r>
    </w:p>
    <w:p>
      <w:pPr>
        <w:spacing w:after="80" w:line="300" w:lineRule="auto"/>
        <w:numPr>
          <w:ilvl w:val="0"/>
          <w:numId w:val="12"/>
        </w:numPr>
      </w:pPr>
      <w:r>
        <w:t>Filter providers by task, language, format, region, data class and current availability.</w:t>
      </w:r>
    </w:p>
    <w:p>
      <w:pPr>
        <w:spacing w:after="80" w:line="300" w:lineRule="auto"/>
        <w:numPr>
          <w:ilvl w:val="0"/>
          <w:numId w:val="12"/>
        </w:numPr>
      </w:pPr>
      <w:r>
        <w:t>Prefer an eligible local deployment. Use cloud only when the policy and user choice permit it.</w:t>
      </w:r>
    </w:p>
    <w:p>
      <w:pPr>
        <w:spacing w:after="80" w:line="300" w:lineRule="auto"/>
        <w:numPr>
          <w:ilvl w:val="0"/>
          <w:numId w:val="12"/>
        </w:numPr>
      </w:pPr>
      <w:r>
        <w:t>Create an inference_request with the chosen provider and policy decision before processing.</w:t>
      </w:r>
    </w:p>
    <w:p>
      <w:pPr>
        <w:spacing w:after="80" w:line="300" w:lineRule="auto"/>
        <w:numPr>
          <w:ilvl w:val="0"/>
          <w:numId w:val="12"/>
        </w:numPr>
      </w:pPr>
      <w:r>
        <w:t>Return the provider actually used in the response and audit outcome.</w:t>
      </w:r>
    </w:p>
    <w:p>
      <w:pPr>
        <w:pStyle w:val="Heading2"/>
        <w:keepNext/>
      </w:pPr>
      <w:r>
        <w:t>5.3 Retry and failover matrix</w:t>
      </w:r>
    </w:p>
    <w:tbl>
      <w:tblPr>
        <w:tblStyle w:val="TableGrid"/>
        <w:tblW w:type="dxa" w:w="9360"/>
        <w:jc w:val="left"/>
        <w:tblLayout w:type="fixed"/>
        <w:tblLook w:firstColumn="1" w:firstRow="1" w:lastColumn="0" w:lastRow="0" w:noHBand="0" w:noVBand="1" w:val="04A0"/>
        <w:tblInd w:w="120" w:type="dxa"/>
      </w:tblPr>
      <w:tblGrid>
        <w:gridCol w:w="1400"/>
        <w:gridCol w:w="1600"/>
        <w:gridCol w:w="1900"/>
        <w:gridCol w:w="4460"/>
      </w:tblGrid>
      <w:tr>
        <w:trPr>
          <w:tblHeader w:val="true"/>
          <w:cantSplit/>
        </w:trPr>
        <w:tc>
          <w:tcPr>
            <w:tcW w:type="dxa" w:w="14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Task</w:t>
            </w:r>
          </w:p>
        </w:tc>
        <w:tc>
          <w:tcPr>
            <w:tcW w:type="dxa" w:w="16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Boundary</w:t>
            </w:r>
          </w:p>
        </w:tc>
        <w:tc>
          <w:tcPr>
            <w:tcW w:type="dxa" w:w="19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Retry budget</w:t>
            </w:r>
          </w:p>
        </w:tc>
        <w:tc>
          <w:tcPr>
            <w:tcW w:type="dxa" w:w="44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Failover rule</w:t>
            </w:r>
          </w:p>
        </w:tc>
      </w:tr>
      <w:tr>
        <w:trPr>
          <w:cantSplit/>
        </w:trPr>
        <w:tc>
          <w:tcPr>
            <w:tcW w:type="dxa" w:w="14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OCR</w:t>
            </w:r>
          </w:p>
        </w:tc>
        <w:tc>
          <w:tcPr>
            <w:tcW w:type="dxa" w:w="1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Before response</w:t>
            </w:r>
          </w:p>
        </w:tc>
        <w:tc>
          <w:tcPr>
            <w:tcW w:type="dxa" w:w="1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Up to two attempts when request is idempotent</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Eligible alternate provider may be offered/used only under approved policy</w:t>
            </w:r>
          </w:p>
        </w:tc>
      </w:tr>
      <w:tr>
        <w:trPr>
          <w:cantSplit/>
        </w:trPr>
        <w:tc>
          <w:tcPr>
            <w:tcW w:type="dxa" w:w="14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ASR live</w:t>
            </w:r>
          </w:p>
        </w:tc>
        <w:tc>
          <w:tcPr>
            <w:tcW w:type="dxa" w:w="1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During stream</w:t>
            </w:r>
          </w:p>
        </w:tc>
        <w:tc>
          <w:tcPr>
            <w:tcW w:type="dxa" w:w="1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Transport reconnect only</w:t>
            </w:r>
          </w:p>
        </w:tc>
        <w:tc>
          <w:tcPr>
            <w:tcW w:type="dxa" w:w="4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No mid-stream provider switch. Client starts a new session; replay requires a separately consented in-memory buffer.</w:t>
            </w:r>
          </w:p>
        </w:tc>
      </w:tr>
      <w:tr>
        <w:trPr>
          <w:cantSplit/>
        </w:trPr>
        <w:tc>
          <w:tcPr>
            <w:tcW w:type="dxa" w:w="14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TTS</w:t>
            </w:r>
          </w:p>
        </w:tc>
        <w:tc>
          <w:tcPr>
            <w:tcW w:type="dxa" w:w="1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Before first audio byte</w:t>
            </w:r>
          </w:p>
        </w:tc>
        <w:tc>
          <w:tcPr>
            <w:tcW w:type="dxa" w:w="1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One retry</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Alternate provider allowed only before output begins and only if voice/format contract is compatible.</w:t>
            </w:r>
          </w:p>
        </w:tc>
      </w:tr>
      <w:tr>
        <w:trPr>
          <w:cantSplit/>
        </w:trPr>
        <w:tc>
          <w:tcPr>
            <w:tcW w:type="dxa" w:w="14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Chat</w:t>
            </w:r>
          </w:p>
        </w:tc>
        <w:tc>
          <w:tcPr>
            <w:tcW w:type="dxa" w:w="1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Before first SSE event</w:t>
            </w:r>
          </w:p>
        </w:tc>
        <w:tc>
          <w:tcPr>
            <w:tcW w:type="dxa" w:w="1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One retry</w:t>
            </w:r>
          </w:p>
        </w:tc>
        <w:tc>
          <w:tcPr>
            <w:tcW w:type="dxa" w:w="4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No provider switch after the first token; return a typed partial-result error.</w:t>
            </w:r>
          </w:p>
        </w:tc>
      </w:tr>
      <w:tr>
        <w:trPr>
          <w:cantSplit/>
        </w:trPr>
        <w:tc>
          <w:tcPr>
            <w:tcW w:type="dxa" w:w="14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Headline</w:t>
            </w:r>
          </w:p>
        </w:tc>
        <w:tc>
          <w:tcPr>
            <w:tcW w:type="dxa" w:w="1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Before response</w:t>
            </w:r>
          </w:p>
        </w:tc>
        <w:tc>
          <w:tcPr>
            <w:tcW w:type="dxa" w:w="1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Up to two attempts</w:t>
            </w:r>
          </w:p>
        </w:tc>
        <w:tc>
          <w:tcPr>
            <w:tcW w:type="dxa" w:w="4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May use compatible text-generation provider under approved policy.</w:t>
            </w:r>
          </w:p>
        </w:tc>
      </w:tr>
    </w:tbl>
    <w:p>
      <w:pPr>
        <w:spacing w:after="40"/>
      </w:pPr>
    </w:p>
    <w:p>
      <w:pPr>
        <w:keepNext w:val="0"/>
      </w:pPr>
      <w:r>
        <w:rPr>
          <w:rFonts w:ascii="Calibri" w:hAnsi="Calibri" w:eastAsia="Calibri" w:cs="Calibri"/>
          <w:i w:val="0"/>
          <w:color w:val="202124"/>
          <w:sz w:val="22"/>
        </w:rPr>
        <w:t>Retries use exponential backoff with full jitter and remain inside the endpoint deadline. 429 responses honour Retry-After when doing so does not exceed the deadline. Circuit-breaker state is a per-replica optimisation; shared Redis health hints may reduce load but are never the correctness authority.</w:t>
      </w:r>
    </w:p>
    <w:p>
      <w:pPr>
        <w:pStyle w:val="Heading2"/>
        <w:keepNext/>
      </w:pPr>
      <w:r>
        <w:t>5.4 Provider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PRO-001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Every provider adapter SHALL implement a versioned capability descriptor and typed error mapping.</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Contract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PRO-002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Cloud providers SHALL be deny-by-default for D2 and D3 data until provider, region, purpose and project policy are approved.</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Policy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PRO-003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system SHALL NOT switch providers after streaming output begins.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Fault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PRO-004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Every retry SHALL use the same idempotency key and SHALL respect the task-specific attempt budget and total deadline.</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Resilience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PRO-005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Provider secrets SHALL be read through the configured secret manager using workload identity; they SHALL NOT be stored in source, browser bundles or database configuration rows.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Secret scan</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PRO-006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provider removed from policy SHALL become ineligible within 60 seconds without requiring application redeployment.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Configuration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Should</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PRO-007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Provider responses SHALL be normalised without hiding provenance, truncation, safety filtering or partial completion.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PRO-008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POST /api/v1/admin/providers SHALL allow model_operator to create a draft capability registration, SHALL reject secret values and unapproved endpoint locations, and SHALL require independent approval before the provider becomes routable.</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RBAC/workflow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PRO-009</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Cloud-provider activation SHALL require privacy approval of region, subprocessors, retention, training use and allowed data classes in addition to platform approval and adapter conformance evidence.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Approval/policy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6. External API and streaming contract</w:t>
      </w:r>
    </w:p>
    <w:p>
      <w:pPr>
        <w:pStyle w:val="Heading2"/>
        <w:keepNext/>
      </w:pPr>
      <w:r>
        <w:t>6.1 General conventions</w:t>
      </w:r>
    </w:p>
    <w:p>
      <w:pPr>
        <w:spacing w:after="80" w:line="300" w:lineRule="auto"/>
        <w:numPr>
          <w:ilvl w:val="0"/>
          <w:numId w:val="10"/>
        </w:numPr>
      </w:pPr>
      <w:r>
        <w:t>Base path: /api/v1. Breaking changes require /api/v2; additive fields are permitted in v1.</w:t>
      </w:r>
    </w:p>
    <w:p>
      <w:pPr>
        <w:spacing w:after="80" w:line="300" w:lineRule="auto"/>
        <w:numPr>
          <w:ilvl w:val="0"/>
          <w:numId w:val="10"/>
        </w:numPr>
      </w:pPr>
      <w:r>
        <w:t>HTTP JSON uses UTF-8. File uploads use multipart/form-data. Downloads use signed, short-lived URLs or streamed responses.</w:t>
      </w:r>
    </w:p>
    <w:p>
      <w:pPr>
        <w:spacing w:after="80" w:line="300" w:lineRule="auto"/>
        <w:numPr>
          <w:ilvl w:val="0"/>
          <w:numId w:val="10"/>
        </w:numPr>
      </w:pPr>
      <w:r>
        <w:t>Every response includes X-Request-ID. Clients may submit X-Request-ID and Idempotency-Key where documented.</w:t>
      </w:r>
    </w:p>
    <w:p>
      <w:pPr>
        <w:spacing w:after="80" w:line="300" w:lineRule="auto"/>
        <w:numPr>
          <w:ilvl w:val="0"/>
          <w:numId w:val="10"/>
        </w:numPr>
      </w:pPr>
      <w:r>
        <w:t>Times are RFC 3339 UTC. Language values use BCP 47 tags. File sizes are measured in bytes.</w:t>
      </w:r>
    </w:p>
    <w:p>
      <w:pPr>
        <w:spacing w:after="80" w:line="300" w:lineRule="auto"/>
        <w:numPr>
          <w:ilvl w:val="0"/>
          <w:numId w:val="10"/>
        </w:numPr>
      </w:pPr>
      <w:r>
        <w:t>Collections use cursor pagination with limit &lt;= 100. Rate-limited requests return 429 and Retry-After.</w:t>
      </w:r>
    </w:p>
    <w:p>
      <w:pPr>
        <w:spacing w:after="80" w:line="300" w:lineRule="auto"/>
        <w:numPr>
          <w:ilvl w:val="0"/>
          <w:numId w:val="10"/>
        </w:numPr>
      </w:pPr>
      <w:r>
        <w:t>The OpenAPI document and WebSocket/SSE schemas are normative, version-controlled build artifacts generated from the implementation contract.</w:t>
      </w:r>
    </w:p>
    <w:p>
      <w:pPr>
        <w:pStyle w:val="Heading2"/>
        <w:keepNext/>
      </w:pPr>
      <w:r>
        <w:t>6.2 Error envelope</w:t>
      </w:r>
    </w:p>
    <w:p>
      <w:pPr>
        <w:spacing w:before="40" w:after="160" w:line="252" w:lineRule="auto"/>
        <w:ind w:left="259" w:right="259"/>
        <w:shd w:fill="F4F6F8"/>
      </w:pPr>
      <w:r>
        <w:rPr>
          <w:rFonts w:ascii="Liberation Mono" w:hAnsi="Liberation Mono" w:eastAsia="Liberation Mono" w:cs="Liberation Mono"/>
          <w:color w:val="243B53"/>
          <w:sz w:val="16"/>
        </w:rPr>
        <w:t>{</w:t>
      </w:r>
      <w:r>
        <w:br/>
      </w:r>
      <w:r>
        <w:rPr>
          <w:rFonts w:ascii="Liberation Mono" w:hAnsi="Liberation Mono" w:eastAsia="Liberation Mono" w:cs="Liberation Mono"/>
          <w:color w:val="243B53"/>
          <w:sz w:val="16"/>
        </w:rPr>
        <w:t xml:space="preserve">  "error": {</w:t>
      </w:r>
      <w:r>
        <w:br/>
      </w:r>
      <w:r>
        <w:rPr>
          <w:rFonts w:ascii="Liberation Mono" w:hAnsi="Liberation Mono" w:eastAsia="Liberation Mono" w:cs="Liberation Mono"/>
          <w:color w:val="243B53"/>
          <w:sz w:val="16"/>
        </w:rPr>
        <w:t xml:space="preserve">    "code": "CONSENT_REQUIRED",</w:t>
      </w:r>
      <w:r>
        <w:br/>
      </w:r>
      <w:r>
        <w:rPr>
          <w:rFonts w:ascii="Liberation Mono" w:hAnsi="Liberation Mono" w:eastAsia="Liberation Mono" w:cs="Liberation Mono"/>
          <w:color w:val="243B53"/>
          <w:sz w:val="16"/>
        </w:rPr>
        <w:t xml:space="preserve">    "message": "Active consent is required for this operation.",</w:t>
      </w:r>
      <w:r>
        <w:br/>
      </w:r>
      <w:r>
        <w:rPr>
          <w:rFonts w:ascii="Liberation Mono" w:hAnsi="Liberation Mono" w:eastAsia="Liberation Mono" w:cs="Liberation Mono"/>
          <w:color w:val="243B53"/>
          <w:sz w:val="16"/>
        </w:rPr>
        <w:t xml:space="preserve">    "request_id": "req_01J...",</w:t>
      </w:r>
      <w:r>
        <w:br/>
      </w:r>
      <w:r>
        <w:rPr>
          <w:rFonts w:ascii="Liberation Mono" w:hAnsi="Liberation Mono" w:eastAsia="Liberation Mono" w:cs="Liberation Mono"/>
          <w:color w:val="243B53"/>
          <w:sz w:val="16"/>
        </w:rPr>
        <w:t xml:space="preserve">    "retryable": false,</w:t>
      </w:r>
      <w:r>
        <w:br/>
      </w:r>
      <w:r>
        <w:rPr>
          <w:rFonts w:ascii="Liberation Mono" w:hAnsi="Liberation Mono" w:eastAsia="Liberation Mono" w:cs="Liberation Mono"/>
          <w:color w:val="243B53"/>
          <w:sz w:val="16"/>
        </w:rPr>
        <w:t xml:space="preserve">    "details": []</w:t>
      </w:r>
      <w:r>
        <w:br/>
      </w:r>
      <w:r>
        <w:rPr>
          <w:rFonts w:ascii="Liberation Mono" w:hAnsi="Liberation Mono" w:eastAsia="Liberation Mono" w:cs="Liberation Mono"/>
          <w:color w:val="243B53"/>
          <w:sz w:val="16"/>
        </w:rPr>
        <w:t xml:space="preserve">  }</w:t>
      </w:r>
      <w:r>
        <w:br/>
      </w:r>
      <w:r>
        <w:rPr>
          <w:rFonts w:ascii="Liberation Mono" w:hAnsi="Liberation Mono" w:eastAsia="Liberation Mono" w:cs="Liberation Mono"/>
          <w:color w:val="243B53"/>
          <w:sz w:val="16"/>
        </w:rPr>
        <w:t>}</w:t>
      </w:r>
    </w:p>
    <w:tbl>
      <w:tblPr>
        <w:tblStyle w:val="TableGrid"/>
        <w:tblW w:type="dxa" w:w="9360"/>
        <w:jc w:val="left"/>
        <w:tblLayout w:type="fixed"/>
        <w:tblLook w:firstColumn="1" w:firstRow="1" w:lastColumn="0" w:lastRow="0" w:noHBand="0" w:noVBand="1" w:val="04A0"/>
        <w:tblInd w:w="120" w:type="dxa"/>
      </w:tblPr>
      <w:tblGrid>
        <w:gridCol w:w="1200"/>
        <w:gridCol w:w="4500"/>
        <w:gridCol w:w="366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HTTP</w:t>
            </w:r>
          </w:p>
        </w:tc>
        <w:tc>
          <w:tcPr>
            <w:tcW w:type="dxa" w:w="45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Representative codes</w:t>
            </w:r>
          </w:p>
        </w:tc>
        <w:tc>
          <w:tcPr>
            <w:tcW w:type="dxa" w:w="36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Client action</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400</w:t>
            </w:r>
          </w:p>
        </w:tc>
        <w:tc>
          <w:tcPr>
            <w:tcW w:type="dxa" w:w="45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VALIDATION_ERROR, UNSUPPORTED_FORMAT</w:t>
            </w:r>
          </w:p>
        </w:tc>
        <w:tc>
          <w:tcPr>
            <w:tcW w:type="dxa" w:w="3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Correct request data</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401</w:t>
            </w:r>
          </w:p>
        </w:tc>
        <w:tc>
          <w:tcPr>
            <w:tcW w:type="dxa" w:w="45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AUTHENTICATION_REQUIRED, SESSION_EXPIRED</w:t>
            </w:r>
          </w:p>
        </w:tc>
        <w:tc>
          <w:tcPr>
            <w:tcW w:type="dxa" w:w="36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Sign in or refresh session</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403</w:t>
            </w:r>
          </w:p>
        </w:tc>
        <w:tc>
          <w:tcPr>
            <w:tcW w:type="dxa" w:w="45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CONSENT_REQUIRED, POLICY_DENIED, FORBIDDEN</w:t>
            </w:r>
          </w:p>
        </w:tc>
        <w:tc>
          <w:tcPr>
            <w:tcW w:type="dxa" w:w="3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Accept consent or request policy access</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404</w:t>
            </w:r>
          </w:p>
        </w:tc>
        <w:tc>
          <w:tcPr>
            <w:tcW w:type="dxa" w:w="45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NOT_FOUND</w:t>
            </w:r>
          </w:p>
        </w:tc>
        <w:tc>
          <w:tcPr>
            <w:tcW w:type="dxa" w:w="36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Do not reveal resources outside the caller scope</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409</w:t>
            </w:r>
          </w:p>
        </w:tc>
        <w:tc>
          <w:tcPr>
            <w:tcW w:type="dxa" w:w="45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CONFLICT, IDEMPOTENCY_CONFLICT</w:t>
            </w:r>
          </w:p>
        </w:tc>
        <w:tc>
          <w:tcPr>
            <w:tcW w:type="dxa" w:w="3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Retrieve existing result or change key</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413</w:t>
            </w:r>
          </w:p>
        </w:tc>
        <w:tc>
          <w:tcPr>
            <w:tcW w:type="dxa" w:w="45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PAYLOAD_TOO_LARGE</w:t>
            </w:r>
          </w:p>
        </w:tc>
        <w:tc>
          <w:tcPr>
            <w:tcW w:type="dxa" w:w="36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Reduce input size</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415</w:t>
            </w:r>
          </w:p>
        </w:tc>
        <w:tc>
          <w:tcPr>
            <w:tcW w:type="dxa" w:w="45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UNSUPPORTED_MEDIA_TYPE</w:t>
            </w:r>
          </w:p>
        </w:tc>
        <w:tc>
          <w:tcPr>
            <w:tcW w:type="dxa" w:w="3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 a supported MIME type/codec</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422</w:t>
            </w:r>
          </w:p>
        </w:tc>
        <w:tc>
          <w:tcPr>
            <w:tcW w:type="dxa" w:w="45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UNPROCESSABLE_CONTENT</w:t>
            </w:r>
          </w:p>
        </w:tc>
        <w:tc>
          <w:tcPr>
            <w:tcW w:type="dxa" w:w="36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Input is valid but cannot be processed</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429</w:t>
            </w:r>
          </w:p>
        </w:tc>
        <w:tc>
          <w:tcPr>
            <w:tcW w:type="dxa" w:w="45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RATE_LIMITED, QUEUE_FULL, RATE_LIMIT_DEGRADED</w:t>
            </w:r>
          </w:p>
        </w:tc>
        <w:tc>
          <w:tcPr>
            <w:tcW w:type="dxa" w:w="3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Respect Retry-After</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502-504</w:t>
            </w:r>
          </w:p>
        </w:tc>
        <w:tc>
          <w:tcPr>
            <w:tcW w:type="dxa" w:w="45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PROVIDER_FAILURE, SERVICE_UNAVAILABLE, or DEADLINE_EXCEEDED</w:t>
            </w:r>
          </w:p>
        </w:tc>
        <w:tc>
          <w:tcPr>
            <w:tcW w:type="dxa" w:w="36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Retry only when retryable and within deadline</w:t>
            </w:r>
          </w:p>
        </w:tc>
      </w:tr>
    </w:tbl>
    <w:p>
      <w:pPr>
        <w:spacing w:after="40"/>
      </w:pPr>
    </w:p>
    <w:p>
      <w:pPr>
        <w:pStyle w:val="Heading2"/>
        <w:keepNext/>
      </w:pPr>
      <w:r>
        <w:t>6.3 Endpoint catalogue</w:t>
      </w:r>
    </w:p>
    <w:tbl>
      <w:tblPr>
        <w:tblStyle w:val="TableGrid"/>
        <w:tblW w:type="dxa" w:w="9360"/>
        <w:jc w:val="left"/>
        <w:tblLayout w:type="fixed"/>
        <w:tblLook w:firstColumn="1" w:firstRow="1" w:lastColumn="0" w:lastRow="0" w:noHBand="0" w:noVBand="1" w:val="04A0"/>
        <w:tblInd w:w="120" w:type="dxa"/>
      </w:tblPr>
      <w:tblGrid>
        <w:gridCol w:w="900"/>
        <w:gridCol w:w="2850"/>
        <w:gridCol w:w="3900"/>
        <w:gridCol w:w="1710"/>
      </w:tblGrid>
      <w:tr>
        <w:trPr>
          <w:tblHeader w:val="true"/>
          <w:cantSplit/>
        </w:trPr>
        <w:tc>
          <w:tcPr>
            <w:tcW w:type="dxa" w:w="9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Method</w:t>
            </w:r>
          </w:p>
        </w:tc>
        <w:tc>
          <w:tcPr>
            <w:tcW w:type="dxa" w:w="285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Path</w:t>
            </w:r>
          </w:p>
        </w:tc>
        <w:tc>
          <w:tcPr>
            <w:tcW w:type="dxa" w:w="39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Purpose</w:t>
            </w:r>
          </w:p>
        </w:tc>
        <w:tc>
          <w:tcPr>
            <w:tcW w:type="dxa" w:w="171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Access</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/auth/login/{provider}</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Start OIDC Authorization Code + PKCE flow</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Pre-consent</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/auth/callback/{provider}</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Validate callback and establish session</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Pre-consent</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/auth/session</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Return session, roles and expiry metadata</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Pre-consent</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/auth/session/refresh</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Roll server-side session expiry; CSRF required</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Pre-consent</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/auth/logout</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Revoke current session</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Pre-consent</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/consent/documents/current</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Return current terms/privacy versions and hashes</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Pre-consent</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/consent/status</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Return current and previous consent metadata</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Pre-consent</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/consent/accept</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Create new active versioned consent record</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Pre-consent</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/consent/withdraw</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Revoke consent and create deletion request</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Authenticated</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/deletion-requests/{id}</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Return caller-owned deletion progress</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Authenticated</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/exports</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Create machine-readable data export job</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Consented</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/providers/capabilities</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List policy-filtered provider capabilities</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Consented</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/ocr/jobs</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Create OCR job using multipart file upload</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Consented</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/ocr/jobs/{id}</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Read OCR job result/status</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Owner/project</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/asr/sessions</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Create live or batch ASR session</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Consented</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WS</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/asr/sessions/{id}/stream</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Stream framed PCM/Opus audio and transcripts</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Owner/session</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/tts/jobs</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Create TTS job with explicit voice and output format</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Consented</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/tts/jobs/{id}</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Read job status or receive signed audio URL</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Owner/project</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/chat/completions</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SSE or JSON response selected by Accept header</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Consented</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/headlines/generate</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Text-generation request using headline template</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Consented</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/rag/query</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Grounded answer with chunk citations</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Project member</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/admin/documents</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Ingest authorised RAG document</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Project admin</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/admin/providers</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Create a draft provider capability registration</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Model operator</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/admin/providers/{id}/approve</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Record independent activation approval</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Platform/privacy approver</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/admin/providers/{id}/suspend</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Remove provider from routing eligibility</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Platform admin</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/health/live</w:t>
            </w:r>
          </w:p>
        </w:tc>
        <w:tc>
          <w:tcPr>
            <w:tcW w:type="dxa" w:w="3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Process liveness only</w:t>
            </w:r>
          </w:p>
        </w:tc>
        <w:tc>
          <w:tcPr>
            <w:tcW w:type="dxa" w:w="17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Internal/public minimal</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/health/ready</w:t>
            </w:r>
          </w:p>
        </w:tc>
        <w:tc>
          <w:tcPr>
            <w:tcW w:type="dxa" w:w="3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Dependency readiness without sensitive details</w:t>
            </w:r>
          </w:p>
        </w:tc>
        <w:tc>
          <w:tcPr>
            <w:tcW w:type="dxa" w:w="17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Internal</w:t>
            </w:r>
          </w:p>
        </w:tc>
      </w:tr>
    </w:tbl>
    <w:p>
      <w:pPr>
        <w:spacing w:after="40"/>
      </w:pPr>
    </w:p>
    <w:p>
      <w:pPr>
        <w:pStyle w:val="Heading2"/>
        <w:keepNext/>
      </w:pPr>
      <w:r>
        <w:t>6.4 Module-specific contracts</w:t>
      </w:r>
    </w:p>
    <w:p>
      <w:pPr>
        <w:pStyle w:val="Heading3"/>
        <w:keepNext/>
      </w:pPr>
      <w:r>
        <w:t>OCR</w:t>
      </w:r>
    </w:p>
    <w:p>
      <w:pPr>
        <w:keepNext w:val="0"/>
      </w:pPr>
      <w:r>
        <w:rPr>
          <w:rFonts w:ascii="Calibri" w:hAnsi="Calibri" w:eastAsia="Calibri" w:cs="Calibri"/>
          <w:i w:val="0"/>
          <w:color w:val="202124"/>
          <w:sz w:val="22"/>
        </w:rPr>
        <w:t>OCR accepts multipart uploads only. Allowed MIME types, maximum dimensions and maximum size are published in the capability descriptor. The response includes page number, text, confidence and polygons expressed as normalised [0,1] coordinates relative to the correctly rotated page. The server validates MIME signature rather than trusting the filename.</w:t>
      </w:r>
    </w:p>
    <w:p>
      <w:pPr>
        <w:pStyle w:val="Heading3"/>
        <w:keepNext/>
      </w:pPr>
      <w:r>
        <w:t>ASR WebSocket</w:t>
      </w:r>
    </w:p>
    <w:p>
      <w:pPr>
        <w:keepNext w:val="0"/>
      </w:pPr>
      <w:r>
        <w:rPr>
          <w:rFonts w:ascii="Calibri" w:hAnsi="Calibri" w:eastAsia="Calibri" w:cs="Calibri"/>
          <w:i w:val="0"/>
          <w:color w:val="202124"/>
          <w:sz w:val="22"/>
        </w:rPr>
        <w:t>A session is created over HTTP before upgrade. Client messages are start, audio, session_refresh, end and cancel; server messages are ready, partial, final, session_expiring, session_refreshed, warning and error. session_refresh carries only connection_id and request_id after the browser has renewed its HttpOnly session over HTTPS; access and refresh tokens are schema-invalid. Every audio frame carries a monotonically increasing sequence number and client timestamp. The server publishes maximum buffered duration and closes with 4429 when the client exceeds backpressure limits. Initial limits are 30 minutes per session and 10 seconds of server-side buffered audio.</w:t>
      </w:r>
    </w:p>
    <w:p>
      <w:pPr>
        <w:pStyle w:val="Heading3"/>
        <w:keepNext/>
      </w:pPr>
      <w:r>
        <w:t>TTS</w:t>
      </w:r>
    </w:p>
    <w:p>
      <w:pPr>
        <w:keepNext w:val="0"/>
      </w:pPr>
      <w:r>
        <w:rPr>
          <w:rFonts w:ascii="Calibri" w:hAnsi="Calibri" w:eastAsia="Calibri" w:cs="Calibri"/>
          <w:i w:val="0"/>
          <w:color w:val="202124"/>
          <w:sz w:val="22"/>
        </w:rPr>
        <w:t>The request identifies language, voice_id, speaking rate and output format. The capability descriptor defines portable voices where possible and provider-specific voices otherwise. Responses state codec, sample rate, channels, duration and the provider/model actually used.</w:t>
      </w:r>
    </w:p>
    <w:p>
      <w:pPr>
        <w:pStyle w:val="Heading3"/>
        <w:keepNext/>
      </w:pPr>
      <w:r>
        <w:t>Chat and headline generation</w:t>
      </w:r>
    </w:p>
    <w:p>
      <w:pPr>
        <w:keepNext w:val="0"/>
      </w:pPr>
      <w:r>
        <w:rPr>
          <w:rFonts w:ascii="Calibri" w:hAnsi="Calibri" w:eastAsia="Calibri" w:cs="Calibri"/>
          <w:i w:val="0"/>
          <w:color w:val="202124"/>
          <w:sz w:val="22"/>
        </w:rPr>
        <w:t>Accept: text/event-stream selects SSE; Accept: application/json selects a complete response. SSE events are metadata, token, citation, completed and error. Headline generation uses a named and versioned prompt template with explicit maximum length and number of candidates. Sessions have owner, project, idle TTL and token budget.</w:t>
      </w:r>
    </w:p>
    <w:p>
      <w:pPr>
        <w:pStyle w:val="Heading2"/>
        <w:keepNext/>
      </w:pPr>
      <w:r>
        <w:t>6.5 API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repository SHALL contain a normative OpenAPI 3.1 contract and machine-readable schemas for SSE and WebSocket messages.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 CI</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All endpoints SHALL return the standard error envelope and SHALL NOT redirect API clients for authentication or consent errors.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Contract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Upload endpoints SHALL validate MIME signature, size, dimensions/duration and decompression limits before inference.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Security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State-changing and job-creation endpoints SHALL implement idempotency through idempotency_keys scoped by authenticated user and canonical route; the default TTL SHALL be 24 hours and the approved configuration range SHALL be 24-72 hours.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Schema/idempotency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WebSocket upgrades SHALL validate the same-origin session cookie, Origin header, session ownership and active consent before returning 101.</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Upgrade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Streaming protocols SHALL define ordering, completion, cancellation, backpressure, reconnection and typed failure behaviour.</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Protocol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Requests SHALL enforce the task-class total deadlines in Section 8.4 and shorter per-provider attempt deadlines; cancellation SHALL propagate to model services and deadline_at SHALL be persisted for deletion verification.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Timeout/deletion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Public responses SHALL NOT expose internal hostnames, provider credentials, stack traces or object-store keys.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Leak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API-009</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ASR WebSocket schema SHALL support non-secret rolling session revalidation without interrupting audio state and SHALL reject credential-bearing refresh messages.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Protocol/security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API-010</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Reusing an idempotency key with the same request fingerprint SHALL return the original operation status/result reference; reuse with a different fingerprint SHALL return 409 IDEMPOTENCY_CONFLICT without executing work.</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Replay/conflict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API-011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Expired idempotency records SHALL be purged within one hour, raw keys SHALL never be stored, and account deletion SHALL remove all related records and replay payloads.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Retention/deletion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7. Authoritative data model</w:t>
      </w:r>
    </w:p>
    <w:p>
      <w:pPr>
        <w:pStyle w:val="Heading2"/>
        <w:keepNext/>
      </w:pPr>
      <w:r>
        <w:t>7.1 Core entities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Entity</w:t>
            </w:r>
          </w:p>
        </w:tc>
        <w:tc>
          <w:tcPr>
            <w:tcW w:type="dxa" w:w="67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Key invariant</w:t>
            </w:r>
          </w:p>
        </w:tc>
      </w:tr>
      <w:tr>
        <w:trPr>
          <w:cantSplit/>
        </w:trPr>
        <w:tc>
          <w:tcPr>
            <w:tcW w:type="dxa" w:w="26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users</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Internal person/account record; status and timestamps. Email is not an external identity key.</w:t>
            </w:r>
          </w:p>
        </w:tc>
      </w:tr>
      <w:tr>
        <w:trPr>
          <w:cantSplit/>
        </w:trPr>
        <w:tc>
          <w:tcPr>
            <w:tcW w:type="dxa" w:w="26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identities</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issuer, provider, subject, verified email metadata; UNIQUE(issuer, subject).</w:t>
            </w:r>
          </w:p>
        </w:tc>
      </w:tr>
      <w:tr>
        <w:trPr>
          <w:cantSplit/>
        </w:trPr>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auth_sessions</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Opaque hashed session token, user, issued/idle/absolute expiry, revocation and last-seen metadata.</w:t>
            </w:r>
          </w:p>
        </w:tc>
      </w:tr>
      <w:tr>
        <w:trPr>
          <w:cantSplit/>
        </w:trPr>
        <w:tc>
          <w:tcPr>
            <w:tcW w:type="dxa" w:w="2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consent_documents</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Document type, version, locale, canonical URI, SHA-256 content hash and effective period.</w:t>
            </w:r>
          </w:p>
        </w:tc>
      </w:tr>
      <w:tr>
        <w:trPr>
          <w:cantSplit/>
        </w:trPr>
        <w:tc>
          <w:tcPr>
            <w:tcW w:type="dxa" w:w="26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consents</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 terms/privacy document IDs, accepted_at, withdrawn_at, locale, method and evidence metadata.</w:t>
            </w:r>
          </w:p>
        </w:tc>
      </w:tr>
      <w:tr>
        <w:trPr>
          <w:cantSplit/>
        </w:trPr>
        <w:tc>
          <w:tcPr>
            <w:tcW w:type="dxa" w:w="2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projects / memberships</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Project policy scope and role assignments.</w:t>
            </w:r>
          </w:p>
        </w:tc>
      </w:tr>
      <w:tr>
        <w:trPr>
          <w:cantSplit/>
        </w:trPr>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inference_requests</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Owner/project, task, consent, data class, model/provider, status, timestamps and idempotency key.</w:t>
            </w:r>
          </w:p>
        </w:tc>
      </w:tr>
      <w:tr>
        <w:trPr>
          <w:cantSplit/>
        </w:trPr>
        <w:tc>
          <w:tcPr>
            <w:tcW w:type="dxa" w:w="2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idempotency_keys</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Hashed caller key scoped by user and canonical route, request fingerprint, state, result reference and bounded expiry; deleted with the user.</w:t>
            </w:r>
          </w:p>
        </w:tc>
      </w:tr>
      <w:tr>
        <w:trPr>
          <w:cantSplit/>
        </w:trPr>
        <w:tc>
          <w:tcPr>
            <w:tcW w:type="dxa" w:w="26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artifacts</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Opaque object key, media type, size, checksum, retention expiry, encryption key reference and deletion state.</w:t>
            </w:r>
          </w:p>
        </w:tc>
      </w:tr>
      <w:tr>
        <w:trPr>
          <w:cantSplit/>
        </w:trPr>
        <w:tc>
          <w:tcPr>
            <w:tcW w:type="dxa" w:w="26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audit_outbox</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One durable business event per material operation; claimable in bounded batches for idempotent projection.</w:t>
            </w:r>
          </w:p>
        </w:tc>
      </w:tr>
      <w:tr>
        <w:trPr>
          <w:cantSplit/>
        </w:trPr>
        <w:tc>
          <w:tcPr>
            <w:tcW w:type="dxa" w:w="26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audit_events</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Append-only security and business evidence with occurred_at and ingested_at.</w:t>
            </w:r>
          </w:p>
        </w:tc>
      </w:tr>
      <w:tr>
        <w:trPr>
          <w:cantSplit/>
        </w:trPr>
        <w:tc>
          <w:tcPr>
            <w:tcW w:type="dxa" w:w="2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deletion_requests / items</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Durable request and per-target progress, including bucket/key/version ID, retry state, legal hold and completion evidence.</w:t>
            </w:r>
          </w:p>
        </w:tc>
      </w:tr>
      <w:tr>
        <w:trPr>
          <w:cantSplit/>
        </w:trPr>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embedding_models / collections</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Exact model identity, dimension, distance metric, index parameters and lifecycle.</w:t>
            </w:r>
          </w:p>
        </w:tc>
      </w:tr>
      <w:tr>
        <w:trPr>
          <w:cantSplit/>
        </w:trPr>
        <w:tc>
          <w:tcPr>
            <w:tcW w:type="dxa" w:w="2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documents / document_chunks</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Project ACL, content version, chunk lineage, token count, embedding collection and vector.</w:t>
            </w:r>
          </w:p>
        </w:tc>
      </w:tr>
    </w:tbl>
    <w:p>
      <w:pPr>
        <w:spacing w:after="40"/>
      </w:pPr>
    </w:p>
    <w:p>
      <w:pPr>
        <w:pStyle w:val="Heading2"/>
        <w:keepNext/>
      </w:pPr>
      <w:r>
        <w:t>7.2 Representative constraints</w:t>
      </w:r>
    </w:p>
    <w:p>
      <w:pPr>
        <w:spacing w:before="40" w:after="160" w:line="252" w:lineRule="auto"/>
        <w:ind w:left="259" w:right="259"/>
        <w:shd w:fill="F4F6F8"/>
      </w:pPr>
      <w:r>
        <w:rPr>
          <w:rFonts w:ascii="Liberation Mono" w:hAnsi="Liberation Mono" w:eastAsia="Liberation Mono" w:cs="Liberation Mono"/>
          <w:color w:val="243B53"/>
          <w:sz w:val="16"/>
        </w:rPr>
        <w:t>-- Illustrative migration fragment; concrete vector dimensions are generated per collection.</w:t>
      </w:r>
      <w:r>
        <w:br/>
      </w:r>
      <w:r>
        <w:rPr>
          <w:rFonts w:ascii="Liberation Mono" w:hAnsi="Liberation Mono" w:eastAsia="Liberation Mono" w:cs="Liberation Mono"/>
          <w:color w:val="243B53"/>
          <w:sz w:val="16"/>
        </w:rPr>
        <w:t>CREATE UNIQUE INDEX identities_issuer_subject_uq</w:t>
      </w:r>
      <w:r>
        <w:br/>
      </w:r>
      <w:r>
        <w:rPr>
          <w:rFonts w:ascii="Liberation Mono" w:hAnsi="Liberation Mono" w:eastAsia="Liberation Mono" w:cs="Liberation Mono"/>
          <w:color w:val="243B53"/>
          <w:sz w:val="16"/>
        </w:rPr>
        <w:t xml:space="preserve">  ON identities (issuer, subject);</w:t>
      </w:r>
      <w:r>
        <w:br/>
      </w:r>
      <w:r>
        <w:rPr>
          <w:rFonts w:ascii="Liberation Mono" w:hAnsi="Liberation Mono" w:eastAsia="Liberation Mono" w:cs="Liberation Mono"/>
          <w:color w:val="243B53"/>
          <w:sz w:val="16"/>
        </w:rPr>
      </w:r>
      <w:r>
        <w:br/>
      </w:r>
      <w:r>
        <w:rPr>
          <w:rFonts w:ascii="Liberation Mono" w:hAnsi="Liberation Mono" w:eastAsia="Liberation Mono" w:cs="Liberation Mono"/>
          <w:color w:val="243B53"/>
          <w:sz w:val="16"/>
        </w:rPr>
        <w:t>ALTER TABLE consents ADD CONSTRAINT consent_state_ck CHECK (</w:t>
      </w:r>
      <w:r>
        <w:br/>
      </w:r>
      <w:r>
        <w:rPr>
          <w:rFonts w:ascii="Liberation Mono" w:hAnsi="Liberation Mono" w:eastAsia="Liberation Mono" w:cs="Liberation Mono"/>
          <w:color w:val="243B53"/>
          <w:sz w:val="16"/>
        </w:rPr>
        <w:t xml:space="preserve">  accepted_at IS NOT NULL AND</w:t>
      </w:r>
      <w:r>
        <w:br/>
      </w:r>
      <w:r>
        <w:rPr>
          <w:rFonts w:ascii="Liberation Mono" w:hAnsi="Liberation Mono" w:eastAsia="Liberation Mono" w:cs="Liberation Mono"/>
          <w:color w:val="243B53"/>
          <w:sz w:val="16"/>
        </w:rPr>
        <w:t xml:space="preserve">  (withdrawn_at IS NULL OR withdrawn_at &gt;= accepted_at)</w:t>
      </w:r>
      <w:r>
        <w:br/>
      </w:r>
      <w:r>
        <w:rPr>
          <w:rFonts w:ascii="Liberation Mono" w:hAnsi="Liberation Mono" w:eastAsia="Liberation Mono" w:cs="Liberation Mono"/>
          <w:color w:val="243B53"/>
          <w:sz w:val="16"/>
        </w:rPr>
        <w:t>);</w:t>
      </w:r>
      <w:r>
        <w:br/>
      </w:r>
      <w:r>
        <w:rPr>
          <w:rFonts w:ascii="Liberation Mono" w:hAnsi="Liberation Mono" w:eastAsia="Liberation Mono" w:cs="Liberation Mono"/>
          <w:color w:val="243B53"/>
          <w:sz w:val="16"/>
        </w:rPr>
      </w:r>
      <w:r>
        <w:br/>
      </w:r>
      <w:r>
        <w:rPr>
          <w:rFonts w:ascii="Liberation Mono" w:hAnsi="Liberation Mono" w:eastAsia="Liberation Mono" w:cs="Liberation Mono"/>
          <w:color w:val="243B53"/>
          <w:sz w:val="16"/>
        </w:rPr>
        <w:t>ALTER TABLE inference_requests</w:t>
      </w:r>
      <w:r>
        <w:br/>
      </w:r>
      <w:r>
        <w:rPr>
          <w:rFonts w:ascii="Liberation Mono" w:hAnsi="Liberation Mono" w:eastAsia="Liberation Mono" w:cs="Liberation Mono"/>
          <w:color w:val="243B53"/>
          <w:sz w:val="16"/>
        </w:rPr>
        <w:t xml:space="preserve">  ADD CONSTRAINT inference_requires_consent_fk</w:t>
      </w:r>
      <w:r>
        <w:br/>
      </w:r>
      <w:r>
        <w:rPr>
          <w:rFonts w:ascii="Liberation Mono" w:hAnsi="Liberation Mono" w:eastAsia="Liberation Mono" w:cs="Liberation Mono"/>
          <w:color w:val="243B53"/>
          <w:sz w:val="16"/>
        </w:rPr>
        <w:t xml:space="preserve">  FOREIGN KEY (consent_id) REFERENCES consents(id);</w:t>
      </w:r>
      <w:r>
        <w:br/>
      </w:r>
      <w:r>
        <w:rPr>
          <w:rFonts w:ascii="Liberation Mono" w:hAnsi="Liberation Mono" w:eastAsia="Liberation Mono" w:cs="Liberation Mono"/>
          <w:color w:val="243B53"/>
          <w:sz w:val="16"/>
        </w:rPr>
      </w:r>
      <w:r>
        <w:br/>
      </w:r>
      <w:r>
        <w:rPr>
          <w:rFonts w:ascii="Liberation Mono" w:hAnsi="Liberation Mono" w:eastAsia="Liberation Mono" w:cs="Liberation Mono"/>
          <w:color w:val="243B53"/>
          <w:sz w:val="16"/>
        </w:rPr>
        <w:t>CREATE UNIQUE INDEX audit_outbox_event_id_uq ON audit_outbox(event_id);</w:t>
      </w:r>
      <w:r>
        <w:br/>
      </w:r>
      <w:r>
        <w:rPr>
          <w:rFonts w:ascii="Liberation Mono" w:hAnsi="Liberation Mono" w:eastAsia="Liberation Mono" w:cs="Liberation Mono"/>
          <w:color w:val="243B53"/>
          <w:sz w:val="16"/>
        </w:rPr>
        <w:t>CREATE UNIQUE INDEX audit_events_event_time_uq ON audit_events(event_id, occurred_at);</w:t>
      </w:r>
      <w:r>
        <w:br/>
      </w:r>
      <w:r>
        <w:rPr>
          <w:rFonts w:ascii="Liberation Mono" w:hAnsi="Liberation Mono" w:eastAsia="Liberation Mono" w:cs="Liberation Mono"/>
          <w:color w:val="243B53"/>
          <w:sz w:val="16"/>
        </w:rPr>
        <w:t>CREATE UNIQUE INDEX deletion_requests_user_active_uq</w:t>
      </w:r>
      <w:r>
        <w:br/>
      </w:r>
      <w:r>
        <w:rPr>
          <w:rFonts w:ascii="Liberation Mono" w:hAnsi="Liberation Mono" w:eastAsia="Liberation Mono" w:cs="Liberation Mono"/>
          <w:color w:val="243B53"/>
          <w:sz w:val="16"/>
        </w:rPr>
        <w:t xml:space="preserve">  ON deletion_requests(user_id) WHERE status IN ('queued','running','verifying');</w:t>
      </w:r>
    </w:p>
    <w:p>
      <w:pPr>
        <w:keepNext w:val="0"/>
      </w:pPr>
      <w:r>
        <w:rPr>
          <w:rFonts w:ascii="Calibri" w:hAnsi="Calibri" w:eastAsia="Calibri" w:cs="Calibri"/>
          <w:i w:val="0"/>
          <w:color w:val="202124"/>
          <w:sz w:val="22"/>
        </w:rPr>
        <w:t>The literal VECTOR(EMBED_DIM) from v1.2 is removed. Migrations generate a concrete column such as vector(768) for a collection after validating the registered embedding model. Collections with different dimensions use separate tables or partitioned physical storage so incompatible vectors cannot mix.</w:t>
      </w:r>
    </w:p>
    <w:p>
      <w:pPr>
        <w:pStyle w:val="Heading2"/>
        <w:keepNext/>
      </w:pPr>
      <w:r>
        <w:t>7.3 Idempotency storage and lifecycle</w:t>
      </w:r>
    </w:p>
    <w:p>
      <w:pPr>
        <w:keepNext w:val="0"/>
      </w:pPr>
      <w:r>
        <w:rPr>
          <w:rFonts w:ascii="Calibri" w:hAnsi="Calibri" w:eastAsia="Calibri" w:cs="Calibri"/>
          <w:i w:val="0"/>
          <w:color w:val="202124"/>
          <w:sz w:val="22"/>
        </w:rPr>
        <w:t>The Gateway hashes the client-supplied Idempotency-Key with a deployment-specific keyed hash and stores no raw key. Scope is the authenticated user and canonical route identifier; project and operation identifiers remain part of the request fingerprint. The first transaction reserves the key in in_progress state before dispatch. An identical retry observes or replays the original status and result reference. A different request fingerprint fails with 409 IDEMPOTENCY_CONFLICT. Replay envelopes, where needed for synchronous responses, are encrypted, capped at 64 KiB and may not contain raw media or provider credentials.</w:t>
      </w:r>
    </w:p>
    <w:p>
      <w:pPr>
        <w:spacing w:before="40" w:after="160" w:line="252" w:lineRule="auto"/>
        <w:ind w:left="259" w:right="259"/>
        <w:shd w:fill="F4F6F8"/>
      </w:pPr>
      <w:r>
        <w:rPr>
          <w:rFonts w:ascii="Liberation Mono" w:hAnsi="Liberation Mono" w:eastAsia="Liberation Mono" w:cs="Liberation Mono"/>
          <w:color w:val="243B53"/>
          <w:sz w:val="16"/>
        </w:rPr>
        <w:t>CREATE TABLE idempotency_keys (</w:t>
      </w:r>
      <w:r>
        <w:br/>
      </w:r>
      <w:r>
        <w:rPr>
          <w:rFonts w:ascii="Liberation Mono" w:hAnsi="Liberation Mono" w:eastAsia="Liberation Mono" w:cs="Liberation Mono"/>
          <w:color w:val="243B53"/>
          <w:sz w:val="16"/>
        </w:rPr>
        <w:t xml:space="preserve">  user_id uuid NOT NULL REFERENCES users(id) ON DELETE CASCADE,</w:t>
      </w:r>
      <w:r>
        <w:br/>
      </w:r>
      <w:r>
        <w:rPr>
          <w:rFonts w:ascii="Liberation Mono" w:hAnsi="Liberation Mono" w:eastAsia="Liberation Mono" w:cs="Liberation Mono"/>
          <w:color w:val="243B53"/>
          <w:sz w:val="16"/>
        </w:rPr>
        <w:t xml:space="preserve">  route_id text NOT NULL,</w:t>
      </w:r>
      <w:r>
        <w:br/>
      </w:r>
      <w:r>
        <w:rPr>
          <w:rFonts w:ascii="Liberation Mono" w:hAnsi="Liberation Mono" w:eastAsia="Liberation Mono" w:cs="Liberation Mono"/>
          <w:color w:val="243B53"/>
          <w:sz w:val="16"/>
        </w:rPr>
        <w:t xml:space="preserve">  key_hash bytea NOT NULL CHECK (octet_length(key_hash) = 32),</w:t>
      </w:r>
      <w:r>
        <w:br/>
      </w:r>
      <w:r>
        <w:rPr>
          <w:rFonts w:ascii="Liberation Mono" w:hAnsi="Liberation Mono" w:eastAsia="Liberation Mono" w:cs="Liberation Mono"/>
          <w:color w:val="243B53"/>
          <w:sz w:val="16"/>
        </w:rPr>
        <w:t xml:space="preserve">  request_fingerprint bytea NOT NULL,</w:t>
      </w:r>
      <w:r>
        <w:br/>
      </w:r>
      <w:r>
        <w:rPr>
          <w:rFonts w:ascii="Liberation Mono" w:hAnsi="Liberation Mono" w:eastAsia="Liberation Mono" w:cs="Liberation Mono"/>
          <w:color w:val="243B53"/>
          <w:sz w:val="16"/>
        </w:rPr>
        <w:t xml:space="preserve">  state text NOT NULL CHECK (state IN ('in_progress','completed','failed')),</w:t>
      </w:r>
      <w:r>
        <w:br/>
      </w:r>
      <w:r>
        <w:rPr>
          <w:rFonts w:ascii="Liberation Mono" w:hAnsi="Liberation Mono" w:eastAsia="Liberation Mono" w:cs="Liberation Mono"/>
          <w:color w:val="243B53"/>
          <w:sz w:val="16"/>
        </w:rPr>
        <w:t xml:space="preserve">  response_status smallint, result_ref uuid, replay_envelope bytea,</w:t>
      </w:r>
      <w:r>
        <w:br/>
      </w:r>
      <w:r>
        <w:rPr>
          <w:rFonts w:ascii="Liberation Mono" w:hAnsi="Liberation Mono" w:eastAsia="Liberation Mono" w:cs="Liberation Mono"/>
          <w:color w:val="243B53"/>
          <w:sz w:val="16"/>
        </w:rPr>
        <w:t xml:space="preserve">  created_at timestamptz NOT NULL DEFAULT now(),</w:t>
      </w:r>
      <w:r>
        <w:br/>
      </w:r>
      <w:r>
        <w:rPr>
          <w:rFonts w:ascii="Liberation Mono" w:hAnsi="Liberation Mono" w:eastAsia="Liberation Mono" w:cs="Liberation Mono"/>
          <w:color w:val="243B53"/>
          <w:sz w:val="16"/>
        </w:rPr>
        <w:t xml:space="preserve">  expires_at timestamptz NOT NULL,</w:t>
      </w:r>
      <w:r>
        <w:br/>
      </w:r>
      <w:r>
        <w:rPr>
          <w:rFonts w:ascii="Liberation Mono" w:hAnsi="Liberation Mono" w:eastAsia="Liberation Mono" w:cs="Liberation Mono"/>
          <w:color w:val="243B53"/>
          <w:sz w:val="16"/>
        </w:rPr>
        <w:t xml:space="preserve">  PRIMARY KEY (user_id, route_id, key_hash),</w:t>
      </w:r>
      <w:r>
        <w:br/>
      </w:r>
      <w:r>
        <w:rPr>
          <w:rFonts w:ascii="Liberation Mono" w:hAnsi="Liberation Mono" w:eastAsia="Liberation Mono" w:cs="Liberation Mono"/>
          <w:color w:val="243B53"/>
          <w:sz w:val="16"/>
        </w:rPr>
        <w:t xml:space="preserve">  CHECK (expires_at &gt;= created_at + interval '24 hours'),</w:t>
      </w:r>
      <w:r>
        <w:br/>
      </w:r>
      <w:r>
        <w:rPr>
          <w:rFonts w:ascii="Liberation Mono" w:hAnsi="Liberation Mono" w:eastAsia="Liberation Mono" w:cs="Liberation Mono"/>
          <w:color w:val="243B53"/>
          <w:sz w:val="16"/>
        </w:rPr>
        <w:t xml:space="preserve">  CHECK (expires_at &lt;= created_at + interval '72 hours'),</w:t>
      </w:r>
      <w:r>
        <w:br/>
      </w:r>
      <w:r>
        <w:rPr>
          <w:rFonts w:ascii="Liberation Mono" w:hAnsi="Liberation Mono" w:eastAsia="Liberation Mono" w:cs="Liberation Mono"/>
          <w:color w:val="243B53"/>
          <w:sz w:val="16"/>
        </w:rPr>
        <w:t xml:space="preserve">  CHECK (replay_envelope IS NULL OR octet_length(replay_envelope) &lt;= 65536)</w:t>
      </w:r>
      <w:r>
        <w:br/>
      </w:r>
      <w:r>
        <w:rPr>
          <w:rFonts w:ascii="Liberation Mono" w:hAnsi="Liberation Mono" w:eastAsia="Liberation Mono" w:cs="Liberation Mono"/>
          <w:color w:val="243B53"/>
          <w:sz w:val="16"/>
        </w:rPr>
        <w:t>);</w:t>
      </w:r>
      <w:r>
        <w:br/>
      </w:r>
      <w:r>
        <w:rPr>
          <w:rFonts w:ascii="Liberation Mono" w:hAnsi="Liberation Mono" w:eastAsia="Liberation Mono" w:cs="Liberation Mono"/>
          <w:color w:val="243B53"/>
          <w:sz w:val="16"/>
        </w:rPr>
        <w:t>CREATE INDEX idempotency_keys_expiry_idx ON idempotency_keys(expires_at);</w:t>
      </w:r>
    </w:p>
    <w:p>
      <w:pPr>
        <w:keepNext w:val="0"/>
      </w:pPr>
      <w:r>
        <w:rPr>
          <w:rFonts w:ascii="Calibri" w:hAnsi="Calibri" w:eastAsia="Calibri" w:cs="Calibri"/>
          <w:i w:val="0"/>
          <w:color w:val="202124"/>
          <w:sz w:val="22"/>
        </w:rPr>
        <w:t>The default TTL is 24 hours and the permitted production configuration range is 24-72 hours. A janitor runs at least every 15 minutes and removes expired rows within one hour. Account deletion cascades all records. Consent withdrawal immediately removes any replay envelope or result reference containing withdrawn content; the non-content key hash and outcome may remain only until normal expiry to prevent duplicate execution during the withdrawal race.</w:t>
      </w:r>
    </w:p>
    <w:p>
      <w:pPr>
        <w:pStyle w:val="Heading2"/>
        <w:keepNext/>
      </w:pPr>
      <w:r>
        <w:t>7.4 Row ownership and database controls</w:t>
      </w:r>
    </w:p>
    <w:p>
      <w:pPr>
        <w:keepNext w:val="0"/>
      </w:pPr>
      <w:r>
        <w:rPr>
          <w:rFonts w:ascii="Calibri" w:hAnsi="Calibri" w:eastAsia="Calibri" w:cs="Calibri"/>
          <w:i w:val="0"/>
          <w:color w:val="202124"/>
          <w:sz w:val="22"/>
        </w:rPr>
        <w:t>Application authorisation remains mandatory. PostgreSQL Row-Level Security is additionally enabled for project and user-owned tables where the connection model can safely set a transaction-local principal. Worker and migration roles are separate from the application role. Database superuser credentials are never available to the Gateway.</w:t>
      </w:r>
    </w:p>
    <w:p>
      <w:pPr>
        <w:pStyle w:val="Heading2"/>
        <w:keepNext/>
      </w:pPr>
      <w:r>
        <w:t>7.5 Data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All durable tables SHALL use UUIDv7 or another approved collision-resistant identifier and timestamptz UTC timestamps.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User-owned retained records SHALL carry user_id, project_id where applicable, consent_id and retention_expires_at.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 audit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Object keys SHALL be random opaque identifiers and SHALL NOT contain email addresses, names or original filenames.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Storage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State columns SHALL use database CHECK constraints or reference tables; free-form purge_status values are prohibited.</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 audit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events SHALL contain event_id, occurred_at, ingested_at, actor, action, target, outcome, request_id and trace_id without raw content.</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Event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Late-arriving audit events SHALL be partitioned by occurred_at with a documented default-partition reconciliation process.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Partition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Should</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 migrations SHALL be backward compatible for rolling deployments and SHALL include tested rollback or forward-fix procedures.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Migration rehearsal</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Database backups SHALL support point-in-time recovery and SHALL be restored in an automated exercise at least quarterly.</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Restore evidence</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DAT-009</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Idempotency keys SHALL be stored only as keyed hashes in idempotency_keys with a request fingerprint, explicit state, created_at, expires_at and user/route-scoped uniqueness.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Schema/security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DAT-010</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idempotency janitor SHALL run at least every 15 minutes and SHALL remove expired records within one hour; the configured TTL SHALL remain between 24 and 72 hours.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Expiry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DAT-011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Account deletion SHALL remove all idempotency records; consent withdrawal SHALL remove related replay content and result references even when the anti-replay key hash remains until expiry.</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Deletion drill</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8. Audit, deletion and background processing</w:t>
      </w:r>
    </w:p>
    <w:p>
      <w:pPr>
        <w:pStyle w:val="Heading2"/>
        <w:keepNext/>
      </w:pPr>
      <w:r>
        <w:t>8.1 Audit design</w:t>
      </w:r>
    </w:p>
    <w:p>
      <w:pPr>
        <w:keepNext w:val="0"/>
      </w:pPr>
      <w:r>
        <w:rPr>
          <w:rFonts w:ascii="Calibri" w:hAnsi="Calibri" w:eastAsia="Calibri" w:cs="Calibri"/>
          <w:i w:val="0"/>
          <w:color w:val="202124"/>
          <w:sz w:val="22"/>
        </w:rPr>
        <w:t>Compliance audit and operational telemetry are separate. An inference request, camera capture submission or ASR session creates one start event, optional material state-transition events and one completion event. Camera attempts, 250 ms audio packets, partial transcripts and token fragments are aggregated metrics or sampled traces, not individual PostgreSQL audit rows. Raw payloads never enter either channel.</w:t>
      </w:r>
    </w:p>
    <w:p>
      <w:pPr>
        <w:keepNext w:val="0"/>
      </w:pPr>
      <w:r>
        <w:rPr>
          <w:rFonts w:ascii="Calibri" w:hAnsi="Calibri" w:eastAsia="Calibri" w:cs="Calibri"/>
          <w:i w:val="0"/>
          <w:color w:val="202124"/>
          <w:sz w:val="22"/>
        </w:rPr>
        <w:t>A mutating domain transaction inserts its corresponding audit_outbox row atomically. Workers claim a configurable batch with SELECT ... FOR UPDATE SKIP LOCKED, insert the batch into append-only monthly audit partitions using event_id for deduplication, then mark the outbox rows complete. max_batch_events and max_flush_interval_ms are environment configuration: approved ranges are 100-1,000 events and 250-5,000 ms, with pilot defaults of 500 events or 1,000 ms, whichever occurs first. Production settings require a load test proving p95 outbox-write overhead &lt;= 10 ms and 99.9% projection within 60 seconds. Failed batches use bounded exponential backoff, split to isolate poison events and enter a dead-letter state after the attempt limit.</w:t>
      </w:r>
    </w:p>
    <w:p>
      <w:pPr>
        <w:spacing w:before="40" w:after="160" w:line="252" w:lineRule="auto"/>
        <w:ind w:left="259" w:right="259"/>
        <w:shd w:fill="F4F6F8"/>
      </w:pPr>
      <w:r>
        <w:rPr>
          <w:rFonts w:ascii="Liberation Mono" w:hAnsi="Liberation Mono" w:eastAsia="Liberation Mono" w:cs="Liberation Mono"/>
          <w:color w:val="243B53"/>
          <w:sz w:val="16"/>
        </w:rPr>
        <w:t>CREATE TABLE audit_events (</w:t>
      </w:r>
      <w:r>
        <w:br/>
      </w:r>
      <w:r>
        <w:rPr>
          <w:rFonts w:ascii="Liberation Mono" w:hAnsi="Liberation Mono" w:eastAsia="Liberation Mono" w:cs="Liberation Mono"/>
          <w:color w:val="243B53"/>
          <w:sz w:val="16"/>
        </w:rPr>
        <w:t xml:space="preserve">  event_id uuid NOT NULL,</w:t>
      </w:r>
      <w:r>
        <w:br/>
      </w:r>
      <w:r>
        <w:rPr>
          <w:rFonts w:ascii="Liberation Mono" w:hAnsi="Liberation Mono" w:eastAsia="Liberation Mono" w:cs="Liberation Mono"/>
          <w:color w:val="243B53"/>
          <w:sz w:val="16"/>
        </w:rPr>
        <w:t xml:space="preserve">  occurred_at timestamptz NOT NULL,</w:t>
      </w:r>
      <w:r>
        <w:br/>
      </w:r>
      <w:r>
        <w:rPr>
          <w:rFonts w:ascii="Liberation Mono" w:hAnsi="Liberation Mono" w:eastAsia="Liberation Mono" w:cs="Liberation Mono"/>
          <w:color w:val="243B53"/>
          <w:sz w:val="16"/>
        </w:rPr>
        <w:t xml:space="preserve">  actor_id uuid, action text NOT NULL, target_type text,</w:t>
      </w:r>
      <w:r>
        <w:br/>
      </w:r>
      <w:r>
        <w:rPr>
          <w:rFonts w:ascii="Liberation Mono" w:hAnsi="Liberation Mono" w:eastAsia="Liberation Mono" w:cs="Liberation Mono"/>
          <w:color w:val="243B53"/>
          <w:sz w:val="16"/>
        </w:rPr>
        <w:t xml:space="preserve">  target_id uuid, outcome text NOT NULL, request_id text, trace_id text,</w:t>
      </w:r>
      <w:r>
        <w:br/>
      </w:r>
      <w:r>
        <w:rPr>
          <w:rFonts w:ascii="Liberation Mono" w:hAnsi="Liberation Mono" w:eastAsia="Liberation Mono" w:cs="Liberation Mono"/>
          <w:color w:val="243B53"/>
          <w:sz w:val="16"/>
        </w:rPr>
        <w:t xml:space="preserve">  PRIMARY KEY (event_id, occurred_at)</w:t>
      </w:r>
      <w:r>
        <w:br/>
      </w:r>
      <w:r>
        <w:rPr>
          <w:rFonts w:ascii="Liberation Mono" w:hAnsi="Liberation Mono" w:eastAsia="Liberation Mono" w:cs="Liberation Mono"/>
          <w:color w:val="243B53"/>
          <w:sz w:val="16"/>
        </w:rPr>
        <w:t>) PARTITION BY RANGE (occurred_at);</w:t>
      </w:r>
      <w:r>
        <w:br/>
      </w:r>
      <w:r>
        <w:rPr>
          <w:rFonts w:ascii="Liberation Mono" w:hAnsi="Liberation Mono" w:eastAsia="Liberation Mono" w:cs="Liberation Mono"/>
          <w:color w:val="243B53"/>
          <w:sz w:val="16"/>
        </w:rPr>
      </w:r>
      <w:r>
        <w:br/>
      </w:r>
      <w:r>
        <w:rPr>
          <w:rFonts w:ascii="Liberation Mono" w:hAnsi="Liberation Mono" w:eastAsia="Liberation Mono" w:cs="Liberation Mono"/>
          <w:color w:val="243B53"/>
          <w:sz w:val="16"/>
        </w:rPr>
        <w:t>CREATE TABLE audit_events_2026_09 PARTITION OF audit_events</w:t>
      </w:r>
      <w:r>
        <w:br/>
      </w:r>
      <w:r>
        <w:rPr>
          <w:rFonts w:ascii="Liberation Mono" w:hAnsi="Liberation Mono" w:eastAsia="Liberation Mono" w:cs="Liberation Mono"/>
          <w:color w:val="243B53"/>
          <w:sz w:val="16"/>
        </w:rPr>
        <w:t xml:space="preserve">  FOR VALUES FROM ('2026-09-01') TO ('2026-10-01');</w:t>
      </w:r>
      <w:r>
        <w:br/>
      </w:r>
      <w:r>
        <w:rPr>
          <w:rFonts w:ascii="Liberation Mono" w:hAnsi="Liberation Mono" w:eastAsia="Liberation Mono" w:cs="Liberation Mono"/>
          <w:color w:val="243B53"/>
          <w:sz w:val="16"/>
        </w:rPr>
        <w:t>CREATE INDEX audit_events_2026_09_actor_time_idx</w:t>
      </w:r>
      <w:r>
        <w:br/>
      </w:r>
      <w:r>
        <w:rPr>
          <w:rFonts w:ascii="Liberation Mono" w:hAnsi="Liberation Mono" w:eastAsia="Liberation Mono" w:cs="Liberation Mono"/>
          <w:color w:val="243B53"/>
          <w:sz w:val="16"/>
        </w:rPr>
        <w:t xml:space="preserve">  ON audit_events_2026_09 (actor_id, occurred_at DESC);</w:t>
      </w:r>
    </w:p>
    <w:p>
      <w:pPr>
        <w:keepNext w:val="0"/>
      </w:pPr>
      <w:r>
        <w:rPr>
          <w:rFonts w:ascii="Calibri" w:hAnsi="Calibri" w:eastAsia="Calibri" w:cs="Calibri"/>
          <w:i w:val="0"/>
          <w:color w:val="202124"/>
          <w:sz w:val="22"/>
        </w:rPr>
        <w:t>A durable broker such as NATS JetStream or RabbitMQ MAY be introduced after the outbox for fan-out or cross-service buffering. Publishing occurs only after database commit; the broker acknowledgement never replaces the outbox record. Redis Streams SHALL NOT be the sole compliance-audit authority because failover and trimming semantics do not provide the required atomic link to the business transaction.</w:t>
      </w:r>
    </w:p>
    <w:p>
      <w:pPr>
        <w:pStyle w:val="Heading2"/>
        <w:keepNext/>
      </w:pPr>
      <w:r>
        <w:t>8.2 Deletion lifecycle</w:t>
      </w:r>
    </w:p>
    <w:p>
      <w:pPr>
        <w:jc w:val="center"/>
      </w:pPr>
      <w:r>
        <w:drawing>
          <wp:inline xmlns:a="http://schemas.openxmlformats.org/drawingml/2006/main" xmlns:pic="http://schemas.openxmlformats.org/drawingml/2006/picture">
            <wp:extent cx="5897880" cy="2129790"/>
            <wp:docPr id="2" name="Picture 2" title="Deletion lifecycle" descr="Consent withdrawal blocks writes, records a durable deletion request, purges primary and derived data, verifies after in-flight work ends, and retains minimal deletion evidence."/>
            <wp:cNvGraphicFramePr>
              <a:graphicFrameLocks noChangeAspect="1"/>
            </wp:cNvGraphicFramePr>
            <a:graphic>
              <a:graphicData uri="http://schemas.openxmlformats.org/drawingml/2006/picture">
                <pic:pic>
                  <pic:nvPicPr>
                    <pic:cNvPr id="0" name="v16_data_lifecycle.png"/>
                    <pic:cNvPicPr/>
                  </pic:nvPicPr>
                  <pic:blipFill>
                    <a:blip r:embed="rId12"/>
                    <a:stretch>
                      <a:fillRect/>
                    </a:stretch>
                  </pic:blipFill>
                  <pic:spPr>
                    <a:xfrm>
                      <a:off x="0" y="0"/>
                      <a:ext cx="5897880" cy="2129790"/>
                    </a:xfrm>
                    <a:prstGeom prst="rect"/>
                  </pic:spPr>
                </pic:pic>
              </a:graphicData>
            </a:graphic>
          </wp:inline>
        </w:drawing>
      </w:r>
    </w:p>
    <w:p>
      <w:pPr>
        <w:spacing w:after="160"/>
        <w:jc w:val="center"/>
      </w:pPr>
      <w:r>
        <w:rPr>
          <w:rFonts w:ascii="Calibri" w:hAnsi="Calibri" w:eastAsia="Calibri" w:cs="Calibri"/>
          <w:i/>
          <w:color w:val="667085"/>
          <w:sz w:val="18"/>
        </w:rPr>
        <w:t>Figure 2. Durable and race-safe deletion lifecycle</w:t>
      </w:r>
    </w:p>
    <w:p>
      <w:pPr>
        <w:keepNext w:val="0"/>
      </w:pPr>
      <w:r>
        <w:rPr>
          <w:rFonts w:ascii="Calibri" w:hAnsi="Calibri" w:eastAsia="Calibri" w:cs="Calibri"/>
          <w:i w:val="0"/>
          <w:color w:val="202124"/>
          <w:sz w:val="22"/>
        </w:rPr>
        <w:t>Withdrawal and account deletion use the same orchestrator but different scopes. The request record exists before any user row is removed, so ON DELETE SET NULL cannot make data undiscoverable. Legacy experiment_data_submissions rows are migrated into or enumerated alongside the canonical artifacts catalogue. Each deletion item records target type, target ID, object bucket/key/version ID where applicable, attempt count, status, last error and completion timestamp. Paths and raw text are removed; only non-personal evidence such as counts, timestamps and outcome remains.</w:t>
      </w:r>
    </w:p>
    <w:p>
      <w:pPr>
        <w:keepNext w:val="0"/>
      </w:pPr>
      <w:r>
        <w:rPr>
          <w:rFonts w:ascii="Calibri" w:hAnsi="Calibri" w:eastAsia="Calibri" w:cs="Calibri"/>
          <w:i w:val="0"/>
          <w:color w:val="202124"/>
          <w:sz w:val="22"/>
        </w:rPr>
        <w:t>The object-store worker lists and deletes every retained object version and delete marker, aborts incomplete multipart uploads, removes derived thumbnails/audio/exports, and confirms absence before deleting the final database reference. Lifecycle rules are defence in depth, not proof of deletion. Short-lived signed URLs expire within five minutes; new URLs are denied as soon as withdrawal commits. Legal holds suspend only named items and require an owner, reason and expiry.</w:t>
      </w:r>
    </w:p>
    <w:p>
      <w:pPr>
        <w:pStyle w:val="Heading2"/>
        <w:keepNext/>
      </w:pPr>
      <w:r>
        <w:t>8.3 Race prevention and backup handling</w:t>
      </w:r>
    </w:p>
    <w:p>
      <w:pPr>
        <w:spacing w:after="80" w:line="300" w:lineRule="auto"/>
        <w:numPr>
          <w:ilvl w:val="0"/>
          <w:numId w:val="13"/>
        </w:numPr>
      </w:pPr>
      <w:r>
        <w:t>The withdrawal transaction sets consent.withdrawn_at, increments the user data-generation epoch and creates the deletion request.</w:t>
      </w:r>
    </w:p>
    <w:p>
      <w:pPr>
        <w:spacing w:after="80" w:line="300" w:lineRule="auto"/>
        <w:numPr>
          <w:ilvl w:val="0"/>
          <w:numId w:val="13"/>
        </w:numPr>
      </w:pPr>
      <w:r>
        <w:t>Every inference write checks the consent record and captured data-generation epoch immediately before commit.</w:t>
      </w:r>
    </w:p>
    <w:p>
      <w:pPr>
        <w:spacing w:after="80" w:line="300" w:lineRule="auto"/>
        <w:numPr>
          <w:ilvl w:val="0"/>
          <w:numId w:val="13"/>
        </w:numPr>
      </w:pPr>
      <w:r>
        <w:t>The purge worker deletes matching database rows, object versions, cache keys and derived embeddings.</w:t>
      </w:r>
    </w:p>
    <w:p>
      <w:pPr>
        <w:spacing w:after="80" w:line="300" w:lineRule="auto"/>
        <w:numPr>
          <w:ilvl w:val="0"/>
          <w:numId w:val="13"/>
        </w:numPr>
      </w:pPr>
      <w:r>
        <w:t>The object-store stage enumerates all versions and delete markers, aborts incomplete multipart uploads and records provider deletion receipts or verification results.</w:t>
      </w:r>
    </w:p>
    <w:p>
      <w:pPr>
        <w:spacing w:after="80" w:line="300" w:lineRule="auto"/>
        <w:numPr>
          <w:ilvl w:val="0"/>
          <w:numId w:val="13"/>
        </w:numPr>
      </w:pPr>
      <w:r>
        <w:t>The orchestrator records every matching in-flight task and its deadline_at. The second sweep runs at max(deadline_at) plus deletion.verification_grace_seconds, initially 60 seconds, and verifies that no post-withdrawal database, object, cache, search or vector record exists.</w:t>
      </w:r>
    </w:p>
    <w:p>
      <w:pPr>
        <w:spacing w:after="80" w:line="300" w:lineRule="auto"/>
        <w:numPr>
          <w:ilvl w:val="0"/>
          <w:numId w:val="13"/>
        </w:numPr>
      </w:pPr>
      <w:r>
        <w:t>A tombstone ledger is retained until all relevant backups expire. Restore automation reapplies tombstones before application access is enabled.</w:t>
      </w:r>
    </w:p>
    <w:p>
      <w:pPr>
        <w:pStyle w:val="Heading2"/>
        <w:keepNext/>
      </w:pPr>
      <w:r>
        <w:t>8.4 Task deadlines and bounded admission</w:t>
      </w:r>
    </w:p>
    <w:p>
      <w:pPr>
        <w:keepNext w:val="0"/>
      </w:pPr>
      <w:r>
        <w:rPr>
          <w:rFonts w:ascii="Calibri" w:hAnsi="Calibri" w:eastAsia="Calibri" w:cs="Calibri"/>
          <w:i w:val="0"/>
          <w:color w:val="202124"/>
          <w:sz w:val="22"/>
        </w:rPr>
        <w:t>All values are versioned configuration and may be tightened after Phase 0 capacity testing. Increasing a deadline or queue limit requires an operational and privacy impact review because it changes the deletion verification horizon and overload risk.</w:t>
      </w:r>
    </w:p>
    <w:tbl>
      <w:tblPr>
        <w:tblStyle w:val="TableGrid"/>
        <w:tblW w:type="dxa" w:w="9360"/>
        <w:jc w:val="left"/>
        <w:tblLayout w:type="fixed"/>
        <w:tblLook w:firstColumn="1" w:firstRow="1" w:lastColumn="0" w:lastRow="0" w:noHBand="0" w:noVBand="1" w:val="04A0"/>
        <w:tblInd w:w="120" w:type="dxa"/>
      </w:tblPr>
      <w:tblGrid>
        <w:gridCol w:w="2400"/>
        <w:gridCol w:w="2200"/>
        <w:gridCol w:w="2850"/>
        <w:gridCol w:w="1910"/>
      </w:tblGrid>
      <w:tr>
        <w:trPr>
          <w:tblHeader w:val="true"/>
          <w:cantSplit/>
        </w:trPr>
        <w:tc>
          <w:tcPr>
            <w:tcW w:type="dxa" w:w="24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Task class</w:t>
            </w:r>
          </w:p>
        </w:tc>
        <w:tc>
          <w:tcPr>
            <w:tcW w:type="dxa" w:w="2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Default deadline</w:t>
            </w:r>
          </w:p>
        </w:tc>
        <w:tc>
          <w:tcPr>
            <w:tcW w:type="dxa" w:w="285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Default pending limit</w:t>
            </w:r>
          </w:p>
        </w:tc>
        <w:tc>
          <w:tcPr>
            <w:tcW w:type="dxa" w:w="191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Maximum attempts</w:t>
            </w:r>
          </w:p>
        </w:tc>
      </w:tr>
      <w:tr>
        <w:trPr>
          <w:cantSplit/>
        </w:trPr>
        <w:tc>
          <w:tcPr>
            <w:tcW w:type="dxa" w:w="2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Chat, headline, RAG query</w:t>
            </w:r>
          </w:p>
        </w:tc>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30 s</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500 per class</w:t>
            </w:r>
          </w:p>
        </w:tc>
        <w:tc>
          <w:tcPr>
            <w:tcW w:type="dxa" w:w="19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w:t>
            </w:r>
          </w:p>
        </w:tc>
      </w:tr>
      <w:tr>
        <w:trPr>
          <w:cantSplit/>
        </w:trPr>
        <w:tc>
          <w:tcPr>
            <w:tcW w:type="dxa" w:w="24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OCR</w:t>
            </w:r>
          </w:p>
        </w:tc>
        <w:tc>
          <w:tcPr>
            <w:tcW w:type="dxa" w:w="2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5 min</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500</w:t>
            </w:r>
          </w:p>
        </w:tc>
        <w:tc>
          <w:tcPr>
            <w:tcW w:type="dxa" w:w="19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w:t>
            </w:r>
          </w:p>
        </w:tc>
      </w:tr>
      <w:tr>
        <w:trPr>
          <w:cantSplit/>
        </w:trPr>
        <w:tc>
          <w:tcPr>
            <w:tcW w:type="dxa" w:w="24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TTS</w:t>
            </w:r>
          </w:p>
        </w:tc>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2 min</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500</w:t>
            </w:r>
          </w:p>
        </w:tc>
        <w:tc>
          <w:tcPr>
            <w:tcW w:type="dxa" w:w="19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w:t>
            </w:r>
          </w:p>
        </w:tc>
      </w:tr>
      <w:tr>
        <w:trPr>
          <w:cantSplit/>
        </w:trPr>
        <w:tc>
          <w:tcPr>
            <w:tcW w:type="dxa" w:w="24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Live ASR</w:t>
            </w:r>
          </w:p>
        </w:tc>
        <w:tc>
          <w:tcPr>
            <w:tcW w:type="dxa" w:w="2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30 min session; 30 s finalise</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100 sessions</w:t>
            </w:r>
          </w:p>
        </w:tc>
        <w:tc>
          <w:tcPr>
            <w:tcW w:type="dxa" w:w="19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Transport reconnect only</w:t>
            </w:r>
          </w:p>
        </w:tc>
      </w:tr>
      <w:tr>
        <w:trPr>
          <w:cantSplit/>
        </w:trPr>
        <w:tc>
          <w:tcPr>
            <w:tcW w:type="dxa" w:w="24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Batch ASR</w:t>
            </w:r>
          </w:p>
        </w:tc>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30 min</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100</w:t>
            </w:r>
          </w:p>
        </w:tc>
        <w:tc>
          <w:tcPr>
            <w:tcW w:type="dxa" w:w="19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w:t>
            </w:r>
          </w:p>
        </w:tc>
      </w:tr>
      <w:tr>
        <w:trPr>
          <w:cantSplit/>
        </w:trPr>
        <w:tc>
          <w:tcPr>
            <w:tcW w:type="dxa" w:w="2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RAG ingestion / export</w:t>
            </w:r>
          </w:p>
        </w:tc>
        <w:tc>
          <w:tcPr>
            <w:tcW w:type="dxa" w:w="2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30 min</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100 per class</w:t>
            </w:r>
          </w:p>
        </w:tc>
        <w:tc>
          <w:tcPr>
            <w:tcW w:type="dxa" w:w="19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5</w:t>
            </w:r>
          </w:p>
        </w:tc>
      </w:tr>
      <w:tr>
        <w:trPr>
          <w:cantSplit/>
        </w:trPr>
        <w:tc>
          <w:tcPr>
            <w:tcW w:type="dxa" w:w="2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projection</w:t>
            </w:r>
          </w:p>
        </w:tc>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60 s projection SLO</w:t>
            </w:r>
          </w:p>
        </w:tc>
        <w:tc>
          <w:tcPr>
            <w:tcW w:type="dxa" w:w="2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50,000 soft high-watermark</w:t>
            </w:r>
          </w:p>
        </w:tc>
        <w:tc>
          <w:tcPr>
            <w:tcW w:type="dxa" w:w="191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10 then isolated</w:t>
            </w:r>
          </w:p>
        </w:tc>
      </w:tr>
      <w:tr>
        <w:trPr>
          <w:cantSplit/>
        </w:trPr>
        <w:tc>
          <w:tcPr>
            <w:tcW w:type="dxa" w:w="24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Deletion</w:t>
            </w:r>
          </w:p>
        </w:tc>
        <w:tc>
          <w:tcPr>
            <w:tcW w:type="dxa" w:w="2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24 h completion SLO</w:t>
            </w:r>
          </w:p>
        </w:tc>
        <w:tc>
          <w:tcPr>
            <w:tcW w:type="dxa" w:w="2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10,000 soft high-watermark</w:t>
            </w:r>
          </w:p>
        </w:tc>
        <w:tc>
          <w:tcPr>
            <w:tcW w:type="dxa" w:w="191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10 then operator escalation</w:t>
            </w:r>
          </w:p>
        </w:tc>
      </w:tr>
    </w:tbl>
    <w:p>
      <w:pPr>
        <w:spacing w:after="40"/>
      </w:pPr>
    </w:p>
    <w:p>
      <w:pPr>
        <w:keepNext w:val="0"/>
      </w:pPr>
      <w:r>
        <w:rPr>
          <w:rFonts w:ascii="Calibri" w:hAnsi="Calibri" w:eastAsia="Calibri" w:cs="Calibri"/>
          <w:i w:val="0"/>
          <w:color w:val="202124"/>
          <w:sz w:val="22"/>
        </w:rPr>
        <w:t>User-submitted work is admitted atomically only while both the per-class pending limit and the configured system/tenant budget are available. Saturated endpoints return 429 QUEUE_FULL with Retry-After calculated from a bounded drain-rate estimate and capped at 60 seconds; no job ID is created. Audit and deletion work is written with the originating transaction and is never dropped or rejected after commit. Those queues have reserved worker/database capacity and soft high-watermarks; when breached, the Gateway sheds new non-essential inference before accepting further business events. Consent withdrawal, logout and security revocation retain reserved admission capacity.</w:t>
      </w:r>
    </w:p>
    <w:p>
      <w:pPr>
        <w:keepNext w:val="0"/>
      </w:pPr>
      <w:r>
        <w:rPr>
          <w:rFonts w:ascii="Calibri" w:hAnsi="Calibri" w:eastAsia="Calibri" w:cs="Calibri"/>
          <w:i w:val="0"/>
          <w:color w:val="202124"/>
          <w:sz w:val="22"/>
        </w:rPr>
        <w:t>A failed task is isolated after its class-specific maximum attempts. The dead-letter record contains task ID, class, last typed error, attempts and next operator action, but no raw payload. Replay requires an authorised operator, uses the same task/idempotency identity and produces an audit event. Deletion exceptions remain visible as failed or completed_with_exceptions until resolved; dead-letter isolation never converts them to success.</w:t>
      </w:r>
    </w:p>
    <w:p>
      <w:pPr>
        <w:pStyle w:val="Heading2"/>
        <w:keepNext/>
      </w:pPr>
      <w:r>
        <w:t>8.5 Background-processing requirements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vAlign w:val="center"/>
          </w:tcPr>
          <w:p>
            <w:pPr>
              <w:spacing w:after="60"/>
            </w:pPr>
            <w:r/>
            <w:r>
              <w:rPr>
                <w:rFonts w:ascii="Calibri" w:hAnsi="Calibri" w:eastAsia="Calibri" w:cs="Calibri"/>
                <w:b/>
                <w:color w:val="16324F"/>
                <w:sz w:val="21"/>
              </w:rPr>
              <w:t>STABLE REQUIREMENT IDS</w:t>
            </w:r>
          </w:p>
          <w:p>
            <w:pPr>
              <w:spacing w:after="0" w:line="269" w:lineRule="auto"/>
            </w:pPr>
            <w:r>
              <w:rPr>
                <w:rFonts w:ascii="Calibri" w:hAnsi="Calibri" w:eastAsia="Calibri" w:cs="Calibri"/>
                <w:color w:val="202124"/>
                <w:sz w:val="19"/>
              </w:rPr>
              <w:t>v1.6 retains JOB-009 and JOB-010 for the audit controls assigned in v1.5. The newly enforceable queue and deadline controls therefore begin at JOB-013 rather than reusing identifiers from the unissued v1.4 checkpoint.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deletion and indexing tasks SHALL have globally unique event/task IDs and idempotent handlers.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Replay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Workers SHALL support configurable claim timeout, bounded retry with jitter, poison-message isolation after the class-specific maximum attempts and audited operator-driven replay.</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Failure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 withdrawal SHALL return 202 Accepted with deletion_request_id, status URI and target completion time.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purge worker SHALL cover primary tables, object versions, caches, search indexes, vector chunks and derived exports.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Deletion drill</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system SHALL prevent or remove writes committed after the withdrawal watermark.</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Concurrency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Deletion status SHALL use queued, running, verifying, completed, completed_with_exceptions or failed values enforced by schema.</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Schema/API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outbox age above 60 seconds or a non-zero dead-letter count for five minutes SHALL alert the on-call owner.</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Alert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Should</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evidence SHALL be append-only to the application role and protected by checksum/signature or write-once archival export.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Tamper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JOB-009</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Packet-, frame-, partial-transcript- and token-level activity SHALL be aggregated or sampled and SHALL NOT create one audit row per unit.</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Load/log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JOB-010</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projection SHALL use bounded batches and monthly occurred_at partitions, including automated next-partition creation and default-partition reconciliation.</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Partition/load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JOB-011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Object deletion SHALL remove all versions, delete markers, incomplete multipart uploads and derived objects before the related deletion item is complete.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Versioned-bucket drill</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JOB-012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broker introduced after the transactional outbox SHALL be replay-safe and SHALL NOT become the sole durable record of a business or compliance event.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Failure/replay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JOB-013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Each user-work queue SHALL define configurable per-class, per-tenant and system pending limits; the pilot defaults in Section 8.4 SHALL apply until replaced by approved capacity evidence.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Configuration/load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JOB-014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saturated user-work endpoint SHALL reject before job creation with 429 QUEUE_FULL and a Retry-After value no greater than 60 seconds.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Overload/API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JOB-015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 inference SHALL be isolated after three failed attempts and ingestion/export after five; audit and deletion exceptions SHALL escalate after ten attempts without being marked successful or discarded.</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Dead-letter/replay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JOB-016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Every task SHALL persist task_class, started_at and deadline_at; deletion verification SHALL run after the latest captured deadline_at plus a configurable grace period whose pilot default is 60 seconds.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Concurrency/deletion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JOB-017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and deletion queues SHALL have reserved capacity and SHALL never silently drop work; a breached high-watermark SHALL shed new non-essential inference before the originating compliance transaction is accepted.</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Saturation/failure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JOB-018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max_batch_events and max_flush_interval_ms SHALL be configurable within 100-1,000 events and 250-5,000 ms; every production setting SHALL pass the 10 ms write-overhead and 60-second projection SLO tests.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Configuration/load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9. Retrieval-augmented generation and vector search</w:t>
      </w:r>
    </w:p>
    <w:p>
      <w:pPr>
        <w:pStyle w:val="Heading2"/>
        <w:keepNext/>
      </w:pPr>
      <w:r>
        <w:t>9.1 Ingestion and retrieval pipeline</w:t>
      </w:r>
    </w:p>
    <w:p>
      <w:pPr>
        <w:spacing w:after="80" w:line="300" w:lineRule="auto"/>
        <w:numPr>
          <w:ilvl w:val="0"/>
          <w:numId w:val="14"/>
        </w:numPr>
      </w:pPr>
      <w:r>
        <w:t>Authorised project administrator uploads a validated document and assigns its project ACL and data class.</w:t>
      </w:r>
    </w:p>
    <w:p>
      <w:pPr>
        <w:spacing w:after="80" w:line="300" w:lineRule="auto"/>
        <w:numPr>
          <w:ilvl w:val="0"/>
          <w:numId w:val="14"/>
        </w:numPr>
      </w:pPr>
      <w:r>
        <w:t>The ingestion worker extracts text in an isolated process, records document version and content hash, then creates deterministic chunks.</w:t>
      </w:r>
    </w:p>
    <w:p>
      <w:pPr>
        <w:spacing w:after="80" w:line="300" w:lineRule="auto"/>
        <w:numPr>
          <w:ilvl w:val="0"/>
          <w:numId w:val="14"/>
        </w:numPr>
      </w:pPr>
      <w:r>
        <w:t>Chunks are embedded with the collection-bound model and stored with model ID, model version, dimension, chunk index, token count and lineage.</w:t>
      </w:r>
    </w:p>
    <w:p>
      <w:pPr>
        <w:spacing w:after="80" w:line="300" w:lineRule="auto"/>
        <w:numPr>
          <w:ilvl w:val="0"/>
          <w:numId w:val="14"/>
        </w:numPr>
      </w:pPr>
      <w:r>
        <w:t>Queries apply project/ACL filters before similarity search and reranking. The generator receives only authorised chunks.</w:t>
      </w:r>
    </w:p>
    <w:p>
      <w:pPr>
        <w:spacing w:after="80" w:line="300" w:lineRule="auto"/>
        <w:numPr>
          <w:ilvl w:val="0"/>
          <w:numId w:val="14"/>
        </w:numPr>
      </w:pPr>
      <w:r>
        <w:t>The response cites document and chunk identifiers and records retrieval/generation versions for reproducibility.</w:t>
      </w:r>
    </w:p>
    <w:p>
      <w:pPr>
        <w:pStyle w:val="Heading2"/>
        <w:keepNext/>
      </w:pPr>
      <w:r>
        <w:t>9.2 Frozen acceptance benchmark</w:t>
      </w:r>
    </w:p>
    <w:p>
      <w:pPr>
        <w:keepNext w:val="0"/>
      </w:pPr>
      <w:r>
        <w:rPr>
          <w:rFonts w:ascii="Calibri" w:hAnsi="Calibri" w:eastAsia="Calibri" w:cs="Calibri"/>
          <w:i w:val="0"/>
          <w:color w:val="202124"/>
          <w:sz w:val="22"/>
        </w:rPr>
        <w:t>The mandatory pilot benchmark is MAP-Bilingual-RAG-500 v1: a frozen, SHA-256-addressed corpus snapshot and 500 independently adjudicated queries comprising 200 ta-LK, 100 English, 75 romanised-Tamil, 75 Tamil-English code-mixed and 50 cross-language queries. Gold relevance judgements identify acceptable chunks and source documents. The manifest records query IDs, split, corpus/document versions, adjudicators, exclusions and metric implementation. Tuning uses a separate development split; the acceptance query set is not exposed to parameter selection. Results report point estimates and 95% bootstrap confidence intervals overall and by slice.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vAlign w:val="center"/>
          </w:tcPr>
          <w:p>
            <w:pPr>
              <w:spacing w:after="60"/>
            </w:pPr>
            <w:r/>
            <w:r>
              <w:rPr>
                <w:rFonts w:ascii="Calibri" w:hAnsi="Calibri" w:eastAsia="Calibri" w:cs="Calibri"/>
                <w:b/>
                <w:color w:val="16324F"/>
                <w:sz w:val="21"/>
              </w:rPr>
              <w:t>MANDATORY PILOT GATE</w:t>
            </w:r>
          </w:p>
          <w:p>
            <w:pPr>
              <w:spacing w:after="0" w:line="269" w:lineRule="auto"/>
            </w:pPr>
            <w:r>
              <w:rPr>
                <w:rFonts w:ascii="Calibri" w:hAnsi="Calibri" w:eastAsia="Calibri" w:cs="Calibri"/>
                <w:color w:val="202124"/>
                <w:sz w:val="19"/>
              </w:rPr>
              <w:t>At 1,000,000 chunks with realistic project/ACL filter selectivity, retrieval SHALL achieve Recall@10 &gt;= 0.85 and MRR@10 &gt;= 0.80 overall, with no required slice below Recall@10 0.75. The vector-search stage SHALL achieve p95 &lt;= 50 ms at 20 concurrent queries. A full HNSW build SHALL complete within 4 hours on the declared reference database node (16 vCPU, 64 GiB RAM, local NVMe).</w:t>
            </w:r>
          </w:p>
        </w:tc>
      </w:tr>
    </w:tbl>
    <w:p>
      <w:pPr>
        <w:spacing w:after="40"/>
      </w:pPr>
    </w:p>
    <w:p>
      <w:pPr>
        <w:pStyle w:val="Heading2"/>
        <w:keepNext/>
      </w:pPr>
      <w:r>
        <w:t>9.3 Index governance</w:t>
      </w:r>
    </w:p>
    <w:p>
      <w:pPr>
        <w:keepNext w:val="0"/>
      </w:pPr>
      <w:r>
        <w:rPr>
          <w:rFonts w:ascii="Calibri" w:hAnsi="Calibri" w:eastAsia="Calibri" w:cs="Calibri"/>
          <w:i w:val="0"/>
          <w:color w:val="202124"/>
          <w:sz w:val="22"/>
        </w:rPr>
        <w:t>HNSW is an initial candidate, not an unquestioned default. The benchmark compares exact search, HNSW and IVFFlat where relevant. HNSW m, ef_construction and query ef_search values are versioned with the collection. Index-existence tests are insufficient; acceptance tests must prove recall and query-plan use with realistic filters. The 50 ms target measures the database vector-search stage, excluding embedding generation, network transit and answer generation; cold-cache results are reported separately and cannot replace the required warm steady-state result.</w:t>
      </w:r>
    </w:p>
    <w:p>
      <w:pPr>
        <w:keepNext w:val="0"/>
      </w:pPr>
      <w:r>
        <w:rPr>
          <w:rFonts w:ascii="Calibri" w:hAnsi="Calibri" w:eastAsia="Calibri" w:cs="Calibri"/>
          <w:i w:val="0"/>
          <w:color w:val="202124"/>
          <w:sz w:val="22"/>
        </w:rPr>
        <w:t>IndicBERT or any other model may be selected only after evaluation on representative Tamil and English retrieval sets. A language model is not assumed to be a suitable sentence embedding model without evidence.</w:t>
      </w:r>
    </w:p>
    <w:p>
      <w:pPr>
        <w:spacing w:before="40" w:after="160" w:line="252" w:lineRule="auto"/>
        <w:ind w:left="259" w:right="259"/>
        <w:shd w:fill="F4F6F8"/>
      </w:pPr>
      <w:r>
        <w:rPr>
          <w:rFonts w:ascii="Liberation Mono" w:hAnsi="Liberation Mono" w:eastAsia="Liberation Mono" w:cs="Liberation Mono"/>
          <w:color w:val="243B53"/>
          <w:sz w:val="16"/>
        </w:rPr>
        <w:t>-- Generated migration example for collection c42; never a runtime placeholder.</w:t>
      </w:r>
      <w:r>
        <w:br/>
      </w:r>
      <w:r>
        <w:rPr>
          <w:rFonts w:ascii="Liberation Mono" w:hAnsi="Liberation Mono" w:eastAsia="Liberation Mono" w:cs="Liberation Mono"/>
          <w:color w:val="243B53"/>
          <w:sz w:val="16"/>
        </w:rPr>
        <w:t>CREATE TABLE resource_embeddings_c42 (</w:t>
      </w:r>
      <w:r>
        <w:br/>
      </w:r>
      <w:r>
        <w:rPr>
          <w:rFonts w:ascii="Liberation Mono" w:hAnsi="Liberation Mono" w:eastAsia="Liberation Mono" w:cs="Liberation Mono"/>
          <w:color w:val="243B53"/>
          <w:sz w:val="16"/>
        </w:rPr>
        <w:t xml:space="preserve">  collection_id uuid NOT NULL,</w:t>
      </w:r>
      <w:r>
        <w:br/>
      </w:r>
      <w:r>
        <w:rPr>
          <w:rFonts w:ascii="Liberation Mono" w:hAnsi="Liberation Mono" w:eastAsia="Liberation Mono" w:cs="Liberation Mono"/>
          <w:color w:val="243B53"/>
          <w:sz w:val="16"/>
        </w:rPr>
        <w:t xml:space="preserve">  chunk_id uuid PRIMARY KEY,</w:t>
      </w:r>
      <w:r>
        <w:br/>
      </w:r>
      <w:r>
        <w:rPr>
          <w:rFonts w:ascii="Liberation Mono" w:hAnsi="Liberation Mono" w:eastAsia="Liberation Mono" w:cs="Liberation Mono"/>
          <w:color w:val="243B53"/>
          <w:sz w:val="16"/>
        </w:rPr>
        <w:t xml:space="preserve">  embedding vector(768) NOT NULL,</w:t>
      </w:r>
      <w:r>
        <w:br/>
      </w:r>
      <w:r>
        <w:rPr>
          <w:rFonts w:ascii="Liberation Mono" w:hAnsi="Liberation Mono" w:eastAsia="Liberation Mono" w:cs="Liberation Mono"/>
          <w:color w:val="243B53"/>
          <w:sz w:val="16"/>
        </w:rPr>
        <w:t xml:space="preserve">  CHECK (collection_id = '00000000-0000-0000-0000-000000000042')</w:t>
      </w:r>
      <w:r>
        <w:br/>
      </w:r>
      <w:r>
        <w:rPr>
          <w:rFonts w:ascii="Liberation Mono" w:hAnsi="Liberation Mono" w:eastAsia="Liberation Mono" w:cs="Liberation Mono"/>
          <w:color w:val="243B53"/>
          <w:sz w:val="16"/>
        </w:rPr>
        <w:t>);</w:t>
      </w:r>
      <w:r>
        <w:br/>
      </w:r>
      <w:r>
        <w:rPr>
          <w:rFonts w:ascii="Liberation Mono" w:hAnsi="Liberation Mono" w:eastAsia="Liberation Mono" w:cs="Liberation Mono"/>
          <w:color w:val="243B53"/>
          <w:sz w:val="16"/>
        </w:rPr>
        <w:t>CREATE INDEX resource_embeddings_c42_hnsw_cos_idx</w:t>
      </w:r>
      <w:r>
        <w:br/>
      </w:r>
      <w:r>
        <w:rPr>
          <w:rFonts w:ascii="Liberation Mono" w:hAnsi="Liberation Mono" w:eastAsia="Liberation Mono" w:cs="Liberation Mono"/>
          <w:color w:val="243B53"/>
          <w:sz w:val="16"/>
        </w:rPr>
        <w:t xml:space="preserve">  ON resource_embeddings_c42 USING hnsw (embedding vector_cosine_ops)</w:t>
      </w:r>
      <w:r>
        <w:br/>
      </w:r>
      <w:r>
        <w:rPr>
          <w:rFonts w:ascii="Liberation Mono" w:hAnsi="Liberation Mono" w:eastAsia="Liberation Mono" w:cs="Liberation Mono"/>
          <w:color w:val="243B53"/>
          <w:sz w:val="16"/>
        </w:rPr>
        <w:t xml:space="preserve">  WITH (m = 16, ef_construction = 128);</w:t>
      </w:r>
    </w:p>
    <w:p>
      <w:pPr>
        <w:keepNext w:val="0"/>
      </w:pPr>
      <w:r>
        <w:rPr>
          <w:rFonts w:ascii="Calibri" w:hAnsi="Calibri" w:eastAsia="Calibri" w:cs="Calibri"/>
          <w:i w:val="0"/>
          <w:color w:val="202124"/>
          <w:sz w:val="22"/>
        </w:rPr>
        <w:t>The migration generator reads dimension and distance metric from the approved embedding-model registry and emits a concrete PostgreSQL type and matching operator class. vector_cosine_ops is used only for cosine distance; inner-product or L2 collections use their corresponding operator classes. The example parameters are starting values, not universal defaults. PostgreSQL cannot safely parameterise vector typmods at query time.</w:t>
      </w:r>
    </w:p>
    <w:p>
      <w:pPr>
        <w:pStyle w:val="Heading2"/>
        <w:keepNext/>
      </w:pPr>
      <w:r>
        <w:t>9.4 Zero-downtime collection migration</w:t>
      </w:r>
    </w:p>
    <w:p>
      <w:pPr>
        <w:keepNext w:val="0"/>
      </w:pPr>
      <w:r>
        <w:rPr>
          <w:rFonts w:ascii="Calibri" w:hAnsi="Calibri" w:eastAsia="Calibri" w:cs="Calibri"/>
          <w:i w:val="0"/>
          <w:color w:val="202124"/>
          <w:sz w:val="22"/>
        </w:rPr>
        <w:t>A logical collection alias points to exactly one active immutable physical generation. Changing model, dimension, metric or index parameters creates a new collection_id and table whose CHECK constraint is valid for that generation. The new generation moves through building, shadow, validated, active, draining and retired states. Existing queries remain pinned to the generation resolved at request start.</w:t>
      </w:r>
    </w:p>
    <w:p>
      <w:pPr>
        <w:spacing w:after="80" w:line="300" w:lineRule="auto"/>
        <w:numPr>
          <w:ilvl w:val="0"/>
          <w:numId w:val="15"/>
        </w:numPr>
      </w:pPr>
      <w:r>
        <w:t>Create the new physical table and index from generated DDL; never alter the active vector typmod in place.</w:t>
      </w:r>
    </w:p>
    <w:p>
      <w:pPr>
        <w:spacing w:after="80" w:line="300" w:lineRule="auto"/>
        <w:numPr>
          <w:ilvl w:val="0"/>
          <w:numId w:val="15"/>
        </w:numPr>
      </w:pPr>
      <w:r>
        <w:t>Backfill from immutable chunk text while dual-writing new/changed chunks to both generations, or apply an ordered change-capture log from a recorded watermark.</w:t>
      </w:r>
    </w:p>
    <w:p>
      <w:pPr>
        <w:spacing w:after="80" w:line="300" w:lineRule="auto"/>
        <w:numPr>
          <w:ilvl w:val="0"/>
          <w:numId w:val="15"/>
        </w:numPr>
      </w:pPr>
      <w:r>
        <w:t>Reconcile counts, hashes, missing IDs and the change-capture watermark; then run the complete frozen quality and performance gate.</w:t>
      </w:r>
    </w:p>
    <w:p>
      <w:pPr>
        <w:spacing w:after="80" w:line="300" w:lineRule="auto"/>
        <w:numPr>
          <w:ilvl w:val="0"/>
          <w:numId w:val="15"/>
        </w:numPr>
      </w:pPr>
      <w:r>
        <w:t>Promote the logical alias to the validated generation in one transaction. New queries use it immediately; in-flight queries finish against the old generation.</w:t>
      </w:r>
    </w:p>
    <w:p>
      <w:pPr>
        <w:spacing w:after="80" w:line="300" w:lineRule="auto"/>
        <w:numPr>
          <w:ilvl w:val="0"/>
          <w:numId w:val="15"/>
        </w:numPr>
      </w:pPr>
      <w:r>
        <w:t>Retain the previous generation read-only for a 24-hour rollback window, subject to deletion propagation, then retire and delete it after verification.</w:t>
      </w:r>
    </w:p>
    <w:p>
      <w:pPr>
        <w:keepNext w:val="0"/>
      </w:pPr>
      <w:r>
        <w:rPr>
          <w:rFonts w:ascii="Calibri" w:hAnsi="Calibri" w:eastAsia="Calibri" w:cs="Calibri"/>
          <w:i w:val="0"/>
          <w:color w:val="202124"/>
          <w:sz w:val="22"/>
        </w:rPr>
        <w:t>Deletion tombstones and consent-withdrawal events are applied to every building, shadow, active and draining generation. Blue/green migration may temporarily duplicate authorised embeddings, but it may not extend their retention or allow a retired generation to escape deletion.</w:t>
      </w:r>
    </w:p>
    <w:p>
      <w:pPr>
        <w:pStyle w:val="Heading2"/>
        <w:keepNext/>
      </w:pPr>
      <w:r>
        <w:t>9.5 RAG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Each embedding collection SHALL bind one model ID, model version, vector dimension, normalisation rule and distance metric.</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Changing the embedding model or dimension SHALL create a new collection and blue/green re-indexing process.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Migration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Retrieval SHALL enforce project and document ACL filters before chunks are supplied to generation.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Isolation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RAG responses SHALL include document/chunk citations and model/retrieval version metadata.</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Ingestion SHALL treat document text as untrusted input and apply malware, decompression, parser-isolation and prompt-injection controls.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Security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On MAP-Bilingual-RAG-500 v1, the selected retrieval pipeline SHALL achieve overall Recall@10 &gt;= 0.85 and MRR@10 &gt;= 0.80, with no required language/query slice below Recall@10 0.75.</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Frozen evaluation report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At 1,000,000 chunks and 20 concurrent filtered queries, vector search SHALL achieve p95 &lt;= 50 ms and full HNSW build SHALL complete within 4 hours on the declared 16-vCPU, 64-GiB, local-NVMe reference node; update cost and peak memory SHALL also be reported.</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Benchmark report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Evaluation SHALL include Tamil morphology, code-mixed queries, transliteration and cross-language retrieval where claimed.</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Evaluation report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Should</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RAG-009</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Each physical embedding collection SHALL have an exact generated vector typmod and a distance-metric-matched HNSW, IVFFlat or approved exact-search plan.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Migration/query-plan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RAG-010</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Index acceptance SHALL verify EXPLAIN plan use and measured recall under realistic project/ACL filters; index existence alone is insufficient.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Benchmark/query-plan report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RAG-011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acceptance benchmark SHALL use the frozen corpus/query manifest and hash, a separate tuning split, reproducible metric code and per-slice results with 95% confidence intervals.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Evaluation governance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RAG-012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Blue/green re-indexing SHALL use an immutable new physical generation, ordered backfill plus dual-write or change capture, atomic alias promotion, a tested rollback window and deletion propagation to every live generation.</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Migration/failure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10. Security architecture</w:t>
      </w:r>
    </w:p>
    <w:p>
      <w:pPr>
        <w:pStyle w:val="Heading2"/>
        <w:keepNext/>
      </w:pPr>
      <w:r>
        <w:t>10.1 Trust boundaries and principal threats</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rPr>
          <w:tblHeader w:val="true"/>
          <w:cantSplit/>
        </w:trPr>
        <w:tc>
          <w:tcPr>
            <w:tcW w:type="dxa" w:w="19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Boundary</w:t>
            </w:r>
          </w:p>
        </w:tc>
        <w:tc>
          <w:tcPr>
            <w:tcW w:type="dxa" w:w="31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Threats</w:t>
            </w:r>
          </w:p>
        </w:tc>
        <w:tc>
          <w:tcPr>
            <w:tcW w:type="dxa" w:w="43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Primary controls</w:t>
            </w:r>
          </w:p>
        </w:tc>
      </w:tr>
      <w:tr>
        <w:trPr>
          <w:cantSplit/>
        </w:trPr>
        <w:tc>
          <w:tcPr>
            <w:tcW w:type="dxa" w:w="1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Browser to Gateway</w:t>
            </w:r>
          </w:p>
        </w:tc>
        <w:tc>
          <w:tcPr>
            <w:tcW w:type="dxa" w:w="3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Session theft, CSRF, XSS, malicious upload, origin confusion</w:t>
            </w:r>
          </w:p>
        </w:tc>
        <w:tc>
          <w:tcPr>
            <w:tcW w:type="dxa" w:w="4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HttpOnly session, CSRF token, CSP, Origin validation, strict upload validation</w:t>
            </w:r>
          </w:p>
        </w:tc>
      </w:tr>
      <w:tr>
        <w:trPr>
          <w:cantSplit/>
        </w:trPr>
        <w:tc>
          <w:tcPr>
            <w:tcW w:type="dxa" w:w="1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Gateway to model services</w:t>
            </w:r>
          </w:p>
        </w:tc>
        <w:tc>
          <w:tcPr>
            <w:tcW w:type="dxa" w:w="31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SSRF, credential misuse, payload leakage, untrusted response</w:t>
            </w:r>
          </w:p>
        </w:tc>
        <w:tc>
          <w:tcPr>
            <w:tcW w:type="dxa" w:w="4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Egress allowlist, service identity, response limits, private network</w:t>
            </w:r>
          </w:p>
        </w:tc>
      </w:tr>
      <w:tr>
        <w:trPr>
          <w:cantSplit/>
        </w:trPr>
        <w:tc>
          <w:tcPr>
            <w:tcW w:type="dxa" w:w="1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Cloud provider boundary</w:t>
            </w:r>
          </w:p>
        </w:tc>
        <w:tc>
          <w:tcPr>
            <w:tcW w:type="dxa" w:w="3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Cross-border disclosure, retention, quota/cost abuse</w:t>
            </w:r>
          </w:p>
        </w:tc>
        <w:tc>
          <w:tcPr>
            <w:tcW w:type="dxa" w:w="4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Deny-by-default policy, region allowlist, explicit choice, provider audit</w:t>
            </w:r>
          </w:p>
        </w:tc>
      </w:tr>
      <w:tr>
        <w:trPr>
          <w:cantSplit/>
        </w:trPr>
        <w:tc>
          <w:tcPr>
            <w:tcW w:type="dxa" w:w="1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Data stores</w:t>
            </w:r>
          </w:p>
        </w:tc>
        <w:tc>
          <w:tcPr>
            <w:tcW w:type="dxa" w:w="31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Tenant escape, operator overreach, backup disclosure</w:t>
            </w:r>
          </w:p>
        </w:tc>
        <w:tc>
          <w:tcPr>
            <w:tcW w:type="dxa" w:w="4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Least privilege, RLS where appropriate, encryption, audited break-glass</w:t>
            </w:r>
          </w:p>
        </w:tc>
      </w:tr>
      <w:tr>
        <w:trPr>
          <w:cantSplit/>
        </w:trPr>
        <w:tc>
          <w:tcPr>
            <w:tcW w:type="dxa" w:w="1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RAG documents</w:t>
            </w:r>
          </w:p>
        </w:tc>
        <w:tc>
          <w:tcPr>
            <w:tcW w:type="dxa" w:w="3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Prompt injection, parser exploits, poisoned content</w:t>
            </w:r>
          </w:p>
        </w:tc>
        <w:tc>
          <w:tcPr>
            <w:tcW w:type="dxa" w:w="4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Isolated parsing, provenance, ACL-first retrieval, instruction/data separation</w:t>
            </w:r>
          </w:p>
        </w:tc>
      </w:tr>
      <w:tr>
        <w:trPr>
          <w:cantSplit/>
        </w:trPr>
        <w:tc>
          <w:tcPr>
            <w:tcW w:type="dxa" w:w="1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Administration</w:t>
            </w:r>
          </w:p>
        </w:tc>
        <w:tc>
          <w:tcPr>
            <w:tcW w:type="dxa" w:w="31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Privilege escalation and silent configuration change</w:t>
            </w:r>
          </w:p>
        </w:tc>
        <w:tc>
          <w:tcPr>
            <w:tcW w:type="dxa" w:w="4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RBAC, step-up authentication, four-eyes approval for sensitive policy</w:t>
            </w:r>
          </w:p>
        </w:tc>
      </w:tr>
    </w:tbl>
    <w:p>
      <w:pPr>
        <w:spacing w:after="40"/>
      </w:pPr>
    </w:p>
    <w:p>
      <w:pPr>
        <w:pStyle w:val="Heading2"/>
        <w:keepNext/>
      </w:pPr>
      <w:r>
        <w:t>10.2 Application and platform controls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Control area</w:t>
            </w:r>
          </w:p>
        </w:tc>
        <w:tc>
          <w:tcPr>
            <w:tcW w:type="dxa" w:w="72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Baseline</w:t>
            </w:r>
          </w:p>
        </w:tc>
      </w:tr>
      <w:tr>
        <w:trPr>
          <w:cantSplit/>
        </w:trPr>
        <w:tc>
          <w:tcPr>
            <w:tcW w:type="dxa" w:w="21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Transport</w:t>
            </w:r>
          </w:p>
        </w:tc>
        <w:tc>
          <w:tcPr>
            <w:tcW w:type="dxa" w:w="7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TLS 1.2+ externally; TLS/mTLS or equivalent authenticated private transport internally; HSTS in production.</w:t>
            </w:r>
          </w:p>
        </w:tc>
      </w:tr>
      <w:tr>
        <w:trPr>
          <w:cantSplit/>
        </w:trPr>
        <w:tc>
          <w:tcPr>
            <w:tcW w:type="dxa" w:w="21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Browser</w:t>
            </w:r>
          </w:p>
        </w:tc>
        <w:tc>
          <w:tcPr>
            <w:tcW w:type="dxa" w:w="7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Strict CSP with nonces, frame-ancestors, Referrer-Policy, Permissions-Policy and X-Content-Type-Options.</w:t>
            </w:r>
          </w:p>
        </w:tc>
      </w:tr>
      <w:tr>
        <w:trPr>
          <w:cantSplit/>
        </w:trPr>
        <w:tc>
          <w:tcPr>
            <w:tcW w:type="dxa" w:w="21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Uploads</w:t>
            </w:r>
          </w:p>
        </w:tc>
        <w:tc>
          <w:tcPr>
            <w:tcW w:type="dxa" w:w="7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Extension-independent MIME signature validation, size/dimension/duration limits, decompression limits, malware scan and isolated parsing.</w:t>
            </w:r>
          </w:p>
        </w:tc>
      </w:tr>
      <w:tr>
        <w:trPr>
          <w:cantSplit/>
        </w:trPr>
        <w:tc>
          <w:tcPr>
            <w:tcW w:type="dxa" w:w="21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Secrets</w:t>
            </w:r>
          </w:p>
        </w:tc>
        <w:tc>
          <w:tcPr>
            <w:tcW w:type="dxa" w:w="7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One deployment-specific secret manager, workload identity and automated rotation. KMS encrypts keys/data; it is not described as a secret store.</w:t>
            </w:r>
          </w:p>
        </w:tc>
      </w:tr>
      <w:tr>
        <w:trPr>
          <w:cantSplit/>
        </w:trPr>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Images/containers</w:t>
            </w:r>
          </w:p>
        </w:tc>
        <w:tc>
          <w:tcPr>
            <w:tcW w:type="dxa" w:w="7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Pinned dependencies, SBOM, signature verification, non-root containers, read-only filesystem where possible and admission policy.</w:t>
            </w:r>
          </w:p>
        </w:tc>
      </w:tr>
      <w:tr>
        <w:trPr>
          <w:cantSplit/>
        </w:trPr>
        <w:tc>
          <w:tcPr>
            <w:tcW w:type="dxa" w:w="21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Egress</w:t>
            </w:r>
          </w:p>
        </w:tc>
        <w:tc>
          <w:tcPr>
            <w:tcW w:type="dxa" w:w="7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Default-deny network egress; allow only approved identity, cloud inference, telemetry and update endpoints.</w:t>
            </w:r>
          </w:p>
        </w:tc>
      </w:tr>
      <w:tr>
        <w:trPr>
          <w:cantSplit/>
        </w:trPr>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Administration</w:t>
            </w:r>
          </w:p>
        </w:tc>
        <w:tc>
          <w:tcPr>
            <w:tcW w:type="dxa" w:w="7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No raw-payload inspector in production. Time-bound break-glass access is approved, logged and reviewed.</w:t>
            </w:r>
          </w:p>
        </w:tc>
      </w:tr>
      <w:tr>
        <w:trPr>
          <w:cantSplit/>
        </w:trPr>
        <w:tc>
          <w:tcPr>
            <w:tcW w:type="dxa" w:w="21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Rate control</w:t>
            </w:r>
          </w:p>
        </w:tc>
        <w:tc>
          <w:tcPr>
            <w:tcW w:type="dxa" w:w="7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Per-user, project, IP and provider budgets with separate concurrent-stream limits and cost ceilings.</w:t>
            </w:r>
          </w:p>
        </w:tc>
      </w:tr>
    </w:tbl>
    <w:p>
      <w:pPr>
        <w:spacing w:after="40"/>
      </w:pPr>
    </w:p>
    <w:p>
      <w:pPr>
        <w:pStyle w:val="Heading2"/>
        <w:keepNext/>
      </w:pPr>
      <w:r>
        <w:t>10.3 Security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SEC-001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production release SHALL satisfy the organisation-approved OWASP ASVS Level 2 control baseline or documented equivalent.</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Security review</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SEC-002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Access tokens, session identifiers, provider tokens and object-store signatures SHALL NOT appear in URLs or application logs.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Leak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SEC-003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CORS preflight SHALL be processed before authentication and limited to configured origins, methods and headers; wildcard credentials are prohibited.</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Header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SEC-004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WebSocket upgrade SHALL enforce Origin validation and session/consent checks before protocol acceptance.</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Upgrade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SEC-005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Outbound provider destinations SHALL be selected from an administrator-approved allowlist; user-provided endpoints are prohibited.</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SSRF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SEC-006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Secrets SHALL be rotated without source changes and SHALL never be obtained by rereading an unchanged environment variable on SIGHUP.</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Rotation drill</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SEC-007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Administrative changes to provider policy, retention, roles and legal-document versions SHALL generate immutable audit events.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SEC-008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CI SHALL block critical dependency, container, secret and infrastructure-policy findings unless a time-bound waiver is approved.</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CI evidence</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SEC-009</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threat model and penetration test covering browser, API, WebSocket, upload, RAG and tenant-isolation paths SHALL be accepted before production.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Go-live evidence</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SEC-010</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Encryption keys SHALL be managed separately from encrypted data and rotated under an approved key-management policy.</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Control audit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11. Non-functional requirements and operations</w:t>
      </w:r>
    </w:p>
    <w:p>
      <w:pPr>
        <w:pStyle w:val="Heading2"/>
        <w:keepNext/>
      </w:pPr>
      <w:r>
        <w:t>11.1 Service objectives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vAlign w:val="center"/>
          </w:tcPr>
          <w:p>
            <w:pPr>
              <w:spacing w:after="60"/>
            </w:pPr>
            <w:r/>
            <w:r>
              <w:rPr>
                <w:rFonts w:ascii="Calibri" w:hAnsi="Calibri" w:eastAsia="Calibri" w:cs="Calibri"/>
                <w:b/>
                <w:color w:val="16324F"/>
                <w:sz w:val="21"/>
              </w:rPr>
              <w:t>VALIDATION BASELINE</w:t>
            </w:r>
          </w:p>
          <w:p>
            <w:pPr>
              <w:spacing w:after="0" w:line="269" w:lineRule="auto"/>
            </w:pPr>
            <w:r>
              <w:rPr>
                <w:rFonts w:ascii="Calibri" w:hAnsi="Calibri" w:eastAsia="Calibri" w:cs="Calibri"/>
                <w:color w:val="202124"/>
                <w:sz w:val="19"/>
              </w:rPr>
              <w:t>The numbers below are initial engineering targets. Phase 0 capacity modelling may tighten them, but production cannot proceed with unmeasured or undefined objectives.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900"/>
        <w:gridCol w:w="5160"/>
        <w:gridCol w:w="2300"/>
      </w:tblGrid>
      <w:tr>
        <w:trPr>
          <w:tblHeader w:val="true"/>
          <w:cantSplit/>
        </w:trPr>
        <w:tc>
          <w:tcPr>
            <w:tcW w:type="dxa" w:w="19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SLI</w:t>
            </w:r>
          </w:p>
        </w:tc>
        <w:tc>
          <w:tcPr>
            <w:tcW w:type="dxa" w:w="51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Target</w:t>
            </w:r>
          </w:p>
        </w:tc>
        <w:tc>
          <w:tcPr>
            <w:tcW w:type="dxa" w:w="23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Evidence</w:t>
            </w:r>
          </w:p>
        </w:tc>
      </w:tr>
      <w:tr>
        <w:trPr>
          <w:cantSplit/>
        </w:trPr>
        <w:tc>
          <w:tcPr>
            <w:tcW w:type="dxa" w:w="1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Availability</w:t>
            </w:r>
          </w:p>
        </w:tc>
        <w:tc>
          <w:tcPr>
            <w:tcW w:type="dxa" w:w="5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Pilot 99.5%; production 99.9% monthly for authenticated API, excluding approved maintenance</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Synthetic checks and SLI dashboard</w:t>
            </w:r>
          </w:p>
        </w:tc>
      </w:tr>
      <w:tr>
        <w:trPr>
          <w:cantSplit/>
        </w:trPr>
        <w:tc>
          <w:tcPr>
            <w:tcW w:type="dxa" w:w="1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Identity/consent latency</w:t>
            </w:r>
          </w:p>
        </w:tc>
        <w:tc>
          <w:tcPr>
            <w:tcW w:type="dxa" w:w="5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p95 &lt;= 500 ms, p99 &lt;= 1 s excluding external IdP time</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Load test</w:t>
            </w:r>
          </w:p>
        </w:tc>
      </w:tr>
      <w:tr>
        <w:trPr>
          <w:cantSplit/>
        </w:trPr>
        <w:tc>
          <w:tcPr>
            <w:tcW w:type="dxa" w:w="1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OCR</w:t>
            </w:r>
          </w:p>
        </w:tc>
        <w:tc>
          <w:tcPr>
            <w:tcW w:type="dxa" w:w="5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p95 &lt;= 12 s for a supported single-page image under reference load</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Representative benchmark</w:t>
            </w:r>
          </w:p>
        </w:tc>
      </w:tr>
      <w:tr>
        <w:trPr>
          <w:cantSplit/>
        </w:trPr>
        <w:tc>
          <w:tcPr>
            <w:tcW w:type="dxa" w:w="1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ASR partial latency</w:t>
            </w:r>
          </w:p>
        </w:tc>
        <w:tc>
          <w:tcPr>
            <w:tcW w:type="dxa" w:w="5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p95 &lt;= 1.5 s from accepted audio frame to partial transcript</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Streaming benchmark</w:t>
            </w:r>
          </w:p>
        </w:tc>
      </w:tr>
      <w:tr>
        <w:trPr>
          <w:cantSplit/>
        </w:trPr>
        <w:tc>
          <w:tcPr>
            <w:tcW w:type="dxa" w:w="1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TTS first audio</w:t>
            </w:r>
          </w:p>
        </w:tc>
        <w:tc>
          <w:tcPr>
            <w:tcW w:type="dxa" w:w="5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p95 &lt;= 2 s for &lt;= 500 characters on reference voice/model</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Streaming/job benchmark</w:t>
            </w:r>
          </w:p>
        </w:tc>
      </w:tr>
      <w:tr>
        <w:trPr>
          <w:cantSplit/>
        </w:trPr>
        <w:tc>
          <w:tcPr>
            <w:tcW w:type="dxa" w:w="1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Chat first event</w:t>
            </w:r>
          </w:p>
        </w:tc>
        <w:tc>
          <w:tcPr>
            <w:tcW w:type="dxa" w:w="5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p95 &lt;= 2.5 s for reference prompt and local model under reference load</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SSE benchmark</w:t>
            </w:r>
          </w:p>
        </w:tc>
      </w:tr>
      <w:tr>
        <w:trPr>
          <w:cantSplit/>
        </w:trPr>
        <w:tc>
          <w:tcPr>
            <w:tcW w:type="dxa" w:w="1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Error rate</w:t>
            </w:r>
          </w:p>
        </w:tc>
        <w:tc>
          <w:tcPr>
            <w:tcW w:type="dxa" w:w="5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&lt;= 1% platform-attributable 5xx over 30 minutes; provider failures reported separately</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Metrics</w:t>
            </w:r>
          </w:p>
        </w:tc>
      </w:tr>
      <w:tr>
        <w:trPr>
          <w:cantSplit/>
        </w:trPr>
        <w:tc>
          <w:tcPr>
            <w:tcW w:type="dxa" w:w="1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Deletion</w:t>
            </w:r>
          </w:p>
        </w:tc>
        <w:tc>
          <w:tcPr>
            <w:tcW w:type="dxa" w:w="5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New writes blocked immediately; primary/derived purge &lt;= 24 h; backup expiry &lt;= 35 d</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Deletion drill</w:t>
            </w:r>
          </w:p>
        </w:tc>
      </w:tr>
      <w:tr>
        <w:trPr>
          <w:cantSplit/>
        </w:trPr>
        <w:tc>
          <w:tcPr>
            <w:tcW w:type="dxa" w:w="1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ingestion</w:t>
            </w:r>
          </w:p>
        </w:tc>
        <w:tc>
          <w:tcPr>
            <w:tcW w:type="dxa" w:w="5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p95 outbox-write overhead &lt;= 10 ms at reference load; no event loss at 2x reference load</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Comparative load test</w:t>
            </w:r>
          </w:p>
        </w:tc>
      </w:tr>
      <w:tr>
        <w:trPr>
          <w:cantSplit/>
        </w:trPr>
        <w:tc>
          <w:tcPr>
            <w:tcW w:type="dxa" w:w="1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projection</w:t>
            </w:r>
          </w:p>
        </w:tc>
        <w:tc>
          <w:tcPr>
            <w:tcW w:type="dxa" w:w="5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99.9% projected &lt;= 60 s; no unexplained event loss</w:t>
            </w:r>
          </w:p>
        </w:tc>
        <w:tc>
          <w:tcPr>
            <w:tcW w:type="dxa" w:w="2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Outbox lag SLI</w:t>
            </w:r>
          </w:p>
        </w:tc>
      </w:tr>
      <w:tr>
        <w:trPr>
          <w:cantSplit/>
        </w:trPr>
        <w:tc>
          <w:tcPr>
            <w:tcW w:type="dxa" w:w="1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Recovery</w:t>
            </w:r>
          </w:p>
        </w:tc>
        <w:tc>
          <w:tcPr>
            <w:tcW w:type="dxa" w:w="5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Production RTO &lt;= 60 min; database RPO &lt;= 5 min; object metadata RPO &lt;= 15 min</w:t>
            </w:r>
          </w:p>
        </w:tc>
        <w:tc>
          <w:tcPr>
            <w:tcW w:type="dxa" w:w="2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Disaster-recovery exercise</w:t>
            </w:r>
          </w:p>
        </w:tc>
      </w:tr>
    </w:tbl>
    <w:p>
      <w:pPr>
        <w:spacing w:after="40"/>
      </w:pPr>
    </w:p>
    <w:p>
      <w:pPr>
        <w:pStyle w:val="Heading2"/>
        <w:keepNext/>
      </w:pPr>
      <w:r>
        <w:t>11.2 Reference load</w:t>
      </w:r>
    </w:p>
    <w:p>
      <w:pPr>
        <w:keepNext w:val="0"/>
      </w:pPr>
      <w:r>
        <w:rPr>
          <w:rFonts w:ascii="Calibri" w:hAnsi="Calibri" w:eastAsia="Calibri" w:cs="Calibri"/>
          <w:i w:val="0"/>
          <w:color w:val="202124"/>
          <w:sz w:val="22"/>
        </w:rPr>
        <w:t>Initial acceptance testing uses 100 concurrent WebSocket streams, 50 REST requests per second, 20 concurrent GPU inference jobs and a 1 million-chunk RAG corpus. Phase 0 replaces these values if the approved usage forecast is higher. Tests must include Tamil content, mixed media sizes and provider degradation.</w:t>
      </w:r>
    </w:p>
    <w:p>
      <w:pPr>
        <w:pStyle w:val="Heading2"/>
        <w:keepNext/>
      </w:pPr>
      <w:r>
        <w:t>11.3 Production topology and continuity</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Layer</w:t>
            </w:r>
          </w:p>
        </w:tc>
        <w:tc>
          <w:tcPr>
            <w:tcW w:type="dxa" w:w="72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Production baseline</w:t>
            </w:r>
          </w:p>
        </w:tc>
      </w:tr>
      <w:tr>
        <w:trPr>
          <w:cantSplit/>
        </w:trPr>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Ingress/Gateway</w:t>
            </w:r>
          </w:p>
        </w:tc>
        <w:tc>
          <w:tcPr>
            <w:tcW w:type="dxa" w:w="7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TLS load balancer; &gt;= 2 Gateway replicas across failure domains; readiness probes; 30-minute WebSocket connection draining.</w:t>
            </w:r>
          </w:p>
        </w:tc>
      </w:tr>
      <w:tr>
        <w:trPr>
          <w:cantSplit/>
        </w:trPr>
        <w:tc>
          <w:tcPr>
            <w:tcW w:type="dxa" w:w="21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PostgreSQL</w:t>
            </w:r>
          </w:p>
        </w:tc>
        <w:tc>
          <w:tcPr>
            <w:tcW w:type="dxa" w:w="7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Multi-zone primary/standby or managed equivalent; encrypted PITR backups; quarterly restore test.</w:t>
            </w:r>
          </w:p>
        </w:tc>
      </w:tr>
      <w:tr>
        <w:trPr>
          <w:cantSplit/>
        </w:trPr>
        <w:tc>
          <w:tcPr>
            <w:tcW w:type="dxa" w:w="21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Redis</w:t>
            </w:r>
          </w:p>
        </w:tc>
        <w:tc>
          <w:tcPr>
            <w:tcW w:type="dxa" w:w="7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AOF appendfsync everysec; managed primary/replica failover or Sentinel with an odd quorum and separated failure domains. Cluster only for measured sharding need.</w:t>
            </w:r>
          </w:p>
        </w:tc>
      </w:tr>
      <w:tr>
        <w:trPr>
          <w:cantSplit/>
        </w:trPr>
        <w:tc>
          <w:tcPr>
            <w:tcW w:type="dxa" w:w="21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Object storage</w:t>
            </w:r>
          </w:p>
        </w:tc>
        <w:tc>
          <w:tcPr>
            <w:tcW w:type="dxa" w:w="7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Private buckets, server-side encryption, lifecycle/retention rules and replication appropriate to RPO.</w:t>
            </w:r>
          </w:p>
        </w:tc>
      </w:tr>
      <w:tr>
        <w:trPr>
          <w:cantSplit/>
        </w:trPr>
        <w:tc>
          <w:tcPr>
            <w:tcW w:type="dxa" w:w="21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Model workers</w:t>
            </w:r>
          </w:p>
        </w:tc>
        <w:tc>
          <w:tcPr>
            <w:tcW w:type="dxa" w:w="72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Separate pools by resource class; bounded queues; GPU memory admission control; graceful cancellation.</w:t>
            </w:r>
          </w:p>
        </w:tc>
      </w:tr>
      <w:tr>
        <w:trPr>
          <w:cantSplit/>
        </w:trPr>
        <w:tc>
          <w:tcPr>
            <w:tcW w:type="dxa" w:w="21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Workers</w:t>
            </w:r>
          </w:p>
        </w:tc>
        <w:tc>
          <w:tcPr>
            <w:tcW w:type="dxa" w:w="72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At least two idempotent worker replicas; bounded concurrency; dead-letter operations and lag alerts.</w:t>
            </w:r>
          </w:p>
        </w:tc>
      </w:tr>
    </w:tbl>
    <w:p>
      <w:pPr>
        <w:spacing w:after="40"/>
      </w:pPr>
    </w:p>
    <w:p>
      <w:pPr>
        <w:keepNext w:val="0"/>
      </w:pPr>
      <w:r>
        <w:rPr>
          <w:rFonts w:ascii="Calibri" w:hAnsi="Calibri" w:eastAsia="Calibri" w:cs="Calibri"/>
          <w:i w:val="0"/>
          <w:color w:val="202124"/>
          <w:sz w:val="22"/>
        </w:rPr>
        <w:t>Redis AOF everysec and asynchronous replication are best-effort availability features, not a guarantee that acknowledged writes survive failover. No consent, audit, deletion command, saved conversation or authoritative job state is stored only in Redis. Active unsaved chat context may be lost during a Redis failure; the Gateway returns SESSION_CONTEXT_LOST and offers reconstruction only from user-consented durable checkpoints. Active media streams are not claimed to survive a Redis failover unless the deployment has demonstrated it under fault injection.</w:t>
      </w:r>
    </w:p>
    <w:p>
      <w:pPr>
        <w:pStyle w:val="Heading2"/>
        <w:keepNext/>
      </w:pPr>
      <w:r>
        <w:t>11.4 Redis latency degradation policy</w:t>
      </w:r>
    </w:p>
    <w:p>
      <w:pPr>
        <w:keepNext w:val="0"/>
      </w:pPr>
      <w:r>
        <w:rPr>
          <w:rFonts w:ascii="Calibri" w:hAnsi="Calibri" w:eastAsia="Calibri" w:cs="Calibri"/>
          <w:i w:val="0"/>
          <w:color w:val="202124"/>
          <w:sz w:val="22"/>
        </w:rPr>
        <w:t>Redis calls on the request path use a 25 ms operation timeout and a cumulative 50 ms request budget. A per-replica circuit opens for 30 seconds after five consecutive timeouts/errors or when the one-minute error ratio exceeds 20%; half-open probes determine recovery. The application does not wait for a 200 ms Redis response and does not remove rate limits merely because the shared limiter is unhealthy.</w:t>
      </w:r>
    </w:p>
    <w:p>
      <w:pPr>
        <w:keepNext w:val="0"/>
      </w:pPr>
      <w:r>
        <w:rPr>
          <w:rFonts w:ascii="Calibri" w:hAnsi="Calibri" w:eastAsia="Calibri" w:cs="Calibri"/>
          <w:i w:val="0"/>
          <w:color w:val="202124"/>
          <w:sz w:val="22"/>
        </w:rPr>
        <w:t>While the circuit is open, each Gateway uses an in-process token bucket capped at floor(global_limit / (2 x configured_max_gateway_replicas)), with a minimum of one request for essential control paths. This intentionally limits aggregate degraded capacity to at most 50% of the normal global budget when deployment bounds are respected. Expensive cloud inference and administrative mutations fail closed with 503 SERVICE_UNAVAILABLE when a safe local decision cannot be made. Ordinary inference may proceed only within the conservative local budget and returns 429 RATE_LIMIT_DEGRADED when exhausted. Login, consent withdrawal, logout and security revocation use separate reserved local buckets; none is completely unmetered.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5D6"/>
            <w:tcMar>
              <w:top w:w="80" w:type="dxa"/>
              <w:bottom w:w="80" w:type="dxa"/>
              <w:start w:w="120" w:type="dxa"/>
              <w:end w:w="120" w:type="dxa"/>
            </w:tcMar>
            <w:vAlign w:val="center"/>
          </w:tcPr>
          <w:p>
            <w:pPr>
              <w:spacing w:after="60"/>
            </w:pPr>
            <w:r/>
            <w:r>
              <w:rPr>
                <w:rFonts w:ascii="Calibri" w:hAnsi="Calibri" w:eastAsia="Calibri" w:cs="Calibri"/>
                <w:b/>
                <w:color w:val="16324F"/>
                <w:sz w:val="21"/>
              </w:rPr>
              <w:t>DEGRADATION RUNBOOK TRIGGER</w:t>
            </w:r>
          </w:p>
          <w:p>
            <w:pPr>
              <w:spacing w:after="0" w:line="269" w:lineRule="auto"/>
            </w:pPr>
            <w:r>
              <w:rPr>
                <w:rFonts w:ascii="Calibri" w:hAnsi="Calibri" w:eastAsia="Calibri" w:cs="Calibri"/>
                <w:color w:val="202124"/>
                <w:sz w:val="19"/>
              </w:rPr>
              <w:t>Alert when the Redis circuit is open on any replica for 60 seconds or on more than 25% of replicas simultaneously. The runbook covers latency confirmation, failover decision, degraded-budget verification, cloud-work suspension, abuse monitoring, recovery probes and post-incident counter reconciliation.</w:t>
            </w:r>
          </w:p>
        </w:tc>
      </w:tr>
    </w:tbl>
    <w:p>
      <w:pPr>
        <w:spacing w:after="40"/>
      </w:pPr>
    </w:p>
    <w:p>
      <w:pPr>
        <w:pStyle w:val="Heading2"/>
        <w:keepNext/>
      </w:pPr>
      <w:r>
        <w:t>11.5 Observability and runbooks</w:t>
      </w:r>
    </w:p>
    <w:p>
      <w:pPr>
        <w:spacing w:after="80" w:line="300" w:lineRule="auto"/>
        <w:numPr>
          <w:ilvl w:val="0"/>
          <w:numId w:val="10"/>
        </w:numPr>
      </w:pPr>
      <w:r>
        <w:t>OpenTelemetry traces across Gateway, workers and model services with request and trace correlation.</w:t>
      </w:r>
    </w:p>
    <w:p>
      <w:pPr>
        <w:spacing w:after="80" w:line="300" w:lineRule="auto"/>
        <w:numPr>
          <w:ilvl w:val="0"/>
          <w:numId w:val="10"/>
        </w:numPr>
      </w:pPr>
      <w:r>
        <w:t>RED metrics for HTTP/SSE and connection, message, backpressure and close-code metrics for WebSockets.</w:t>
      </w:r>
    </w:p>
    <w:p>
      <w:pPr>
        <w:spacing w:after="80" w:line="300" w:lineRule="auto"/>
        <w:numPr>
          <w:ilvl w:val="0"/>
          <w:numId w:val="10"/>
        </w:numPr>
      </w:pPr>
      <w:r>
        <w:t>Provider latency, error, retry, circuit and cost metrics labelled by provider/model but never by raw user content.</w:t>
      </w:r>
    </w:p>
    <w:p>
      <w:pPr>
        <w:spacing w:after="80" w:line="300" w:lineRule="auto"/>
        <w:numPr>
          <w:ilvl w:val="0"/>
          <w:numId w:val="10"/>
        </w:numPr>
      </w:pPr>
      <w:r>
        <w:t>Database pool saturation, replication lag, outbox age, deletion backlog, Redis memory/evictions and object-store failures.</w:t>
      </w:r>
    </w:p>
    <w:p>
      <w:pPr>
        <w:spacing w:after="80" w:line="300" w:lineRule="auto"/>
        <w:numPr>
          <w:ilvl w:val="0"/>
          <w:numId w:val="10"/>
        </w:numPr>
      </w:pPr>
      <w:r>
        <w:t>Runbooks for IdP outage, provider outage, Redis loss or high latency, degraded rate limiting, database failover, backlog recovery, key rotation, restore and data deletion exceptions.</w:t>
      </w:r>
    </w:p>
    <w:p>
      <w:pPr>
        <w:pStyle w:val="Heading2"/>
        <w:keepNext/>
      </w:pPr>
      <w:r>
        <w:t>11.6 Operational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Production SHALL run at least two stateless Gateway replicas and SHALL drain WebSockets during rollout.</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Deployment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Queues and worker pools SHALL enforce the configured per-class, per-tenant and system limits and SHALL return 429 QUEUE_FULL before creating user work when admission capacity is exhausted.</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Load/API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PostgreSQL SHALL have tested PITR and documented RTO/RPO; a Redis failover SHALL NOT lose a durable business command.</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DR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Each SLO SHALL have an owner, alert threshold, dashboard and incident runbook.</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Operations review</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Logs SHALL use structured fields, approved retention and automatic sensitive-field redaction.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Log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Deployments SHALL support automated migration, health verification and rollback/forward-fix without manual database editing.</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Release rehearsal</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GPU admission control SHALL reject or queue requests before memory exhaustion and report an estimated wait or retry response.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Overload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Cost and quota budgets SHALL be enforced per project and cloud provider with pre-exhaustion alerts.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Budget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OPS-009</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Redis production deployments SHALL enable AOF everysec and automated primary failover, and a Redis-loss test SHALL prove that no durable command or saved user state is lost.</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Redis fault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OPS-010</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Loss of unsaved Redis-only context SHALL return a typed outcome and SHALL NOT be presented as a successfully persisted conversation or resumable stream.</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Recovery/UX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OPS-011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Request-path Redis operations SHALL time out after 25 ms with a cumulative 50 ms budget and SHALL open the local circuit after five consecutive failures or a one-minute error ratio above 20%.</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Latency/fault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OPS-012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During an open Redis circuit, Gateways SHALL apply conservative local rate limits, SHALL fail closed for unsafe expensive or administrative work, and SHALL preserve separately bounded capacity for login, consent withdrawal, logout and revocation.</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Degradation/abuse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12. Localization, accessibility and user experience</w:t>
      </w:r>
    </w:p>
    <w:p>
      <w:pPr>
        <w:pStyle w:val="Heading2"/>
        <w:keepNext/>
      </w:pPr>
      <w:r>
        <w:t>12.1 Localization architecture</w:t>
      </w:r>
    </w:p>
    <w:p>
      <w:pPr>
        <w:keepNext w:val="0"/>
      </w:pPr>
      <w:r>
        <w:rPr>
          <w:rFonts w:ascii="Calibri" w:hAnsi="Calibri" w:eastAsia="Calibri" w:cs="Calibri"/>
          <w:i w:val="0"/>
          <w:color w:val="202124"/>
          <w:sz w:val="22"/>
        </w:rPr>
        <w:t>Runtime locale bundles are UTF-8 JSON resources validated against a canonical JSON Schema and an exact key/interpolation manifest. CSV may be used as a translator exchange format, but it is not the runtime source of truth. The localization command requires an explicit --repo-root argument supplied by the build system; it does not depend on the caller working directory or claim that __dirname changes with it.</w:t>
      </w:r>
    </w:p>
    <w:p>
      <w:pPr>
        <w:spacing w:before="40" w:after="160" w:line="252" w:lineRule="auto"/>
        <w:ind w:left="259" w:right="259"/>
        <w:shd w:fill="F4F6F8"/>
      </w:pPr>
      <w:r>
        <w:rPr>
          <w:rFonts w:ascii="Liberation Mono" w:hAnsi="Liberation Mono" w:eastAsia="Liberation Mono" w:cs="Liberation Mono"/>
          <w:color w:val="243B53"/>
          <w:sz w:val="16"/>
        </w:rPr>
        <w:t>const repoRoot = path.resolve(args.repoRoot);</w:t>
      </w:r>
      <w:r>
        <w:br/>
      </w:r>
      <w:r>
        <w:rPr>
          <w:rFonts w:ascii="Liberation Mono" w:hAnsi="Liberation Mono" w:eastAsia="Liberation Mono" w:cs="Liberation Mono"/>
          <w:color w:val="243B53"/>
          <w:sz w:val="16"/>
        </w:rPr>
        <w:t>const localesDir = path.resolve(repoRoot, "apps/web/src/locales");</w:t>
      </w:r>
      <w:r>
        <w:br/>
      </w:r>
      <w:r>
        <w:rPr>
          <w:rFonts w:ascii="Liberation Mono" w:hAnsi="Liberation Mono" w:eastAsia="Liberation Mono" w:cs="Liberation Mono"/>
          <w:color w:val="243B53"/>
          <w:sz w:val="16"/>
        </w:rPr>
        <w:t>if (!localesDir.startsWith(repoRoot + path.sep)) throw new Error("unsafe locale path");</w:t>
      </w:r>
      <w:r>
        <w:br/>
      </w:r>
      <w:r>
        <w:rPr>
          <w:rFonts w:ascii="Liberation Mono" w:hAnsi="Liberation Mono" w:eastAsia="Liberation Mono" w:cs="Liberation Mono"/>
          <w:color w:val="243B53"/>
          <w:sz w:val="16"/>
        </w:rPr>
        <w:t>validateSchemaAndExactKeyParity(localesDir, ["en", "ta-LK"]);</w:t>
      </w:r>
    </w:p>
    <w:p>
      <w:pPr>
        <w:keepNext w:val="0"/>
      </w:pPr>
      <w:r>
        <w:rPr>
          <w:rFonts w:ascii="Calibri" w:hAnsi="Calibri" w:eastAsia="Calibri" w:cs="Calibri"/>
          <w:i w:val="0"/>
          <w:color w:val="202124"/>
          <w:sz w:val="22"/>
        </w:rPr>
        <w:t>The command canonicalises the repository root, rejects missing or escaping paths, resolves symlinks before trust decisions and sorts output deterministically. CI runs it from both the repository root and a different working directory. Validation fails for missing, duplicate or unexpected keys, invalid types, mismatched interpolation variables, malformed ICU messages or non-UTF-8 input.</w:t>
      </w:r>
    </w:p>
    <w:p>
      <w:pPr>
        <w:keepNext w:val="0"/>
      </w:pPr>
      <w:r>
        <w:rPr>
          <w:rFonts w:ascii="Calibri" w:hAnsi="Calibri" w:eastAsia="Calibri" w:cs="Calibri"/>
          <w:i w:val="0"/>
          <w:color w:val="202124"/>
          <w:sz w:val="22"/>
        </w:rPr>
        <w:t>The application bundles a Tamil-capable web font (for example, a licensed Noto Sans Tamil distribution) and a tested fallback stack. Code samples use monospaced Latin text only; Tamil interface text uses the Tamil-capable UI font. This prevents the missing-glyph defect present in v1.2.</w:t>
      </w:r>
    </w:p>
    <w:p>
      <w:pPr>
        <w:pStyle w:val="Heading2"/>
        <w:keepNext/>
      </w:pPr>
      <w:r>
        <w:t>12.2 Translation workflow</w:t>
      </w:r>
    </w:p>
    <w:p>
      <w:pPr>
        <w:spacing w:after="80" w:line="300" w:lineRule="auto"/>
        <w:numPr>
          <w:ilvl w:val="0"/>
          <w:numId w:val="16"/>
        </w:numPr>
      </w:pPr>
      <w:r>
        <w:t>Product owner approves the English source string and context description.</w:t>
      </w:r>
    </w:p>
    <w:p>
      <w:pPr>
        <w:spacing w:after="80" w:line="300" w:lineRule="auto"/>
        <w:numPr>
          <w:ilvl w:val="0"/>
          <w:numId w:val="16"/>
        </w:numPr>
      </w:pPr>
      <w:r>
        <w:t>A qualified Tamil translator provides the ta-LK translation and notes grammatical/gender/plural constraints.</w:t>
      </w:r>
    </w:p>
    <w:p>
      <w:pPr>
        <w:spacing w:after="80" w:line="300" w:lineRule="auto"/>
        <w:numPr>
          <w:ilvl w:val="0"/>
          <w:numId w:val="16"/>
        </w:numPr>
      </w:pPr>
      <w:r>
        <w:t>The validator rejects missing, duplicate, unexpected or malformed keys and invalid interpolation variables.</w:t>
      </w:r>
    </w:p>
    <w:p>
      <w:pPr>
        <w:spacing w:after="80" w:line="300" w:lineRule="auto"/>
        <w:numPr>
          <w:ilvl w:val="0"/>
          <w:numId w:val="16"/>
        </w:numPr>
      </w:pPr>
      <w:r>
        <w:t>A second reviewer approves high-risk consent, security, deletion and cloud-processing strings.</w:t>
      </w:r>
    </w:p>
    <w:p>
      <w:pPr>
        <w:spacing w:after="80" w:line="300" w:lineRule="auto"/>
        <w:numPr>
          <w:ilvl w:val="0"/>
          <w:numId w:val="16"/>
        </w:numPr>
      </w:pPr>
      <w:r>
        <w:t>Pseudo-localisation and screenshot tests detect clipping, fallback-font and untranslated-string defects.</w:t>
      </w:r>
    </w:p>
    <w:p>
      <w:pPr>
        <w:keepNext w:val="0"/>
      </w:pPr>
      <w:r>
        <w:rPr>
          <w:rFonts w:ascii="Calibri" w:hAnsi="Calibri" w:eastAsia="Calibri" w:cs="Calibri"/>
          <w:i w:val="0"/>
          <w:color w:val="202124"/>
          <w:sz w:val="22"/>
        </w:rPr>
        <w:t>Examples of concepts requiring human-approved Tamil wording include Start recording, Stop recording, Speech to text, Text to speech, Withdraw consent and Process using an external cloud provider. The specification deliberately does not freeze unreviewed translations as normative product text.</w:t>
      </w:r>
    </w:p>
    <w:p>
      <w:pPr>
        <w:pStyle w:val="Heading2"/>
        <w:keepNext/>
      </w:pPr>
      <w:r>
        <w:t>12.3 Accessibility baseline</w:t>
      </w:r>
    </w:p>
    <w:p>
      <w:pPr>
        <w:spacing w:after="80" w:line="300" w:lineRule="auto"/>
        <w:numPr>
          <w:ilvl w:val="0"/>
          <w:numId w:val="10"/>
        </w:numPr>
      </w:pPr>
      <w:r>
        <w:t>WCAG 2.2 AA target for the web application.</w:t>
      </w:r>
    </w:p>
    <w:p>
      <w:pPr>
        <w:spacing w:after="80" w:line="300" w:lineRule="auto"/>
        <w:numPr>
          <w:ilvl w:val="0"/>
          <w:numId w:val="10"/>
        </w:numPr>
      </w:pPr>
      <w:r>
        <w:t>Full keyboard operation, visible focus and logical focus order.</w:t>
      </w:r>
    </w:p>
    <w:p>
      <w:pPr>
        <w:spacing w:after="80" w:line="300" w:lineRule="auto"/>
        <w:numPr>
          <w:ilvl w:val="0"/>
          <w:numId w:val="10"/>
        </w:numPr>
      </w:pPr>
      <w:r>
        <w:t>Labels and accessible descriptions for all inputs, media controls and model selectors.</w:t>
      </w:r>
    </w:p>
    <w:p>
      <w:pPr>
        <w:spacing w:after="80" w:line="300" w:lineRule="auto"/>
        <w:numPr>
          <w:ilvl w:val="0"/>
          <w:numId w:val="10"/>
        </w:numPr>
      </w:pPr>
      <w:r>
        <w:t>Live-region announcements for streaming transcripts and job status without excessive repetition.</w:t>
      </w:r>
    </w:p>
    <w:p>
      <w:pPr>
        <w:spacing w:after="80" w:line="300" w:lineRule="auto"/>
        <w:numPr>
          <w:ilvl w:val="0"/>
          <w:numId w:val="10"/>
        </w:numPr>
      </w:pPr>
      <w:r>
        <w:t>Captions/transcripts for audio output where feasible and text alternatives for diagrams.</w:t>
      </w:r>
    </w:p>
    <w:p>
      <w:pPr>
        <w:spacing w:after="80" w:line="300" w:lineRule="auto"/>
        <w:numPr>
          <w:ilvl w:val="0"/>
          <w:numId w:val="10"/>
        </w:numPr>
      </w:pPr>
      <w:r>
        <w:t>No reliance on colour alone for provider, error, consent or deletion state.</w:t>
      </w:r>
    </w:p>
    <w:p>
      <w:pPr>
        <w:pStyle w:val="Heading2"/>
        <w:keepNext/>
      </w:pPr>
      <w:r>
        <w:t>12.4 Localization and accessibility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L10N-001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All user-visible strings SHALL use locale keys; hard-coded English in UI components is prohibited.</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Static/visual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L10N-002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Locale validation SHALL fail on missing, duplicate, unexpected or invalid keys and mismatched interpolation variables.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Build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L10N-003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production bundle SHALL include a licensed Tamil-capable font and SHALL render every approved Tamil string without missing glyphs.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Screenshot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L10N-004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 deletion and cloud-processing translations SHALL require independent human review.</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Approval record</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L10N-005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interface SHALL meet WCAG 2.2 AA for keyboard, focus, semantics, contrast and status announcements.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Accessibility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L10N-006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Language switching SHALL preserve the current safe workflow state but SHALL NOT retain unsent sensitive input beyond the session policy.</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UI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Should</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L10N-007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Localization tooling SHALL resolve all inputs from a canonical explicit repository root, reject path escape and produce identical output from any working directory.</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Build/path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L10N-008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CI SHALL validate locale bundles against the canonical schema and exact key, type, ICU-message and interpolation-variable parity before packaging.</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Negative build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13. Extensible product shell, usage records and feedback</w:t>
      </w:r>
    </w:p>
    <w:p>
      <w:pPr>
        <w:pStyle w:val="Heading2"/>
        <w:keepNext/>
      </w:pPr>
      <w:r>
        <w:t>13.1 Product-shell design</w:t>
      </w:r>
    </w:p>
    <w:p>
      <w:pPr>
        <w:keepNext w:val="0"/>
      </w:pPr>
      <w:r>
        <w:rPr>
          <w:rFonts w:ascii="Calibri" w:hAnsi="Calibri" w:eastAsia="Calibri" w:cs="Calibri"/>
          <w:i w:val="0"/>
          <w:color w:val="202124"/>
          <w:sz w:val="22"/>
        </w:rPr>
        <w:t>The web application SHALL use a persistent product shell inspired by modern API and AI workspaces: a restrained left navigation, a compact page header and a large task-focused content area. The reference screenshots establish information density and navigation behaviour only. The implementation uses original Thamizhi AI branding, typography, icons, colours and copy and does not reproduce another provider's brand assets.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7F3F3"/>
            <w:tcMar>
              <w:top w:w="80" w:type="dxa"/>
              <w:bottom w:w="80" w:type="dxa"/>
              <w:start w:w="120" w:type="dxa"/>
              <w:end w:w="120" w:type="dxa"/>
            </w:tcMar>
            <w:vAlign w:val="center"/>
          </w:tcPr>
          <w:p>
            <w:pPr>
              <w:spacing w:after="60"/>
            </w:pPr>
            <w:r/>
            <w:r>
              <w:rPr>
                <w:rFonts w:ascii="Calibri" w:hAnsi="Calibri" w:eastAsia="Calibri" w:cs="Calibri"/>
                <w:b/>
                <w:color w:val="16324F"/>
                <w:sz w:val="21"/>
              </w:rPr>
              <w:t>PRIMARY EXPERIENCE DECISION</w:t>
            </w:r>
          </w:p>
          <w:p>
            <w:pPr>
              <w:spacing w:after="0" w:line="269" w:lineRule="auto"/>
            </w:pPr>
            <w:r>
              <w:rPr>
                <w:rFonts w:ascii="Calibri" w:hAnsi="Calibri" w:eastAsia="Calibri" w:cs="Calibri"/>
                <w:color w:val="202124"/>
                <w:sz w:val="19"/>
              </w:rPr>
              <w:t>The interface is a working research platform, not a marketing landing page. After sign-in and consent, the first viewport exposes the module navigation and the active task. Promotional pricing, billing and upgrade controls are excluded unless a later business requirement expressly introduces them.</w:t>
            </w:r>
          </w:p>
        </w:tc>
      </w:tr>
    </w:tbl>
    <w:p>
      <w:pPr>
        <w:spacing w:after="40"/>
      </w:pPr>
    </w:p>
    <w:p>
      <w:pPr>
        <w:jc w:val="center"/>
      </w:pPr>
      <w:r>
        <w:drawing>
          <wp:inline xmlns:a="http://schemas.openxmlformats.org/drawingml/2006/main" xmlns:pic="http://schemas.openxmlformats.org/drawingml/2006/picture">
            <wp:extent cx="5897880" cy="3211068"/>
            <wp:docPr id="3" name="Picture 3" title="Extensible application shell wireframe" descr="A desktop application with a persistent left sidebar containing workspace, AI module and administration groups; the main area contains a compact header and a task-focused text-to-speech form."/>
            <wp:cNvGraphicFramePr>
              <a:graphicFrameLocks noChangeAspect="1"/>
            </wp:cNvGraphicFramePr>
            <a:graphic>
              <a:graphicData uri="http://schemas.openxmlformats.org/drawingml/2006/picture">
                <pic:pic>
                  <pic:nvPicPr>
                    <pic:cNvPr id="0" name="v17_product_shell.png"/>
                    <pic:cNvPicPr/>
                  </pic:nvPicPr>
                  <pic:blipFill>
                    <a:blip r:embed="rId13"/>
                    <a:stretch>
                      <a:fillRect/>
                    </a:stretch>
                  </pic:blipFill>
                  <pic:spPr>
                    <a:xfrm>
                      <a:off x="0" y="0"/>
                      <a:ext cx="5897880" cy="3211068"/>
                    </a:xfrm>
                    <a:prstGeom prst="rect"/>
                  </pic:spPr>
                </pic:pic>
              </a:graphicData>
            </a:graphic>
          </wp:inline>
        </w:drawing>
      </w:r>
    </w:p>
    <w:p>
      <w:pPr>
        <w:spacing w:after="160"/>
        <w:jc w:val="center"/>
      </w:pPr>
      <w:r>
        <w:rPr>
          <w:rFonts w:ascii="Calibri" w:hAnsi="Calibri" w:eastAsia="Calibri" w:cs="Calibri"/>
          <w:i/>
          <w:color w:val="667085"/>
          <w:sz w:val="18"/>
        </w:rPr>
        <w:t>Figure 3. Catalogue-driven application shell and module workspace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Region</w:t>
            </w:r>
          </w:p>
        </w:tc>
        <w:tc>
          <w:tcPr>
            <w:tcW w:type="dxa" w:w="71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Required behaviour</w:t>
            </w:r>
          </w:p>
        </w:tc>
      </w:tr>
      <w:tr>
        <w:trPr>
          <w:cantSplit/>
        </w:trPr>
        <w:tc>
          <w:tcPr>
            <w:tcW w:type="dxa" w:w="2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Product identity</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Original Thamizhi AI mark and workspace name; collapses to an icon on narrow desktop layouts.</w:t>
            </w:r>
          </w:p>
        </w:tc>
      </w:tr>
      <w:tr>
        <w:trPr>
          <w:cantSplit/>
        </w:trPr>
        <w:tc>
          <w:tcPr>
            <w:tcW w:type="dxa" w:w="2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Workspace</w:t>
            </w:r>
          </w:p>
        </w:tc>
        <w:tc>
          <w:tcPr>
            <w:tcW w:type="dxa" w:w="7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Home, Usage and Activity history. These pages are stable platform functions, not capability modules.</w:t>
            </w:r>
          </w:p>
        </w:tc>
      </w:tr>
      <w:tr>
        <w:trPr>
          <w:cantSplit/>
        </w:trPr>
        <w:tc>
          <w:tcPr>
            <w:tcW w:type="dxa" w:w="2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AI modules</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Chat, Text to Speech, Speech to Text and OCR at launch; ordered from the authorised module catalogue.</w:t>
            </w:r>
          </w:p>
        </w:tc>
      </w:tr>
      <w:tr>
        <w:trPr>
          <w:cantSplit/>
        </w:trPr>
        <w:tc>
          <w:tcPr>
            <w:tcW w:type="dxa" w:w="2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Administration</w:t>
            </w:r>
          </w:p>
        </w:tc>
        <w:tc>
          <w:tcPr>
            <w:tcW w:type="dxa" w:w="7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Role-gated module catalogue, provider registry, user/access review and audit export.</w:t>
            </w:r>
          </w:p>
        </w:tc>
      </w:tr>
      <w:tr>
        <w:trPr>
          <w:cantSplit/>
        </w:trPr>
        <w:tc>
          <w:tcPr>
            <w:tcW w:type="dxa" w:w="2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Support</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API status and documentation remain pinned near the lower navigation boundary.</w:t>
            </w:r>
          </w:p>
        </w:tc>
      </w:tr>
      <w:tr>
        <w:trPr>
          <w:cantSplit/>
        </w:trPr>
        <w:tc>
          <w:tcPr>
            <w:tcW w:type="dxa" w:w="2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Account</w:t>
            </w:r>
          </w:p>
        </w:tc>
        <w:tc>
          <w:tcPr>
            <w:tcW w:type="dxa" w:w="7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Locale, data controls, profile and Sign out remain available without displacing the active task.</w:t>
            </w:r>
          </w:p>
        </w:tc>
      </w:tr>
      <w:tr>
        <w:trPr>
          <w:cantSplit/>
        </w:trPr>
        <w:tc>
          <w:tcPr>
            <w:tcW w:type="dxa" w:w="2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Page header</w:t>
            </w:r>
          </w:p>
        </w:tc>
        <w:tc>
          <w:tcPr>
            <w:tcW w:type="dxa" w:w="71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Page title plus context-specific actions such as Download CSV, date range, model selector or Help.</w:t>
            </w:r>
          </w:p>
        </w:tc>
      </w:tr>
      <w:tr>
        <w:trPr>
          <w:cantSplit/>
        </w:trPr>
        <w:tc>
          <w:tcPr>
            <w:tcW w:type="dxa" w:w="2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Workspace canvas</w:t>
            </w:r>
          </w:p>
        </w:tc>
        <w:tc>
          <w:tcPr>
            <w:tcW w:type="dxa" w:w="71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Module-specific input, execution state, output, provenance and per-result feedback.</w:t>
            </w:r>
          </w:p>
        </w:tc>
      </w:tr>
    </w:tbl>
    <w:p>
      <w:pPr>
        <w:spacing w:after="40"/>
      </w:pPr>
    </w:p>
    <w:p>
      <w:pPr>
        <w:pStyle w:val="Heading2"/>
        <w:keepNext/>
      </w:pPr>
      <w:r>
        <w:t>13.2 Responsive and visual-system rules</w:t>
      </w:r>
    </w:p>
    <w:p>
      <w:pPr>
        <w:spacing w:after="80" w:line="300" w:lineRule="auto"/>
        <w:numPr>
          <w:ilvl w:val="0"/>
          <w:numId w:val="10"/>
        </w:numPr>
      </w:pPr>
      <w:r>
        <w:t>Desktop navigation uses a 272 px target width and a 64 px compact page header. The application content remains fluid and does not force a narrow centred card on wide screens.</w:t>
      </w:r>
    </w:p>
    <w:p>
      <w:pPr>
        <w:spacing w:after="80" w:line="300" w:lineRule="auto"/>
        <w:numPr>
          <w:ilvl w:val="0"/>
          <w:numId w:val="10"/>
        </w:numPr>
      </w:pPr>
      <w:r>
        <w:t>Between 768 px and 1,023 px, the navigation collapses to an icon rail with accessible tooltips and a user-controlled expand action. Below 768 px, it becomes a modal drawer with focus trapping and Escape dismissal.</w:t>
      </w:r>
    </w:p>
    <w:p>
      <w:pPr>
        <w:spacing w:after="80" w:line="300" w:lineRule="auto"/>
        <w:numPr>
          <w:ilvl w:val="0"/>
          <w:numId w:val="10"/>
        </w:numPr>
      </w:pPr>
      <w:r>
        <w:t>The palette is predominantly white, near-black and neutral grey with one restrained Thamizhi accent. Selected items use a light tinted surface and text/icon emphasis; colour is never the only state signal.</w:t>
      </w:r>
    </w:p>
    <w:p>
      <w:pPr>
        <w:spacing w:after="80" w:line="300" w:lineRule="auto"/>
        <w:numPr>
          <w:ilvl w:val="0"/>
          <w:numId w:val="10"/>
        </w:numPr>
      </w:pPr>
      <w:r>
        <w:t>Body text is at least 16 px, regular labels at least 14 px, touch targets at least 44 by 44 CSS pixels, and every interactive element has visible keyboard focus.</w:t>
      </w:r>
    </w:p>
    <w:p>
      <w:pPr>
        <w:spacing w:after="80" w:line="300" w:lineRule="auto"/>
        <w:numPr>
          <w:ilvl w:val="0"/>
          <w:numId w:val="10"/>
        </w:numPr>
      </w:pPr>
      <w:r>
        <w:t>Empty states explain why no information is present and provide one relevant next action. They do not use decorative imagery that competes with the task.</w:t>
      </w:r>
    </w:p>
    <w:p>
      <w:pPr>
        <w:spacing w:after="80" w:line="300" w:lineRule="auto"/>
        <w:numPr>
          <w:ilvl w:val="0"/>
          <w:numId w:val="10"/>
        </w:numPr>
      </w:pPr>
      <w:r>
        <w:t>Every module page uses the same skeleton: title and status, model/provider selection, input, primary action, progress/error state, result, provenance and result feedback.</w:t>
      </w:r>
    </w:p>
    <w:p>
      <w:pPr>
        <w:spacing w:after="80" w:line="300" w:lineRule="auto"/>
        <w:numPr>
          <w:ilvl w:val="0"/>
          <w:numId w:val="10"/>
        </w:numPr>
      </w:pPr>
      <w:r>
        <w:t>Tamil and English layouts use the same information architecture. Longer Tamil labels may wrap without clipping, and navigation width does not depend on hard-coded English text lengths.</w:t>
      </w:r>
    </w:p>
    <w:p>
      <w:pPr>
        <w:pStyle w:val="Heading2"/>
        <w:keepNext/>
      </w:pPr>
      <w:r>
        <w:t>13.3 Module catalogue and future extensibility</w:t>
      </w:r>
    </w:p>
    <w:p>
      <w:pPr>
        <w:keepNext w:val="0"/>
      </w:pPr>
      <w:r>
        <w:rPr>
          <w:rFonts w:ascii="Calibri" w:hAnsi="Calibri" w:eastAsia="Calibri" w:cs="Calibri"/>
          <w:i w:val="0"/>
          <w:color w:val="202124"/>
          <w:sz w:val="22"/>
        </w:rPr>
        <w:t>Navigation SHALL be generated from an authorised module catalogue rather than a hard-coded array in the page component. A module descriptor controls discovery and policy; it never carries executable JavaScript, HTML or secrets. The Gateway returns only modules enabled for the current environment, user role, locale and feature policy.</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cantSplit/>
        </w:trPr>
        <w:tc>
          <w:tcPr>
            <w:tcW w:type="dxa" w:w="29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Descriptor field</w:t>
            </w:r>
          </w:p>
        </w:tc>
        <w:tc>
          <w:tcPr>
            <w:tcW w:type="dxa" w:w="64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Contract</w:t>
            </w:r>
          </w:p>
        </w:tc>
      </w:tr>
      <w:tr>
        <w:trPr>
          <w:cantSplit/>
        </w:trPr>
        <w:tc>
          <w:tcPr>
            <w:tcW w:type="dxa" w:w="2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module_id</w:t>
            </w:r>
          </w:p>
        </w:tc>
        <w:tc>
          <w:tcPr>
            <w:tcW w:type="dxa" w:w="6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Stable lowercase identifier; immutable after activation.</w:t>
            </w:r>
          </w:p>
        </w:tc>
      </w:tr>
      <w:tr>
        <w:trPr>
          <w:cantSplit/>
        </w:trPr>
        <w:tc>
          <w:tcPr>
            <w:tcW w:type="dxa" w:w="2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descriptor_version</w:t>
            </w:r>
          </w:p>
        </w:tc>
        <w:tc>
          <w:tcPr>
            <w:tcW w:type="dxa" w:w="6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Version of the catalogue contract used to validate the record.</w:t>
            </w:r>
          </w:p>
        </w:tc>
      </w:tr>
      <w:tr>
        <w:trPr>
          <w:cantSplit/>
        </w:trPr>
        <w:tc>
          <w:tcPr>
            <w:tcW w:type="dxa" w:w="2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capability</w:t>
            </w:r>
          </w:p>
        </w:tc>
        <w:tc>
          <w:tcPr>
            <w:tcW w:type="dxa" w:w="6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Provider capability contract, for example tts, asr, chat or ocr.</w:t>
            </w:r>
          </w:p>
        </w:tc>
      </w:tr>
      <w:tr>
        <w:trPr>
          <w:cantSplit/>
        </w:trPr>
        <w:tc>
          <w:tcPr>
            <w:tcW w:type="dxa" w:w="2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route_slug</w:t>
            </w:r>
          </w:p>
        </w:tc>
        <w:tc>
          <w:tcPr>
            <w:tcW w:type="dxa" w:w="6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Unique application route below /playground; no external URL.</w:t>
            </w:r>
          </w:p>
        </w:tc>
      </w:tr>
      <w:tr>
        <w:trPr>
          <w:cantSplit/>
        </w:trPr>
        <w:tc>
          <w:tcPr>
            <w:tcW w:type="dxa" w:w="2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navigation_group</w:t>
            </w:r>
          </w:p>
        </w:tc>
        <w:tc>
          <w:tcPr>
            <w:tcW w:type="dxa" w:w="6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Workspace, AI modules or Administration; enum-controlled.</w:t>
            </w:r>
          </w:p>
        </w:tc>
      </w:tr>
      <w:tr>
        <w:trPr>
          <w:cantSplit/>
        </w:trPr>
        <w:tc>
          <w:tcPr>
            <w:tcW w:type="dxa" w:w="2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title_key / description_key</w:t>
            </w:r>
          </w:p>
        </w:tc>
        <w:tc>
          <w:tcPr>
            <w:tcW w:type="dxa" w:w="6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English/Tamil locale keys; raw display strings are not stored in navigation code.</w:t>
            </w:r>
          </w:p>
        </w:tc>
      </w:tr>
      <w:tr>
        <w:trPr>
          <w:cantSplit/>
        </w:trPr>
        <w:tc>
          <w:tcPr>
            <w:tcW w:type="dxa" w:w="2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icon_key</w:t>
            </w:r>
          </w:p>
        </w:tc>
        <w:tc>
          <w:tcPr>
            <w:tcW w:type="dxa" w:w="6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Allowlisted icon identifier from the platform icon set.</w:t>
            </w:r>
          </w:p>
        </w:tc>
      </w:tr>
      <w:tr>
        <w:trPr>
          <w:cantSplit/>
        </w:trPr>
        <w:tc>
          <w:tcPr>
            <w:tcW w:type="dxa" w:w="2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sort_order / enabled</w:t>
            </w:r>
          </w:p>
        </w:tc>
        <w:tc>
          <w:tcPr>
            <w:tcW w:type="dxa" w:w="6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Deterministic order and environment-visible activation state.</w:t>
            </w:r>
          </w:p>
        </w:tc>
      </w:tr>
      <w:tr>
        <w:trPr>
          <w:cantSplit/>
        </w:trPr>
        <w:tc>
          <w:tcPr>
            <w:tcW w:type="dxa" w:w="2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required_roles</w:t>
            </w:r>
          </w:p>
        </w:tc>
        <w:tc>
          <w:tcPr>
            <w:tcW w:type="dxa" w:w="6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Optional role intersection evaluated by the Gateway and rechecked by the target API.</w:t>
            </w:r>
          </w:p>
        </w:tc>
      </w:tr>
      <w:tr>
        <w:trPr>
          <w:cantSplit/>
        </w:trPr>
        <w:tc>
          <w:tcPr>
            <w:tcW w:type="dxa" w:w="2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renderer_kind</w:t>
            </w:r>
          </w:p>
        </w:tc>
        <w:tc>
          <w:tcPr>
            <w:tcW w:type="dxa" w:w="6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standard_form or compiled_custom; remote arbitrary code is prohibited.</w:t>
            </w:r>
          </w:p>
        </w:tc>
      </w:tr>
      <w:tr>
        <w:trPr>
          <w:cantSplit/>
        </w:trPr>
        <w:tc>
          <w:tcPr>
            <w:tcW w:type="dxa" w:w="29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input_schema / output_schema</w:t>
            </w:r>
          </w:p>
        </w:tc>
        <w:tc>
          <w:tcPr>
            <w:tcW w:type="dxa" w:w="6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Versioned JSON Schema references used by standard-form modules.</w:t>
            </w:r>
          </w:p>
        </w:tc>
      </w:tr>
      <w:tr>
        <w:trPr>
          <w:cantSplit/>
        </w:trPr>
        <w:tc>
          <w:tcPr>
            <w:tcW w:type="dxa" w:w="29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provider_capability</w:t>
            </w:r>
          </w:p>
        </w:tc>
        <w:tc>
          <w:tcPr>
            <w:tcW w:type="dxa" w:w="6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Capability used to filter approved models and routing choices.</w:t>
            </w:r>
          </w:p>
        </w:tc>
      </w:tr>
    </w:tbl>
    <w:p>
      <w:pPr>
        <w:spacing w:after="40"/>
      </w:pPr>
    </w:p>
    <w:p>
      <w:pPr>
        <w:keepNext w:val="0"/>
      </w:pPr>
      <w:r>
        <w:rPr>
          <w:rFonts w:ascii="Calibri" w:hAnsi="Calibri" w:eastAsia="Calibri" w:cs="Calibri"/>
          <w:i w:val="0"/>
          <w:color w:val="202124"/>
          <w:sz w:val="22"/>
        </w:rPr>
        <w:t>Standard-form modules MAY be added by registering reviewed schemas and catalogue metadata without changing the navigation source. A module requiring specialised interaction, streaming or visualisation uses a compiled custom renderer registered against the same module_id. Catalogue activation is a four-eyes administrative action and does not by itself activate a model provider.</w:t>
      </w:r>
    </w:p>
    <w:p>
      <w:pPr>
        <w:spacing w:before="40" w:after="160" w:line="252" w:lineRule="auto"/>
        <w:ind w:left="259" w:right="259"/>
        <w:shd w:fill="F4F6F8"/>
      </w:pPr>
      <w:r>
        <w:rPr>
          <w:rFonts w:ascii="Liberation Mono" w:hAnsi="Liberation Mono" w:eastAsia="Liberation Mono" w:cs="Liberation Mono"/>
          <w:color w:val="243B53"/>
          <w:sz w:val="16"/>
        </w:rPr>
        <w:t>{</w:t>
      </w:r>
      <w:r>
        <w:br/>
      </w:r>
      <w:r>
        <w:rPr>
          <w:rFonts w:ascii="Liberation Mono" w:hAnsi="Liberation Mono" w:eastAsia="Liberation Mono" w:cs="Liberation Mono"/>
          <w:color w:val="243B53"/>
          <w:sz w:val="16"/>
        </w:rPr>
        <w:t xml:space="preserve">  "module_id": "translate",</w:t>
      </w:r>
      <w:r>
        <w:br/>
      </w:r>
      <w:r>
        <w:rPr>
          <w:rFonts w:ascii="Liberation Mono" w:hAnsi="Liberation Mono" w:eastAsia="Liberation Mono" w:cs="Liberation Mono"/>
          <w:color w:val="243B53"/>
          <w:sz w:val="16"/>
        </w:rPr>
        <w:t xml:space="preserve">  "descriptor_version": "1.0",</w:t>
      </w:r>
      <w:r>
        <w:br/>
      </w:r>
      <w:r>
        <w:rPr>
          <w:rFonts w:ascii="Liberation Mono" w:hAnsi="Liberation Mono" w:eastAsia="Liberation Mono" w:cs="Liberation Mono"/>
          <w:color w:val="243B53"/>
          <w:sz w:val="16"/>
        </w:rPr>
        <w:t xml:space="preserve">  "capability": "translation",</w:t>
      </w:r>
      <w:r>
        <w:br/>
      </w:r>
      <w:r>
        <w:rPr>
          <w:rFonts w:ascii="Liberation Mono" w:hAnsi="Liberation Mono" w:eastAsia="Liberation Mono" w:cs="Liberation Mono"/>
          <w:color w:val="243B53"/>
          <w:sz w:val="16"/>
        </w:rPr>
        <w:t xml:space="preserve">  "route_slug": "translate",</w:t>
      </w:r>
      <w:r>
        <w:br/>
      </w:r>
      <w:r>
        <w:rPr>
          <w:rFonts w:ascii="Liberation Mono" w:hAnsi="Liberation Mono" w:eastAsia="Liberation Mono" w:cs="Liberation Mono"/>
          <w:color w:val="243B53"/>
          <w:sz w:val="16"/>
        </w:rPr>
        <w:t xml:space="preserve">  "navigation_group": "ai_modules",</w:t>
      </w:r>
      <w:r>
        <w:br/>
      </w:r>
      <w:r>
        <w:rPr>
          <w:rFonts w:ascii="Liberation Mono" w:hAnsi="Liberation Mono" w:eastAsia="Liberation Mono" w:cs="Liberation Mono"/>
          <w:color w:val="243B53"/>
          <w:sz w:val="16"/>
        </w:rPr>
        <w:t xml:space="preserve">  "title_key": "modules.translate.title",</w:t>
      </w:r>
      <w:r>
        <w:br/>
      </w:r>
      <w:r>
        <w:rPr>
          <w:rFonts w:ascii="Liberation Mono" w:hAnsi="Liberation Mono" w:eastAsia="Liberation Mono" w:cs="Liberation Mono"/>
          <w:color w:val="243B53"/>
          <w:sz w:val="16"/>
        </w:rPr>
        <w:t xml:space="preserve">  "icon_key": "languages",</w:t>
      </w:r>
      <w:r>
        <w:br/>
      </w:r>
      <w:r>
        <w:rPr>
          <w:rFonts w:ascii="Liberation Mono" w:hAnsi="Liberation Mono" w:eastAsia="Liberation Mono" w:cs="Liberation Mono"/>
          <w:color w:val="243B53"/>
          <w:sz w:val="16"/>
        </w:rPr>
        <w:t xml:space="preserve">  "renderer_kind": "standard_form",</w:t>
      </w:r>
      <w:r>
        <w:br/>
      </w:r>
      <w:r>
        <w:rPr>
          <w:rFonts w:ascii="Liberation Mono" w:hAnsi="Liberation Mono" w:eastAsia="Liberation Mono" w:cs="Liberation Mono"/>
          <w:color w:val="243B53"/>
          <w:sz w:val="16"/>
        </w:rPr>
        <w:t xml:space="preserve">  "input_schema": "schema://modules/translate/input/1.0",</w:t>
      </w:r>
      <w:r>
        <w:br/>
      </w:r>
      <w:r>
        <w:rPr>
          <w:rFonts w:ascii="Liberation Mono" w:hAnsi="Liberation Mono" w:eastAsia="Liberation Mono" w:cs="Liberation Mono"/>
          <w:color w:val="243B53"/>
          <w:sz w:val="16"/>
        </w:rPr>
        <w:t xml:space="preserve">  "output_schema": "schema://modules/translate/output/1.0",</w:t>
      </w:r>
      <w:r>
        <w:br/>
      </w:r>
      <w:r>
        <w:rPr>
          <w:rFonts w:ascii="Liberation Mono" w:hAnsi="Liberation Mono" w:eastAsia="Liberation Mono" w:cs="Liberation Mono"/>
          <w:color w:val="243B53"/>
          <w:sz w:val="16"/>
        </w:rPr>
        <w:t xml:space="preserve">  "enabled": false</w:t>
      </w:r>
      <w:r>
        <w:br/>
      </w:r>
      <w:r>
        <w:rPr>
          <w:rFonts w:ascii="Liberation Mono" w:hAnsi="Liberation Mono" w:eastAsia="Liberation Mono" w:cs="Liberation Mono"/>
          <w:color w:val="243B53"/>
          <w:sz w:val="16"/>
        </w:rPr>
        <w:t>}</w:t>
      </w:r>
    </w:p>
    <w:p>
      <w:pPr>
        <w:pStyle w:val="Heading2"/>
        <w:keepNext/>
      </w:pPr>
      <w:r>
        <w:t>13.4 Access, usage and interaction records</w:t>
      </w:r>
    </w:p>
    <w:p>
      <w:pPr>
        <w:keepNext w:val="0"/>
      </w:pPr>
      <w:r>
        <w:rPr>
          <w:rFonts w:ascii="Calibri" w:hAnsi="Calibri" w:eastAsia="Calibri" w:cs="Calibri"/>
          <w:i w:val="0"/>
          <w:color w:val="202124"/>
          <w:sz w:val="22"/>
        </w:rPr>
        <w:t>Security access evidence, operational telemetry, user-visible interaction history and improvement data are separate records with separate purposes and permissions. Query and answer content SHALL NOT be copied into access logs, compliance audit events, traces or metrics. Saving content for future improvement is explicit, purpose-bound and revocable; it is not inferred from general platform consent.</w:t>
      </w:r>
    </w:p>
    <w:tbl>
      <w:tblPr>
        <w:tblStyle w:val="TableGrid"/>
        <w:tblW w:type="dxa" w:w="9360"/>
        <w:jc w:val="left"/>
        <w:tblLayout w:type="fixed"/>
        <w:tblLook w:firstColumn="1" w:firstRow="1" w:lastColumn="0" w:lastRow="0" w:noHBand="0" w:noVBand="1" w:val="04A0"/>
        <w:tblInd w:w="120" w:type="dxa"/>
      </w:tblPr>
      <w:tblGrid>
        <w:gridCol w:w="1350"/>
        <w:gridCol w:w="2450"/>
        <w:gridCol w:w="1850"/>
        <w:gridCol w:w="1850"/>
        <w:gridCol w:w="1860"/>
      </w:tblGrid>
      <w:tr>
        <w:trPr>
          <w:tblHeader w:val="true"/>
          <w:cantSplit/>
        </w:trPr>
        <w:tc>
          <w:tcPr>
            <w:tcW w:type="dxa" w:w="135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Record</w:t>
            </w:r>
          </w:p>
        </w:tc>
        <w:tc>
          <w:tcPr>
            <w:tcW w:type="dxa" w:w="245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Content</w:t>
            </w:r>
          </w:p>
        </w:tc>
        <w:tc>
          <w:tcPr>
            <w:tcW w:type="dxa" w:w="185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Purpose</w:t>
            </w:r>
          </w:p>
        </w:tc>
        <w:tc>
          <w:tcPr>
            <w:tcW w:type="dxa" w:w="185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Pilot retention</w:t>
            </w:r>
          </w:p>
        </w:tc>
        <w:tc>
          <w:tcPr>
            <w:tcW w:type="dxa" w:w="18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Default access</w:t>
            </w:r>
          </w:p>
        </w:tc>
      </w:tr>
      <w:tr>
        <w:trPr>
          <w:cantSplit/>
        </w:trPr>
        <w:tc>
          <w:tcPr>
            <w:tcW w:type="dxa" w:w="135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Access event</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Authentication, route family, status, coarse client/network evidence, request and session IDs</w:t>
            </w:r>
          </w:p>
        </w:tc>
        <w:tc>
          <w:tcPr>
            <w:tcW w:type="dxa" w:w="1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Security and abuse investigation</w:t>
            </w:r>
          </w:p>
        </w:tc>
        <w:tc>
          <w:tcPr>
            <w:tcW w:type="dxa" w:w="1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90 days detailed; qualifying security audit events 12 months</w:t>
            </w:r>
          </w:p>
        </w:tc>
        <w:tc>
          <w:tcPr>
            <w:tcW w:type="dxa" w:w="18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Security role only</w:t>
            </w:r>
          </w:p>
        </w:tc>
      </w:tr>
      <w:tr>
        <w:trPr>
          <w:cantSplit/>
        </w:trPr>
        <w:tc>
          <w:tcPr>
            <w:tcW w:type="dxa" w:w="13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Operational metric</w:t>
            </w:r>
          </w:p>
        </w:tc>
        <w:tc>
          <w:tcPr>
            <w:tcW w:type="dxa" w:w="24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Counts, latency, failures, queue depth, provider and module labels</w:t>
            </w:r>
          </w:p>
        </w:tc>
        <w:tc>
          <w:tcPr>
            <w:tcW w:type="dxa" w:w="1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Reliability and capacity</w:t>
            </w:r>
          </w:p>
        </w:tc>
        <w:tc>
          <w:tcPr>
            <w:tcW w:type="dxa" w:w="1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Aggregated 13 months</w:t>
            </w:r>
          </w:p>
        </w:tc>
        <w:tc>
          <w:tcPr>
            <w:tcW w:type="dxa" w:w="18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Operators; no content</w:t>
            </w:r>
          </w:p>
        </w:tc>
      </w:tr>
      <w:tr>
        <w:trPr>
          <w:cantSplit/>
        </w:trPr>
        <w:tc>
          <w:tcPr>
            <w:tcW w:type="dxa" w:w="135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Audit event</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Material consent, deletion, role, provider, export and administrative transitions</w:t>
            </w:r>
          </w:p>
        </w:tc>
        <w:tc>
          <w:tcPr>
            <w:tcW w:type="dxa" w:w="1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Compliance evidence</w:t>
            </w:r>
          </w:p>
        </w:tc>
        <w:tc>
          <w:tcPr>
            <w:tcW w:type="dxa" w:w="1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12 months pilot default or approved schedule</w:t>
            </w:r>
          </w:p>
        </w:tc>
        <w:tc>
          <w:tcPr>
            <w:tcW w:type="dxa" w:w="18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Auditor/privacy roles</w:t>
            </w:r>
          </w:p>
        </w:tc>
      </w:tr>
      <w:tr>
        <w:trPr>
          <w:cantSplit/>
        </w:trPr>
        <w:tc>
          <w:tcPr>
            <w:tcW w:type="dxa" w:w="135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User history</w:t>
            </w:r>
          </w:p>
        </w:tc>
        <w:tc>
          <w:tcPr>
            <w:tcW w:type="dxa" w:w="24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Query/input reference, answer/output reference, model provenance and user labels</w:t>
            </w:r>
          </w:p>
        </w:tc>
        <w:tc>
          <w:tcPr>
            <w:tcW w:type="dxa" w:w="1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User-requested history</w:t>
            </w:r>
          </w:p>
        </w:tc>
        <w:tc>
          <w:tcPr>
            <w:tcW w:type="dxa" w:w="1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30 days default; user configurable within policy</w:t>
            </w:r>
          </w:p>
        </w:tc>
        <w:tc>
          <w:tcPr>
            <w:tcW w:type="dxa" w:w="18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Owner and explicitly authorised project members</w:t>
            </w:r>
          </w:p>
        </w:tc>
      </w:tr>
      <w:tr>
        <w:trPr>
          <w:cantSplit/>
        </w:trPr>
        <w:tc>
          <w:tcPr>
            <w:tcW w:type="dxa" w:w="13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Improvement record</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Consented query, response, module/model metadata, redaction and quality labels</w:t>
            </w:r>
          </w:p>
        </w:tc>
        <w:tc>
          <w:tcPr>
            <w:tcW w:type="dxa" w:w="1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Evaluation and product improvement</w:t>
            </w:r>
          </w:p>
        </w:tc>
        <w:tc>
          <w:tcPr>
            <w:tcW w:type="dxa" w:w="1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180 days provisional maximum</w:t>
            </w:r>
          </w:p>
        </w:tc>
        <w:tc>
          <w:tcPr>
            <w:tcW w:type="dxa" w:w="18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Approved research curators</w:t>
            </w:r>
          </w:p>
        </w:tc>
      </w:tr>
      <w:tr>
        <w:trPr>
          <w:cantSplit/>
        </w:trPr>
        <w:tc>
          <w:tcPr>
            <w:tcW w:type="dxa" w:w="13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Training record</w:t>
            </w:r>
          </w:p>
        </w:tc>
        <w:tc>
          <w:tcPr>
            <w:tcW w:type="dxa" w:w="24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Curated, licensed, reviewed dataset item with lineage</w:t>
            </w:r>
          </w:p>
        </w:tc>
        <w:tc>
          <w:tcPr>
            <w:tcW w:type="dxa" w:w="1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Model training</w:t>
            </w:r>
          </w:p>
        </w:tc>
        <w:tc>
          <w:tcPr>
            <w:tcW w:type="dxa" w:w="18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Separate approved research protocol</w:t>
            </w:r>
          </w:p>
        </w:tc>
        <w:tc>
          <w:tcPr>
            <w:tcW w:type="dxa" w:w="18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Approved model/data team</w:t>
            </w:r>
          </w:p>
        </w:tc>
      </w:tr>
      <w:tr>
        <w:trPr>
          <w:cantSplit/>
        </w:trPr>
        <w:tc>
          <w:tcPr>
            <w:tcW w:type="dxa" w:w="13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Experience feedback</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Rating, task outcome, selected modules and optional comment</w:t>
            </w:r>
          </w:p>
        </w:tc>
        <w:tc>
          <w:tcPr>
            <w:tcW w:type="dxa" w:w="1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Product-experience improvement</w:t>
            </w:r>
          </w:p>
        </w:tc>
        <w:tc>
          <w:tcPr>
            <w:tcW w:type="dxa" w:w="18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12 months provisional maximum</w:t>
            </w:r>
          </w:p>
        </w:tc>
        <w:tc>
          <w:tcPr>
            <w:tcW w:type="dxa" w:w="18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Product/research analysts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5D6"/>
            <w:tcMar>
              <w:top w:w="80" w:type="dxa"/>
              <w:bottom w:w="80" w:type="dxa"/>
              <w:start w:w="120" w:type="dxa"/>
              <w:end w:w="120" w:type="dxa"/>
            </w:tcMar>
            <w:vAlign w:val="center"/>
          </w:tcPr>
          <w:p>
            <w:pPr>
              <w:spacing w:after="60"/>
            </w:pPr>
            <w:r/>
            <w:r>
              <w:rPr>
                <w:rFonts w:ascii="Calibri" w:hAnsi="Calibri" w:eastAsia="Calibri" w:cs="Calibri"/>
                <w:b/>
                <w:color w:val="16324F"/>
                <w:sz w:val="21"/>
              </w:rPr>
              <w:t>CONSENT BOUNDARY</w:t>
            </w:r>
          </w:p>
          <w:p>
            <w:pPr>
              <w:spacing w:after="0" w:line="269" w:lineRule="auto"/>
            </w:pPr>
            <w:r>
              <w:rPr>
                <w:rFonts w:ascii="Calibri" w:hAnsi="Calibri" w:eastAsia="Calibri" w:cs="Calibri"/>
                <w:color w:val="202124"/>
                <w:sz w:val="19"/>
              </w:rPr>
              <w:t>Mandatory security logging is disclosed and minimised under the approved legal basis. User history is opt-in at save time. Product-improvement retention requires a separate consent purpose. Model-training eligibility remains disabled unless the user has separately opted in and a curator has approved licensing, sensitivity, redaction and dataset lineage.</w:t>
            </w:r>
          </w:p>
        </w:tc>
      </w:tr>
    </w:tbl>
    <w:p>
      <w:pPr>
        <w:spacing w:after="40"/>
      </w:pPr>
    </w:p>
    <w:p>
      <w:pPr>
        <w:keepNext w:val="0"/>
      </w:pPr>
      <w:r>
        <w:rPr>
          <w:rFonts w:ascii="Calibri" w:hAnsi="Calibri" w:eastAsia="Calibri" w:cs="Calibri"/>
          <w:i w:val="0"/>
          <w:color w:val="202124"/>
          <w:sz w:val="22"/>
        </w:rPr>
        <w:t>The Usage page provides date range, module, provider, model, project and outcome filters; totals for requests, successful operations, errors, latency and consumed units; an accessible tabular view; and CSV export subject to role and row scope. The Activity history page lets a user search, reopen, export and delete their saved interactions. Administrators see aggregated usage by default and must obtain separately audited, time-bound approval to inspect raw improvement content.</w:t>
      </w:r>
    </w:p>
    <w:p>
      <w:pPr>
        <w:pStyle w:val="Heading2"/>
        <w:keepNext/>
      </w:pPr>
      <w:r>
        <w:t>13.5 Sign-out feedback experience</w:t>
      </w:r>
    </w:p>
    <w:p>
      <w:pPr>
        <w:keepNext w:val="0"/>
      </w:pPr>
      <w:r>
        <w:rPr>
          <w:rFonts w:ascii="Calibri" w:hAnsi="Calibri" w:eastAsia="Calibri" w:cs="Calibri"/>
          <w:i w:val="0"/>
          <w:color w:val="202124"/>
          <w:sz w:val="22"/>
        </w:rPr>
        <w:t>A deliberate Sign out action opens a compact feedback dialog before session termination. Feedback is voluntary: the dialog provides Submit and sign out, Skip and sign out, and Cancel. It never removes, delays or visually hides the skip option, and browser/session expiry does not fabricate a response.</w:t>
      </w:r>
    </w:p>
    <w:p>
      <w:pPr>
        <w:spacing w:after="80" w:line="300" w:lineRule="auto"/>
        <w:numPr>
          <w:ilvl w:val="0"/>
          <w:numId w:val="17"/>
        </w:numPr>
      </w:pPr>
      <w:r>
        <w:t>Ask for an overall 1-5 experience rating with descriptive labels, not colour alone.</w:t>
      </w:r>
    </w:p>
    <w:p>
      <w:pPr>
        <w:spacing w:after="80" w:line="300" w:lineRule="auto"/>
        <w:numPr>
          <w:ilvl w:val="0"/>
          <w:numId w:val="17"/>
        </w:numPr>
      </w:pPr>
      <w:r>
        <w:t>Ask whether the user achieved the intended task: Yes, Partly or No.</w:t>
      </w:r>
    </w:p>
    <w:p>
      <w:pPr>
        <w:spacing w:after="80" w:line="300" w:lineRule="auto"/>
        <w:numPr>
          <w:ilvl w:val="0"/>
          <w:numId w:val="17"/>
        </w:numPr>
      </w:pPr>
      <w:r>
        <w:t>Offer a multi-select list of modules used during the session, preselected only from actual session activity and editable by the user.</w:t>
      </w:r>
    </w:p>
    <w:p>
      <w:pPr>
        <w:spacing w:after="80" w:line="300" w:lineRule="auto"/>
        <w:numPr>
          <w:ilvl w:val="0"/>
          <w:numId w:val="17"/>
        </w:numPr>
      </w:pPr>
      <w:r>
        <w:t>Provide one optional free-text comment and a separate optional permission for follow-up contact; do not prefill it with prompts, outputs or access-log data.</w:t>
      </w:r>
    </w:p>
    <w:p>
      <w:pPr>
        <w:spacing w:after="80" w:line="300" w:lineRule="auto"/>
        <w:numPr>
          <w:ilvl w:val="0"/>
          <w:numId w:val="17"/>
        </w:numPr>
      </w:pPr>
      <w:r>
        <w:t>If submitted, POST the feedback with the current session and CSRF protection, wait no more than two seconds, then invalidate the session. Failure to save feedback never prevents logout.</w:t>
      </w:r>
    </w:p>
    <w:p>
      <w:pPr>
        <w:spacing w:after="80" w:line="300" w:lineRule="auto"/>
        <w:numPr>
          <w:ilvl w:val="0"/>
          <w:numId w:val="17"/>
        </w:numPr>
      </w:pPr>
      <w:r>
        <w:t>If skipped, invalidate the session immediately and record only the ordinary logout security event; do not create a negative or empty feedback response.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Field</w:t>
            </w:r>
          </w:p>
        </w:tc>
        <w:tc>
          <w:tcPr>
            <w:tcW w:type="dxa" w:w="67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Rule</w:t>
            </w:r>
          </w:p>
        </w:tc>
      </w:tr>
      <w:tr>
        <w:trPr>
          <w:cantSplit/>
        </w:trPr>
        <w:tc>
          <w:tcPr>
            <w:tcW w:type="dxa" w:w="26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feedback_id</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UUID; generated server-side.</w:t>
            </w:r>
          </w:p>
        </w:tc>
      </w:tr>
      <w:tr>
        <w:trPr>
          <w:cantSplit/>
        </w:trPr>
        <w:tc>
          <w:tcPr>
            <w:tcW w:type="dxa" w:w="26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user_id</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Nullable after deletion; never exported to product analysts by default.</w:t>
            </w:r>
          </w:p>
        </w:tc>
      </w:tr>
      <w:tr>
        <w:trPr>
          <w:cantSplit/>
        </w:trPr>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session_id_hash</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Keyed hash for deduplication and session-level analysis.</w:t>
            </w:r>
          </w:p>
        </w:tc>
      </w:tr>
      <w:tr>
        <w:trPr>
          <w:cantSplit/>
        </w:trPr>
        <w:tc>
          <w:tcPr>
            <w:tcW w:type="dxa" w:w="26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rating</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Integer 1-5; nullable only when the form is not submitted.</w:t>
            </w:r>
          </w:p>
        </w:tc>
      </w:tr>
      <w:tr>
        <w:trPr>
          <w:cantSplit/>
        </w:trPr>
        <w:tc>
          <w:tcPr>
            <w:tcW w:type="dxa" w:w="26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task_outcome</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yes, partly or no.</w:t>
            </w:r>
          </w:p>
        </w:tc>
      </w:tr>
      <w:tr>
        <w:trPr>
          <w:cantSplit/>
        </w:trPr>
        <w:tc>
          <w:tcPr>
            <w:tcW w:type="dxa" w:w="26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module_ids</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Validated array of authorised module identifiers.</w:t>
            </w:r>
          </w:p>
        </w:tc>
      </w:tr>
      <w:tr>
        <w:trPr>
          <w:cantSplit/>
        </w:trPr>
        <w:tc>
          <w:tcPr>
            <w:tcW w:type="dxa" w:w="26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comment</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Optional; 2,000-character maximum; encrypted and screened for obvious secrets/PII.</w:t>
            </w:r>
          </w:p>
        </w:tc>
      </w:tr>
      <w:tr>
        <w:trPr>
          <w:cantSplit/>
        </w:trPr>
        <w:tc>
          <w:tcPr>
            <w:tcW w:type="dxa" w:w="26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follow_up_allowed</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Explicit Boolean; false by default.</w:t>
            </w:r>
          </w:p>
        </w:tc>
      </w:tr>
      <w:tr>
        <w:trPr>
          <w:cantSplit/>
        </w:trPr>
        <w:tc>
          <w:tcPr>
            <w:tcW w:type="dxa" w:w="26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locale / client_version</w:t>
            </w:r>
          </w:p>
        </w:tc>
        <w:tc>
          <w:tcPr>
            <w:tcW w:type="dxa" w:w="6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Experience context without raw prompt/output content.</w:t>
            </w:r>
          </w:p>
        </w:tc>
      </w:tr>
      <w:tr>
        <w:trPr>
          <w:cantSplit/>
        </w:trPr>
        <w:tc>
          <w:tcPr>
            <w:tcW w:type="dxa" w:w="26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submitted_at</w:t>
            </w:r>
          </w:p>
        </w:tc>
        <w:tc>
          <w:tcPr>
            <w:tcW w:type="dxa" w:w="6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UTC timestamp and retention anchor.</w:t>
            </w:r>
          </w:p>
        </w:tc>
      </w:tr>
    </w:tbl>
    <w:p>
      <w:pPr>
        <w:spacing w:after="40"/>
      </w:pPr>
    </w:p>
    <w:p>
      <w:pPr>
        <w:pStyle w:val="Heading2"/>
        <w:keepNext/>
      </w:pPr>
      <w:r>
        <w:t>13.6 Data model and API additions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Entity</w:t>
            </w:r>
          </w:p>
        </w:tc>
        <w:tc>
          <w:tcPr>
            <w:tcW w:type="dxa" w:w="66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Key invariant</w:t>
            </w:r>
          </w:p>
        </w:tc>
      </w:tr>
      <w:tr>
        <w:trPr>
          <w:cantSplit/>
        </w:trP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module_definitions</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Versioned catalogue metadata, schemas, role policy, state, ordering and approval evidence.</w:t>
            </w:r>
          </w:p>
        </w:tc>
      </w:tr>
      <w:tr>
        <w:trPr>
          <w:cantSplit/>
        </w:trPr>
        <w:tc>
          <w:tcPr>
            <w:tcW w:type="dxa" w:w="2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access_events</w:t>
            </w:r>
          </w:p>
        </w:tc>
        <w:tc>
          <w:tcPr>
            <w:tcW w:type="dxa" w:w="66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Append-only, monthly partitioned access/security metadata with no query or answer body.</w:t>
            </w:r>
          </w:p>
        </w:tc>
      </w:tr>
      <w:tr>
        <w:trPr>
          <w:cantSplit/>
        </w:trP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inference_interactions</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Owner-scoped input/output references, purpose, consent, provenance, retention and deletion state.</w:t>
            </w:r>
          </w:p>
        </w:tc>
      </w:tr>
      <w:tr>
        <w:trPr>
          <w:cantSplit/>
        </w:trPr>
        <w:tc>
          <w:tcPr>
            <w:tcW w:type="dxa" w:w="2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interaction_labels</w:t>
            </w:r>
          </w:p>
        </w:tc>
        <w:tc>
          <w:tcPr>
            <w:tcW w:type="dxa" w:w="66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Human or automated quality labels with annotator identity, rubric version and timestamps.</w:t>
            </w:r>
          </w:p>
        </w:tc>
      </w:tr>
      <w:tr>
        <w:trPr>
          <w:cantSplit/>
        </w:trPr>
        <w:tc>
          <w:tcPr>
            <w:tcW w:type="dxa" w:w="2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experience_feedback</w:t>
            </w:r>
          </w:p>
        </w:tc>
        <w:tc>
          <w:tcPr>
            <w:tcW w:type="dxa" w:w="66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Voluntary sign-out or result-level feedback with session hash, retention and deletion state.</w:t>
            </w:r>
          </w:p>
        </w:tc>
      </w:tr>
      <w:tr>
        <w:trPr>
          <w:cantSplit/>
        </w:trPr>
        <w:tc>
          <w:tcPr>
            <w:tcW w:type="dxa" w:w="2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usage_rollups</w:t>
            </w:r>
          </w:p>
        </w:tc>
        <w:tc>
          <w:tcPr>
            <w:tcW w:type="dxa" w:w="66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Content-free hourly/daily aggregates by tenant, project, module, provider/model and outcome.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00"/>
        <w:gridCol w:w="3300"/>
        <w:gridCol w:w="3760"/>
        <w:gridCol w:w="1400"/>
      </w:tblGrid>
      <w:tr>
        <w:trPr>
          <w:tblHeader w:val="true"/>
          <w:cantSplit/>
        </w:trPr>
        <w:tc>
          <w:tcPr>
            <w:tcW w:type="dxa" w:w="9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Method</w:t>
            </w:r>
          </w:p>
        </w:tc>
        <w:tc>
          <w:tcPr>
            <w:tcW w:type="dxa" w:w="33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Endpoint</w:t>
            </w:r>
          </w:p>
        </w:tc>
        <w:tc>
          <w:tcPr>
            <w:tcW w:type="dxa" w:w="37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Purpose</w:t>
            </w:r>
          </w:p>
        </w:tc>
        <w:tc>
          <w:tcPr>
            <w:tcW w:type="dxa" w:w="14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Minimum role</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/api/v1/modules</w:t>
            </w:r>
          </w:p>
        </w:tc>
        <w:tc>
          <w:tcPr>
            <w:tcW w:type="dxa" w:w="3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Return authorised, enabled catalogue descriptors</w:t>
            </w:r>
          </w:p>
        </w:tc>
        <w:tc>
          <w:tcPr>
            <w:tcW w:type="dxa" w:w="1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3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/api/v1/admin/modules</w:t>
            </w:r>
          </w:p>
        </w:tc>
        <w:tc>
          <w:tcPr>
            <w:tcW w:type="dxa" w:w="3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Create a draft module descriptor</w:t>
            </w:r>
          </w:p>
        </w:tc>
        <w:tc>
          <w:tcPr>
            <w:tcW w:type="dxa" w:w="1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platform_admin</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/api/v1/admin/modules/{id}/activate</w:t>
            </w:r>
          </w:p>
        </w:tc>
        <w:tc>
          <w:tcPr>
            <w:tcW w:type="dxa" w:w="3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Validate and activate after independent approval</w:t>
            </w:r>
          </w:p>
        </w:tc>
        <w:tc>
          <w:tcPr>
            <w:tcW w:type="dxa" w:w="1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platform_admin + approver</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3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/api/v1/usage/summary</w:t>
            </w:r>
          </w:p>
        </w:tc>
        <w:tc>
          <w:tcPr>
            <w:tcW w:type="dxa" w:w="3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Aggregated usage for the caller's authorised scope</w:t>
            </w:r>
          </w:p>
        </w:tc>
        <w:tc>
          <w:tcPr>
            <w:tcW w:type="dxa" w:w="1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user/project_admin/operator</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GET</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/api/v1/activity/me</w:t>
            </w:r>
          </w:p>
        </w:tc>
        <w:tc>
          <w:tcPr>
            <w:tcW w:type="dxa" w:w="3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Paginated owner-scoped saved interaction history</w:t>
            </w:r>
          </w:p>
        </w:tc>
        <w:tc>
          <w:tcPr>
            <w:tcW w:type="dxa" w:w="1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DELETE</w:t>
            </w:r>
          </w:p>
        </w:tc>
        <w:tc>
          <w:tcPr>
            <w:tcW w:type="dxa" w:w="3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/api/v1/activity/me/{id}</w:t>
            </w:r>
          </w:p>
        </w:tc>
        <w:tc>
          <w:tcPr>
            <w:tcW w:type="dxa" w:w="3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Delete one retained interaction and derived copies</w:t>
            </w:r>
          </w:p>
        </w:tc>
        <w:tc>
          <w:tcPr>
            <w:tcW w:type="dxa" w:w="1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owner</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/api/v1/feedback/experience</w:t>
            </w:r>
          </w:p>
        </w:tc>
        <w:tc>
          <w:tcPr>
            <w:tcW w:type="dxa" w:w="3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Submit voluntary session/sign-out feedback</w:t>
            </w:r>
          </w:p>
        </w:tc>
        <w:tc>
          <w:tcPr>
            <w:tcW w:type="dxa" w:w="1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w:t>
            </w:r>
          </w:p>
        </w:tc>
      </w:tr>
      <w:tr>
        <w:trPr>
          <w:cantSplit/>
        </w:trPr>
        <w:tc>
          <w:tcPr>
            <w:tcW w:type="dxa" w:w="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3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/api/v1/interactions/{id}/feedback</w:t>
            </w:r>
          </w:p>
        </w:tc>
        <w:tc>
          <w:tcPr>
            <w:tcW w:type="dxa" w:w="37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Attach result-specific quality feedback</w:t>
            </w:r>
          </w:p>
        </w:tc>
        <w:tc>
          <w:tcPr>
            <w:tcW w:type="dxa" w:w="1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owner</w:t>
            </w:r>
          </w:p>
        </w:tc>
      </w:tr>
      <w:tr>
        <w:trPr>
          <w:cantSplit/>
        </w:trPr>
        <w:tc>
          <w:tcPr>
            <w:tcW w:type="dxa" w:w="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POST</w:t>
            </w:r>
          </w:p>
        </w:tc>
        <w:tc>
          <w:tcPr>
            <w:tcW w:type="dxa" w:w="3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/api/v1/auth/logout</w:t>
            </w:r>
          </w:p>
        </w:tc>
        <w:tc>
          <w:tcPr>
            <w:tcW w:type="dxa" w:w="37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Revoke session regardless of feedback outcome</w:t>
            </w:r>
          </w:p>
        </w:tc>
        <w:tc>
          <w:tcPr>
            <w:tcW w:type="dxa" w:w="1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w:t>
            </w:r>
          </w:p>
        </w:tc>
      </w:tr>
    </w:tbl>
    <w:p>
      <w:pPr>
        <w:spacing w:after="40"/>
      </w:pPr>
    </w:p>
    <w:p>
      <w:pPr>
        <w:pStyle w:val="Heading2"/>
        <w:keepNext/>
      </w:pPr>
      <w:r>
        <w:t>13.7 Normative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UX-001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authenticated application SHALL use a persistent grouped navigation shell with Workspace, AI modules, role-gated Administration, Support and Account regions.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Responsive UI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UX-002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first task viewport SHALL expose the active module controls without a marketing hero, pricing card or unrelated promotional content.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Visual review</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UX-003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Desktop, icon-rail and mobile-drawer states SHALL preserve keyboard navigation, focus, accessible names and the active-route indication.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Accessibility/E2E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UX-004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Every module SHALL use the shared page skeleton for title/status, model selection, input, action, progress/error, result, provenance and feedback while retaining capability-specific controls.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Component/visual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UX-005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UI SHALL use original Thamizhi branding and SHALL treat supplied third-party screenshots only as information-architecture references.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Design review</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UX-006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Tamil and English navigation and module pages SHALL render without clipping at 200% text enlargement and supported responsive widths.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Localization/a11y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MOD-001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Visible navigation SHALL be derived from GET /api/v1/modules and filtered server-side by environment, activation state, role and policy.</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Contract/E2E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MOD-002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Module descriptors SHALL be schema-validated, versioned and limited to allowlisted metadata, schema references and icon identifiers; executable code, HTML and secrets are prohibited.</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Schema/security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MOD-003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standard-form module SHALL be addable without editing the navigation component; a custom renderer SHALL require a compiled, reviewed registration bound to module_id.</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Extension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MOD-004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Module activation SHALL require independent approval and SHALL remain separate from provider activation and provider-secret management.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Workflow/audit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MOD-005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Removing or disabling a module SHALL hide new navigation entry points without deleting historical records or breaking their export/deletion lifecycle.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Lifecycle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REC-001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Access events, operational telemetry, audit events, interaction content and experience feedback SHALL use separate schemas, purposes, access roles and retention policies.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Schema/access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REC-002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Access, audit, trace and metric records SHALL NOT contain raw queries, uploaded media, transcripts or generated answers.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Automated log scan</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REC-003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Persisting query/answer content for history, improvement or training SHALL record the exact purpose, consent_id, owner, model/provider provenance, retention expiry and deletion state.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Referential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REC-004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Product-improvement collection SHALL be off by default, separately opt-in, revocable and distinct from model-training consent.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Consent/policy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REC-005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Users SHALL be able to view, export and delete retained interactions; deletion SHALL include labels, artifacts, indexes and improvement copies through the central deletion catalogue.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Rights/deletion E2E</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REC-006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Usage dashboards and CSV exports SHALL enforce tenant/project/user scope and disclose aggregation, timezone, filters and data freshness.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Access/export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REC-007</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Raw improvement records SHALL require time-bound, audited curator access and SHALL NOT be visible to ordinary platform operators.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RBAC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REC-008</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record SHALL NOT become training-eligible until consent, licence, sensitivity, redaction, quality and lineage checks have passed under an approved dataset protocol.</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Dataset governance audit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FBK-001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deliberate user-initiated sign-out SHALL offer a voluntary experience-feedback dialog with Submit and sign out, Skip and sign out, and Cancel actions.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Sign-out E2E</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FBK-002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Skipping feedback or a feedback-network failure SHALL NOT prevent session revocation; the submit wait SHALL be capped at two seconds.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Failure/E2E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FBK-003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form SHALL collect at most rating, task outcome, used modules, a 2,000-character optional comment and explicit follow-up permission.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Schema/UI test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FBK-004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Feedback SHALL NOT silently include query, answer, transcript, uploaded media, IP address or access-log content.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Payload/privacy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FBK-005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interface SHALL NOT treat a skipped or expired session as a negative response and SHALL NOT use dark patterns to discourage Skip and sign out.</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UX/privacy review</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FBK-006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Feedback retention, export, deletion and analyst access SHALL follow the approved purpose and the central user-data lifecycle.</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Lifecycle/access test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2"/>
        <w:keepNext/>
      </w:pPr>
      <w:r>
        <w:t>13.8 Additional acceptance scenarios</w:t>
      </w:r>
    </w:p>
    <w:tbl>
      <w:tblPr>
        <w:tblStyle w:val="TableGrid"/>
        <w:tblW w:type="dxa" w:w="9360"/>
        <w:jc w:val="left"/>
        <w:tblLayout w:type="fixed"/>
        <w:tblLook w:firstColumn="1" w:firstRow="1" w:lastColumn="0" w:lastRow="0" w:noHBand="0" w:noVBand="1" w:val="04A0"/>
        <w:tblInd w:w="120" w:type="dxa"/>
      </w:tblPr>
      <w:tblGrid>
        <w:gridCol w:w="1000"/>
        <w:gridCol w:w="8360"/>
      </w:tblGrid>
      <w:tr>
        <w:trPr>
          <w:tblHeader w:val="true"/>
          <w:cantSplit/>
        </w:trPr>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ID</w:t>
            </w:r>
          </w:p>
        </w:tc>
        <w:tc>
          <w:tcPr>
            <w:tcW w:type="dxa" w:w="83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Scenario</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A30</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The desktop shell, collapsed icon rail and mobile drawer expose the same authorised modules with correct focus, active-route and Tamil/English behaviour.</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A31</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An approved standard-form Translate descriptor appears in the correct sidebar group without editing the navigation component; an invalid or executable descriptor is rejected.</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A32</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 disabled module disappears from new navigation while an owner can still export or delete its retained historical interactions.</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A33</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 query and answer are absent from every access/audit/trace record, saved to history only when requested, and copied to improvement storage only after separate opt-in.</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A34</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Usage totals, filtered table and CSV agree for date, module, provider, model, project and outcome while an unauthorised project remains invisible.</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A35</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Submit and sign out saves valid voluntary feedback and revokes the session; Skip and sign out creates no feedback record and revokes immediately.</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A36</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 two-second feedback timeout or server failure still revokes the session and presents no false success for the feedback submission.</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A37</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Deleting an interaction removes its content, artifacts, labels, index entries and improvement copy while retaining only permitted non-content security/audit evidence.</w:t>
            </w:r>
          </w:p>
        </w:tc>
      </w:tr>
    </w:tbl>
    <w:p>
      <w:pPr>
        <w:spacing w:after="40"/>
      </w:pPr>
    </w:p>
    <w:p>
      <w:pPr>
        <w:pStyle w:val="Heading1"/>
        <w:keepNext/>
      </w:pPr>
      <w:r>
        <w:t>14. Verification, validation and release acceptance</w:t>
      </w:r>
    </w:p>
    <w:p>
      <w:pPr>
        <w:pStyle w:val="Heading2"/>
        <w:keepNext/>
      </w:pPr>
      <w:r>
        <w:t>14.1 Test strategy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Layer</w:t>
            </w:r>
          </w:p>
        </w:tc>
        <w:tc>
          <w:tcPr>
            <w:tcW w:type="dxa" w:w="75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Coverage</w:t>
            </w:r>
          </w:p>
        </w:tc>
      </w:tr>
      <w:tr>
        <w:trPr>
          <w:cantSplit/>
        </w:trPr>
        <w:tc>
          <w:tcPr>
            <w:tcW w:type="dxa" w:w="18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Unit</w:t>
            </w:r>
          </w:p>
        </w:tc>
        <w:tc>
          <w:tcPr>
            <w:tcW w:type="dxa" w:w="7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Policy evaluation, adapters, consent state, deletion selectors, schema validation, retry budgets</w:t>
            </w:r>
          </w:p>
        </w:tc>
      </w:tr>
      <w:tr>
        <w:trPr>
          <w:cantSplit/>
        </w:trPr>
        <w:tc>
          <w:tcPr>
            <w:tcW w:type="dxa" w:w="18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Contract</w:t>
            </w:r>
          </w:p>
        </w:tc>
        <w:tc>
          <w:tcPr>
            <w:tcW w:type="dxa" w:w="75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OpenAPI, SSE/WebSocket schemas, provider capability conformance and backward compatibility</w:t>
            </w:r>
          </w:p>
        </w:tc>
      </w:tr>
      <w:tr>
        <w:trPr>
          <w:cantSplit/>
        </w:trPr>
        <w:tc>
          <w:tcPr>
            <w:tcW w:type="dxa" w:w="18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Integration</w:t>
            </w:r>
          </w:p>
        </w:tc>
        <w:tc>
          <w:tcPr>
            <w:tcW w:type="dxa" w:w="7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OIDC sandbox, PostgreSQL, Redis loss, versioned object storage, local/cloud provider stubs, batched outbox and deletion workers</w:t>
            </w:r>
          </w:p>
        </w:tc>
      </w:tr>
      <w:tr>
        <w:trPr>
          <w:cantSplit/>
        </w:trPr>
        <w:tc>
          <w:tcPr>
            <w:tcW w:type="dxa" w:w="18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End-to-end</w:t>
            </w:r>
          </w:p>
        </w:tc>
        <w:tc>
          <w:tcPr>
            <w:tcW w:type="dxa" w:w="75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English/Tamil journeys across sign-in, consent, all modules, export, withdrawal and deletion status</w:t>
            </w:r>
          </w:p>
        </w:tc>
      </w:tr>
      <w:tr>
        <w:trPr>
          <w:cantSplit/>
        </w:trPr>
        <w:tc>
          <w:tcPr>
            <w:tcW w:type="dxa" w:w="18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Security</w:t>
            </w:r>
          </w:p>
        </w:tc>
        <w:tc>
          <w:tcPr>
            <w:tcW w:type="dxa" w:w="7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SAST, SCA, secret/container/IaC scans, DAST, upload fuzzing, SSRF, CSRF, XSS and tenant isolation</w:t>
            </w:r>
          </w:p>
        </w:tc>
      </w:tr>
      <w:tr>
        <w:trPr>
          <w:cantSplit/>
        </w:trPr>
        <w:tc>
          <w:tcPr>
            <w:tcW w:type="dxa" w:w="18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Reliability</w:t>
            </w:r>
          </w:p>
        </w:tc>
        <w:tc>
          <w:tcPr>
            <w:tcW w:type="dxa" w:w="75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Dependency outage, latency injection, failover, replay, duplicate event, stuck worker and restore exercises</w:t>
            </w:r>
          </w:p>
        </w:tc>
      </w:tr>
      <w:tr>
        <w:trPr>
          <w:cantSplit/>
        </w:trPr>
        <w:tc>
          <w:tcPr>
            <w:tcW w:type="dxa" w:w="18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Performance</w:t>
            </w:r>
          </w:p>
        </w:tc>
        <w:tc>
          <w:tcPr>
            <w:tcW w:type="dxa" w:w="7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Reference load, audit overhead/backlog, soak, WebSocket backpressure, GPU saturation and RAG scale/recall</w:t>
            </w:r>
          </w:p>
        </w:tc>
      </w:tr>
      <w:tr>
        <w:trPr>
          <w:cantSplit/>
        </w:trPr>
        <w:tc>
          <w:tcPr>
            <w:tcW w:type="dxa" w:w="18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Language/model</w:t>
            </w:r>
          </w:p>
        </w:tc>
        <w:tc>
          <w:tcPr>
            <w:tcW w:type="dxa" w:w="75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OCR CER, ASR WER, TTS review, headline quality, retrieval recall and cultural/dialectal error analysis</w:t>
            </w:r>
          </w:p>
        </w:tc>
      </w:tr>
    </w:tbl>
    <w:p>
      <w:pPr>
        <w:spacing w:after="40"/>
      </w:pPr>
    </w:p>
    <w:p>
      <w:pPr>
        <w:pStyle w:val="Heading2"/>
        <w:keepNext/>
      </w:pPr>
      <w:r>
        <w:t>14.2 Model quality gates</w:t>
      </w:r>
    </w:p>
    <w:p>
      <w:pPr>
        <w:keepNext w:val="0"/>
      </w:pPr>
      <w:r>
        <w:rPr>
          <w:rFonts w:ascii="Calibri" w:hAnsi="Calibri" w:eastAsia="Calibri" w:cs="Calibri"/>
          <w:i w:val="0"/>
          <w:color w:val="202124"/>
          <w:sz w:val="22"/>
        </w:rPr>
        <w:t>Non-RAG model thresholds depend on approved evaluation datasets and user context; Phase 0 names those datasets and baselines. RAG is the exception: Section 9 defines a frozen 500-query pilot benchmark and mandatory numerical acceptance thresholds. Subsequent phases may not claim language or retrieval support without reporting the relevant metric, confidence interval and slice results. Local and cloud providers are evaluated separately.</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cantSplit/>
        </w:trPr>
        <w:tc>
          <w:tcPr>
            <w:tcW w:type="dxa" w:w="18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Module</w:t>
            </w:r>
          </w:p>
        </w:tc>
        <w:tc>
          <w:tcPr>
            <w:tcW w:type="dxa" w:w="35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Primary measures</w:t>
            </w:r>
          </w:p>
        </w:tc>
        <w:tc>
          <w:tcPr>
            <w:tcW w:type="dxa" w:w="40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Required slices</w:t>
            </w:r>
          </w:p>
        </w:tc>
      </w:tr>
      <w:tr>
        <w:trPr>
          <w:cantSplit/>
        </w:trPr>
        <w:tc>
          <w:tcPr>
            <w:tcW w:type="dxa" w:w="18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OCR</w:t>
            </w:r>
          </w:p>
        </w:tc>
        <w:tc>
          <w:tcPr>
            <w:tcW w:type="dxa" w:w="35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Character error rate, word error rate, layout/polygon accuracy</w:t>
            </w:r>
          </w:p>
        </w:tc>
        <w:tc>
          <w:tcPr>
            <w:tcW w:type="dxa" w:w="4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Printed Tamil/English, scans, photographs and mixed-script pages</w:t>
            </w:r>
          </w:p>
        </w:tc>
      </w:tr>
      <w:tr>
        <w:trPr>
          <w:cantSplit/>
        </w:trPr>
        <w:tc>
          <w:tcPr>
            <w:tcW w:type="dxa" w:w="18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ASR</w:t>
            </w:r>
          </w:p>
        </w:tc>
        <w:tc>
          <w:tcPr>
            <w:tcW w:type="dxa" w:w="35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WER/CER, partial latency, named-entity and dialect error slices</w:t>
            </w:r>
          </w:p>
        </w:tc>
        <w:tc>
          <w:tcPr>
            <w:tcW w:type="dxa" w:w="4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Sri Lankan Tamil, relevant English and code-mixed speech</w:t>
            </w:r>
          </w:p>
        </w:tc>
      </w:tr>
      <w:tr>
        <w:trPr>
          <w:cantSplit/>
        </w:trPr>
        <w:tc>
          <w:tcPr>
            <w:tcW w:type="dxa" w:w="18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TTS</w:t>
            </w:r>
          </w:p>
        </w:tc>
        <w:tc>
          <w:tcPr>
            <w:tcW w:type="dxa" w:w="35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Intelligibility, pronunciation error and human naturalness rating</w:t>
            </w:r>
          </w:p>
        </w:tc>
        <w:tc>
          <w:tcPr>
            <w:tcW w:type="dxa" w:w="4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Tamil/English prompts including names and numerals</w:t>
            </w:r>
          </w:p>
        </w:tc>
      </w:tr>
      <w:tr>
        <w:trPr>
          <w:cantSplit/>
        </w:trPr>
        <w:tc>
          <w:tcPr>
            <w:tcW w:type="dxa" w:w="18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Chat/headline</w:t>
            </w:r>
          </w:p>
        </w:tc>
        <w:tc>
          <w:tcPr>
            <w:tcW w:type="dxa" w:w="35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Task rubric, factuality, toxicity/safety and length compliance</w:t>
            </w:r>
          </w:p>
        </w:tc>
        <w:tc>
          <w:tcPr>
            <w:tcW w:type="dxa" w:w="4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Representative project prompts with human review</w:t>
            </w:r>
          </w:p>
        </w:tc>
      </w:tr>
      <w:tr>
        <w:trPr>
          <w:cantSplit/>
        </w:trPr>
        <w:tc>
          <w:tcPr>
            <w:tcW w:type="dxa" w:w="18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RAG</w:t>
            </w:r>
          </w:p>
        </w:tc>
        <w:tc>
          <w:tcPr>
            <w:tcW w:type="dxa" w:w="35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Recall@10 &gt;= 0.85; MRR@10 &gt;= 0.80; vector p95 &lt;= 50 ms; HNSW build &lt;= 4 h</w:t>
            </w:r>
          </w:p>
        </w:tc>
        <w:tc>
          <w:tcPr>
            <w:tcW w:type="dxa" w:w="4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MAP-Bilingual-RAG-500 v1 and 1M-chunk reference corpus</w:t>
            </w:r>
          </w:p>
        </w:tc>
      </w:tr>
    </w:tbl>
    <w:p>
      <w:pPr>
        <w:spacing w:after="40"/>
      </w:pPr>
    </w:p>
    <w:p>
      <w:pPr>
        <w:pStyle w:val="Heading2"/>
        <w:keepNext/>
      </w:pPr>
      <w:r>
        <w:t>14.3 Critical acceptance scenarios</w:t>
      </w:r>
    </w:p>
    <w:tbl>
      <w:tblPr>
        <w:tblStyle w:val="TableGrid"/>
        <w:tblW w:type="dxa" w:w="9360"/>
        <w:jc w:val="left"/>
        <w:tblLayout w:type="fixed"/>
        <w:tblLook w:firstColumn="1" w:firstRow="1" w:lastColumn="0" w:lastRow="0" w:noHBand="0" w:noVBand="1" w:val="04A0"/>
        <w:tblInd w:w="120" w:type="dxa"/>
      </w:tblPr>
      <w:tblGrid>
        <w:gridCol w:w="1000"/>
        <w:gridCol w:w="8360"/>
      </w:tblGrid>
      <w:tr>
        <w:trPr>
          <w:tblHeader w:val="true"/>
          <w:cantSplit/>
        </w:trPr>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ID</w:t>
            </w:r>
          </w:p>
        </w:tc>
        <w:tc>
          <w:tcPr>
            <w:tcW w:type="dxa" w:w="83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Scenario</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A01</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New user signs in, reads current consent documents, accepts and runs a local OCR request.</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A02</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User without consent calls inference and receives 403 CONSENT_REQUIRED; consent acceptance remains available.</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A03</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Same person signs in through a second provider and account linking does not occur silently.</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A04</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Cloud provider is healthy but policy denies D3 content; no network request reaches the provider.</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A05</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Local provider fails before response; permitted alternative is selected within retry/deadline rules and disclosed.</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A06</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ASR provider fails mid-stream; connection reports failure without silently switching providers.</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A07</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Rolling session renewal completes during live ASR without disconnecting or resetting audio/model context; no credential appears in a WebSocket frame.</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A08</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Redis is lost; rate limits and unsaved context follow typed degradation while consent, audit, deletion and saved conversations remain durable.</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A09</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Duplicate/replayed outbox work produces one audit event and one deletion effect.</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A10</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Consent is withdrawn while inference is in flight; no retained post-withdrawal data survives verification.</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A11</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Database is restored from backup; deletion tombstones are applied before application access.</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A12</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 user in project A cannot read project B jobs, artifacts, chats or RAG chunks.</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A13</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 malicious file, decompression bomb and spoofed MIME upload are rejected before model processing.</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A14</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Tamil UI and consent screenshots contain no missing glyphs, clipping or untranslated keys.</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A15</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HNSW benchmark meets the approved recall/latency target with realistic project filters.</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A16</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Audit ingestion at twice reference load remains within the outbox-overhead and projection-lag SLOs without one-row-per-packet amplification.</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A17</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Broker or audit worker failure and replay produce no missing or duplicate logical audit event.</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A18</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Withdrawal from a versioned bucket removes all object versions, delete markers, incomplete multipart uploads and derived artifacts.</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A19</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 768-dimensional and a 1024-dimensional embedding collection deploy separate metric-matched indexes and cannot mix vectors.</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A20</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Localization validation produces identical output from an arbitrary working directory and rejects missing keys, path escape and interpolation mismatch.</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A21</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An identical idempotent retry replays the original result, a changed fingerprint returns 409 without execution, expiry cleanup meets its one-hour bound and account deletion removes the key record.</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A22</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The frozen MAP-Bilingual-RAG-500 v1 run meets Recall@10, MRR@10, per-slice recall, 50 ms p95 vector-search and four-hour HNSW-build gates on the declared reference environment.</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A23</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 full user-work queue returns 429 QUEUE_FULL and creates no job; exhausted work is isolated after its class attempt limit, while saturated audit/deletion work remains durable and alerts.</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A24</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 model_operator creates a draft through POST /admin/providers; invalid endpoints or secret values are rejected and routing remains impossible until independent approvals and conformance checks pass.</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A25</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Injected 200 ms Redis latency triggers the 25 ms timeout and circuit breaker; conservative local budgets prevent cascading latency or unrestricted bypass, and essential control paths remain available.</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A26</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Phase 0 cannot close without a named privacy owner and an opened DPIA containing the required data map, processor, risk, action and schedule fields.</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A27</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Audit batch count and flush interval are changed to low- and high-volume configurations; both pass the 10 ms outbox-overhead and 60-second projection SLOs without event loss.</w:t>
            </w:r>
          </w:p>
        </w:tc>
      </w:tr>
      <w:tr>
        <w:trPr>
          <w:cantSplit/>
        </w:trPr>
        <w:tc>
          <w:tcPr>
            <w:tcW w:type="dxa" w:w="10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A28</w:t>
            </w:r>
          </w:p>
        </w:tc>
        <w:tc>
          <w:tcPr>
            <w:tcW w:type="dxa" w:w="83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 blue/green embedding migration backfills and reconciles a new constrained physical generation, atomically promotes the alias, preserves in-flight queries, rolls back successfully and propagates a deletion to both generations.</w:t>
            </w:r>
          </w:p>
        </w:tc>
      </w:tr>
      <w:tr>
        <w:trPr>
          <w:cantSplit/>
        </w:trPr>
        <w:tc>
          <w:tcPr>
            <w:tcW w:type="dxa" w:w="10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A29</w:t>
            </w:r>
          </w:p>
        </w:tc>
        <w:tc>
          <w:tcPr>
            <w:tcW w:type="dxa" w:w="83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Consent withdrawal captures all task deadline_at values, fences writes immediately and schedules the verification sweep exactly after the latest deadline plus the configured 60-second grace period.</w:t>
            </w:r>
          </w:p>
        </w:tc>
      </w:tr>
    </w:tbl>
    <w:p>
      <w:pPr>
        <w:spacing w:after="40"/>
      </w:pPr>
    </w:p>
    <w:p>
      <w:pPr>
        <w:pStyle w:val="Heading2"/>
        <w:keepNext/>
      </w:pPr>
      <w:r>
        <w:t>14.4 Release requirements</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QA-001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Each Must requirement SHALL map to at least one automated or documented verification result.</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Traceability audit</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QA-002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Critical acceptance scenarios A01-A37 SHALL pass in the release-candidate environment.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E2E evidence</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QA-003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No open critical/high security issue or unresolved data-loss/deletion defect is permitted at production go-live.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Release review</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QA-004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 24-hour soak test SHALL pass at representative load without unbounded memory, queue or connection growth.</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Soak report</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QA-005</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Rollback/forward-fix, database restore, provider outage and deletion drills SHALL be completed before production.</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Exercise evidence</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QA-006</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Tamil and English language packs and model-quality reports SHALL be approved by named owners.</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Approval record</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15. Delivery plan and governance</w:t>
      </w:r>
    </w:p>
    <w:p>
      <w:pPr>
        <w:pStyle w:val="Heading2"/>
        <w:keepNext/>
      </w:pPr>
      <w:r>
        <w:t>15.1 Planning assumptions</w:t>
      </w:r>
    </w:p>
    <w:p>
      <w:pPr>
        <w:keepNext w:val="0"/>
      </w:pPr>
      <w:r>
        <w:rPr>
          <w:rFonts w:ascii="Calibri" w:hAnsi="Calibri" w:eastAsia="Calibri" w:cs="Calibri"/>
          <w:i w:val="0"/>
          <w:color w:val="202124"/>
          <w:sz w:val="22"/>
        </w:rPr>
        <w:t>The roadmap assumes a stable cross-functional team of approximately six to eight people: technical lead, two backend engineers, two frontend/integration engineers, platform/security engineer, QA engineer and part-time privacy/language reviewers. A smaller team must reduce scope or extend dates. The plan distinguishes a demonstrator from production approval.</w:t>
      </w:r>
    </w:p>
    <w:tbl>
      <w:tblPr>
        <w:tblStyle w:val="TableGrid"/>
        <w:tblW w:type="dxa" w:w="9360"/>
        <w:jc w:val="left"/>
        <w:tblLayout w:type="fixed"/>
        <w:tblLook w:firstColumn="1" w:firstRow="1" w:lastColumn="0" w:lastRow="0" w:noHBand="0" w:noVBand="1" w:val="04A0"/>
        <w:tblInd w:w="120" w:type="dxa"/>
      </w:tblPr>
      <w:tblGrid>
        <w:gridCol w:w="700"/>
        <w:gridCol w:w="1000"/>
        <w:gridCol w:w="1700"/>
        <w:gridCol w:w="4560"/>
        <w:gridCol w:w="1400"/>
      </w:tblGrid>
      <w:tr>
        <w:trPr>
          <w:tblHeader w:val="true"/>
          <w:cantSplit/>
        </w:trPr>
        <w:tc>
          <w:tcPr>
            <w:tcW w:type="dxa" w:w="7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Phase</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Duration</w:t>
            </w:r>
          </w:p>
        </w:tc>
        <w:tc>
          <w:tcPr>
            <w:tcW w:type="dxa" w:w="17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Focus</w:t>
            </w:r>
          </w:p>
        </w:tc>
        <w:tc>
          <w:tcPr>
            <w:tcW w:type="dxa" w:w="45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Outputs</w:t>
            </w:r>
          </w:p>
        </w:tc>
        <w:tc>
          <w:tcPr>
            <w:tcW w:type="dxa" w:w="14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Exit</w:t>
            </w:r>
          </w:p>
        </w:tc>
      </w:tr>
      <w:tr>
        <w:trPr>
          <w:cantSplit/>
        </w:trPr>
        <w:tc>
          <w:tcPr>
            <w:tcW w:type="dxa" w:w="7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0</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2 weeks</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Decisions and foundations</w:t>
            </w:r>
          </w:p>
        </w:tc>
        <w:tc>
          <w:tcPr>
            <w:tcW w:type="dxa" w:w="4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Named DPO/privacy lead, opened DPIA, threat model, provider/data policy, frozen evaluation manifests, SLO/capacity baseline, OpenAPI skeleton and CI/security gates</w:t>
            </w:r>
          </w:p>
        </w:tc>
        <w:tc>
          <w:tcPr>
            <w:tcW w:type="dxa" w:w="1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Architecture/privacy gate</w:t>
            </w:r>
          </w:p>
        </w:tc>
      </w:tr>
      <w:tr>
        <w:trPr>
          <w:cantSplit/>
        </w:trPr>
        <w:tc>
          <w:tcPr>
            <w:tcW w:type="dxa" w:w="7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1</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 weeks</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Secure vertical slice</w:t>
            </w:r>
          </w:p>
        </w:tc>
        <w:tc>
          <w:tcPr>
            <w:tcW w:type="dxa" w:w="45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OIDC, session, consent, local OCR, dedicated idempotency storage, audit outbox, base telemetry and Tamil font/i18n pipeline</w:t>
            </w:r>
          </w:p>
        </w:tc>
        <w:tc>
          <w:tcPr>
            <w:tcW w:type="dxa" w:w="1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End-to-end slice</w:t>
            </w:r>
          </w:p>
        </w:tc>
      </w:tr>
      <w:tr>
        <w:trPr>
          <w:cantSplit/>
        </w:trPr>
        <w:tc>
          <w:tcPr>
            <w:tcW w:type="dxa" w:w="7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2</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4 weeks</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Streaming and provider control</w:t>
            </w:r>
          </w:p>
        </w:tc>
        <w:tc>
          <w:tcPr>
            <w:tcW w:type="dxa" w:w="4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ASR, TTS, bounded admission/dead letters, provider onboarding and approval API, controlled cloud path, rate/cost limits and Redis degradation policy</w:t>
            </w:r>
          </w:p>
        </w:tc>
        <w:tc>
          <w:tcPr>
            <w:tcW w:type="dxa" w:w="1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Streaming/operations gate</w:t>
            </w:r>
          </w:p>
        </w:tc>
      </w:tr>
      <w:tr>
        <w:trPr>
          <w:cantSplit/>
        </w:trPr>
        <w:tc>
          <w:tcPr>
            <w:tcW w:type="dxa" w:w="7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3</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4 weeks</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Text and RAG</w:t>
            </w:r>
          </w:p>
        </w:tc>
        <w:tc>
          <w:tcPr>
            <w:tcW w:type="dxa" w:w="45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Chat, headline adapter, document ingestion, ACL-first retrieval, frozen RAG gate, blue/green collection migration and citations</w:t>
            </w:r>
          </w:p>
        </w:tc>
        <w:tc>
          <w:tcPr>
            <w:tcW w:type="dxa" w:w="1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Numerical quality gate</w:t>
            </w:r>
          </w:p>
        </w:tc>
      </w:tr>
      <w:tr>
        <w:trPr>
          <w:cantSplit/>
        </w:trPr>
        <w:tc>
          <w:tcPr>
            <w:tcW w:type="dxa" w:w="7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4</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3 weeks</w:t>
            </w:r>
          </w:p>
        </w:tc>
        <w:tc>
          <w:tcPr>
            <w:tcW w:type="dxa" w:w="17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Data lifecycle</w:t>
            </w:r>
          </w:p>
        </w:tc>
        <w:tc>
          <w:tcPr>
            <w:tcW w:type="dxa" w:w="45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Export, withdrawal, recorded task deadlines, deletion worker, deterministic second sweep, object/backup handling and privacy evidence</w:t>
            </w:r>
          </w:p>
        </w:tc>
        <w:tc>
          <w:tcPr>
            <w:tcW w:type="dxa" w:w="14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Deletion drill</w:t>
            </w:r>
          </w:p>
        </w:tc>
      </w:tr>
      <w:tr>
        <w:trPr>
          <w:cantSplit/>
        </w:trPr>
        <w:tc>
          <w:tcPr>
            <w:tcW w:type="dxa" w:w="7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5</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4 weeks</w:t>
            </w:r>
          </w:p>
        </w:tc>
        <w:tc>
          <w:tcPr>
            <w:tcW w:type="dxa" w:w="17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Production hardening</w:t>
            </w:r>
          </w:p>
        </w:tc>
        <w:tc>
          <w:tcPr>
            <w:tcW w:type="dxa" w:w="45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HA, load/soak, DR, penetration test, runbooks, accessibility, language review and pilot remediation</w:t>
            </w:r>
          </w:p>
        </w:tc>
        <w:tc>
          <w:tcPr>
            <w:tcW w:type="dxa" w:w="14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Production readiness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5D6"/>
            <w:tcMar>
              <w:top w:w="80" w:type="dxa"/>
              <w:bottom w:w="80" w:type="dxa"/>
              <w:start w:w="120" w:type="dxa"/>
              <w:end w:w="120" w:type="dxa"/>
            </w:tcMar>
            <w:vAlign w:val="center"/>
          </w:tcPr>
          <w:p>
            <w:pPr>
              <w:spacing w:after="60"/>
            </w:pPr>
            <w:r/>
            <w:r>
              <w:rPr>
                <w:rFonts w:ascii="Calibri" w:hAnsi="Calibri" w:eastAsia="Calibri" w:cs="Calibri"/>
                <w:b/>
                <w:color w:val="16324F"/>
                <w:sz w:val="21"/>
              </w:rPr>
              <w:t>SCHEDULE INTERPRETATION</w:t>
            </w:r>
          </w:p>
          <w:p>
            <w:pPr>
              <w:spacing w:after="0" w:line="269" w:lineRule="auto"/>
            </w:pPr>
            <w:r>
              <w:rPr>
                <w:rFonts w:ascii="Calibri" w:hAnsi="Calibri" w:eastAsia="Calibri" w:cs="Calibri"/>
                <w:color w:val="202124"/>
                <w:sz w:val="19"/>
              </w:rPr>
              <w:t>A ten-week plan can deliver a constrained pilot. The complete production baseline above is approximately twenty weeks under the stated staffing assumption and excludes procurement or external legal-review delays.</w:t>
            </w:r>
          </w:p>
        </w:tc>
      </w:tr>
    </w:tbl>
    <w:p>
      <w:pPr>
        <w:spacing w:after="40"/>
      </w:pPr>
    </w:p>
    <w:p>
      <w:pPr>
        <w:pStyle w:val="Heading2"/>
        <w:keepNext/>
      </w:pPr>
      <w:r>
        <w:t>15.2 Sequencing rules</w:t>
      </w:r>
    </w:p>
    <w:p>
      <w:pPr>
        <w:spacing w:after="80" w:line="300" w:lineRule="auto"/>
        <w:numPr>
          <w:ilvl w:val="0"/>
          <w:numId w:val="10"/>
        </w:numPr>
      </w:pPr>
      <w:r>
        <w:t>Security, privacy, telemetry and automation begin in Phase 0; they are not deferred to a final hardening phase.</w:t>
      </w:r>
    </w:p>
    <w:p>
      <w:pPr>
        <w:spacing w:after="80" w:line="300" w:lineRule="auto"/>
        <w:numPr>
          <w:ilvl w:val="0"/>
          <w:numId w:val="10"/>
        </w:numPr>
      </w:pPr>
      <w:r>
        <w:t>Phase 0 cannot exit until the accountable DPO or privacy lead is identified and the DPIA initiation record satisfies PRV-011.</w:t>
      </w:r>
    </w:p>
    <w:p>
      <w:pPr>
        <w:spacing w:after="80" w:line="300" w:lineRule="auto"/>
        <w:numPr>
          <w:ilvl w:val="0"/>
          <w:numId w:val="10"/>
        </w:numPr>
      </w:pPr>
      <w:r>
        <w:t>A working vertical slice precedes implementation of all modules.</w:t>
      </w:r>
    </w:p>
    <w:p>
      <w:pPr>
        <w:spacing w:after="80" w:line="300" w:lineRule="auto"/>
        <w:numPr>
          <w:ilvl w:val="0"/>
          <w:numId w:val="10"/>
        </w:numPr>
      </w:pPr>
      <w:r>
        <w:t>Cloud integration cannot begin before its provider/data policy is approved.</w:t>
      </w:r>
    </w:p>
    <w:p>
      <w:pPr>
        <w:spacing w:after="80" w:line="300" w:lineRule="auto"/>
        <w:numPr>
          <w:ilvl w:val="0"/>
          <w:numId w:val="10"/>
        </w:numPr>
      </w:pPr>
      <w:r>
        <w:t>RAG indexing cannot begin before document ownership and ACL semantics exist.</w:t>
      </w:r>
    </w:p>
    <w:p>
      <w:pPr>
        <w:spacing w:after="80" w:line="300" w:lineRule="auto"/>
        <w:numPr>
          <w:ilvl w:val="0"/>
          <w:numId w:val="10"/>
        </w:numPr>
      </w:pPr>
      <w:r>
        <w:t>Production infrastructure cannot be approved from component unit tests alone; failure and restore exercises are required.</w:t>
      </w:r>
    </w:p>
    <w:p>
      <w:pPr>
        <w:pStyle w:val="Heading2"/>
        <w:keepNext/>
      </w:pPr>
      <w:r>
        <w:t>15.3 Definition of done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Dimension</w:t>
            </w:r>
          </w:p>
        </w:tc>
        <w:tc>
          <w:tcPr>
            <w:tcW w:type="dxa" w:w="74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8"/>
              </w:rPr>
              <w:t>Done when</w:t>
            </w:r>
          </w:p>
        </w:tc>
      </w:tr>
      <w:tr>
        <w:trPr>
          <w:cantSplit/>
        </w:trPr>
        <w:tc>
          <w:tcPr>
            <w:tcW w:type="dxa" w:w="1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Design</w:t>
            </w:r>
          </w:p>
        </w:tc>
        <w:tc>
          <w:tcPr>
            <w:tcW w:type="dxa" w:w="7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ADR and API/schema changes reviewed; privacy/security effects recorded</w:t>
            </w:r>
          </w:p>
        </w:tc>
      </w:tr>
      <w:tr>
        <w:trPr>
          <w:cantSplit/>
        </w:trPr>
        <w:tc>
          <w:tcPr>
            <w:tcW w:type="dxa" w:w="1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Code</w:t>
            </w:r>
          </w:p>
        </w:tc>
        <w:tc>
          <w:tcPr>
            <w:tcW w:type="dxa" w:w="7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Peer reviewed, typed/linted, unit and contract tests passing</w:t>
            </w:r>
          </w:p>
        </w:tc>
      </w:tr>
      <w:tr>
        <w:trPr>
          <w:cantSplit/>
        </w:trPr>
        <w:tc>
          <w:tcPr>
            <w:tcW w:type="dxa" w:w="1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Security</w:t>
            </w:r>
          </w:p>
        </w:tc>
        <w:tc>
          <w:tcPr>
            <w:tcW w:type="dxa" w:w="7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Threat controls implemented; scans meet policy; secrets and dependencies documented</w:t>
            </w:r>
          </w:p>
        </w:tc>
      </w:tr>
      <w:tr>
        <w:trPr>
          <w:cantSplit/>
        </w:trPr>
        <w:tc>
          <w:tcPr>
            <w:tcW w:type="dxa" w:w="1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Operations</w:t>
            </w:r>
          </w:p>
        </w:tc>
        <w:tc>
          <w:tcPr>
            <w:tcW w:type="dxa" w:w="7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Metrics, alerts, dashboards and runbook updated</w:t>
            </w:r>
          </w:p>
        </w:tc>
      </w:tr>
      <w:tr>
        <w:trPr>
          <w:cantSplit/>
        </w:trPr>
        <w:tc>
          <w:tcPr>
            <w:tcW w:type="dxa" w:w="1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Data</w:t>
            </w:r>
          </w:p>
        </w:tc>
        <w:tc>
          <w:tcPr>
            <w:tcW w:type="dxa" w:w="7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Retention, deletion and migration behaviour tested</w:t>
            </w:r>
          </w:p>
        </w:tc>
      </w:tr>
      <w:tr>
        <w:trPr>
          <w:cantSplit/>
        </w:trPr>
        <w:tc>
          <w:tcPr>
            <w:tcW w:type="dxa" w:w="19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Language/UX</w:t>
            </w:r>
          </w:p>
        </w:tc>
        <w:tc>
          <w:tcPr>
            <w:tcW w:type="dxa" w:w="74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English/Tamil and accessibility checks completed where user-facing</w:t>
            </w:r>
          </w:p>
        </w:tc>
      </w:tr>
      <w:tr>
        <w:trPr>
          <w:cantSplit/>
        </w:trPr>
        <w:tc>
          <w:tcPr>
            <w:tcW w:type="dxa" w:w="19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7"/>
              </w:rPr>
              <w:t>Evidence</w:t>
            </w:r>
          </w:p>
        </w:tc>
        <w:tc>
          <w:tcPr>
            <w:tcW w:type="dxa" w:w="74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7"/>
              </w:rPr>
              <w:t>Requirement IDs and acceptance results linked in release record</w:t>
            </w:r>
          </w:p>
        </w:tc>
      </w:tr>
    </w:tbl>
    <w:p>
      <w:pPr>
        <w:spacing w:after="40"/>
      </w:pPr>
    </w:p>
    <w:p>
      <w:pPr>
        <w:pStyle w:val="Heading2"/>
        <w:keepNext/>
      </w:pPr>
      <w:r>
        <w:t>15.4 Change governance</w:t>
      </w:r>
    </w:p>
    <w:tbl>
      <w:tblPr>
        <w:tblStyle w:val="TableGrid"/>
        <w:tblW w:type="dxa" w:w="9360"/>
        <w:jc w:val="left"/>
        <w:tblLayout w:type="fixed"/>
        <w:tblLook w:firstColumn="1" w:firstRow="1" w:lastColumn="0" w:lastRow="0" w:noHBand="0" w:noVBand="1" w:val="04A0"/>
        <w:tblInd w:w="120" w:type="dxa"/>
      </w:tblPr>
      <w:tblGrid>
        <w:gridCol w:w="1200"/>
        <w:gridCol w:w="5320"/>
        <w:gridCol w:w="1840"/>
        <w:gridCol w:w="1000"/>
      </w:tblGrid>
      <w:tr>
        <w:trPr>
          <w:tblHeader w:val="true"/>
          <w:cantSplit/>
        </w:trPr>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532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Normative requirement</w:t>
            </w:r>
          </w:p>
        </w:tc>
        <w:tc>
          <w:tcPr>
            <w:tcW w:type="dxa" w:w="184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Verification</w:t>
            </w:r>
          </w:p>
        </w:tc>
        <w:tc>
          <w:tcPr>
            <w:tcW w:type="dxa" w:w="10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Priority</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GOV-001</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architecture board SHALL approve changes to identity ownership, public boundaries, durable stores, provider routing or deletion semantics.</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Decision record</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GOV-002</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The privacy owner SHALL approve new data purposes, cloud regions/providers, retention changes and training use.</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Approval record</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GOV-003</w:t>
            </w:r>
          </w:p>
        </w:tc>
        <w:tc>
          <w:tcPr>
            <w:tcW w:type="dxa" w:w="532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OpenAPI/event changes SHALL pass compatibility checks and include migration guidance.</w:t>
            </w:r>
          </w:p>
        </w:tc>
        <w:tc>
          <w:tcPr>
            <w:tcW w:type="dxa" w:w="184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CI/review</w:t>
            </w:r>
          </w:p>
        </w:tc>
        <w:tc>
          <w:tcPr>
            <w:tcW w:type="dxa" w:w="10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r>
        <w:trPr>
          <w:cantSplit/>
        </w:trPr>
        <w:tc>
          <w:tcPr>
            <w:tcW w:type="dxa" w:w="12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GOV-004</w:t>
            </w:r>
          </w:p>
        </w:tc>
        <w:tc>
          <w:tcPr>
            <w:tcW w:type="dxa" w:w="532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SLO or capacity changes SHALL include benchmark evidence and an operational impact assessment.</w:t>
            </w:r>
          </w:p>
        </w:tc>
        <w:tc>
          <w:tcPr>
            <w:tcW w:type="dxa" w:w="184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Review record</w:t>
            </w:r>
          </w:p>
        </w:tc>
        <w:tc>
          <w:tcPr>
            <w:tcW w:type="dxa" w:w="10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Must</w:t>
            </w:r>
          </w:p>
        </w:tc>
      </w:tr>
    </w:tbl>
    <w:p>
      <w:pPr>
        <w:spacing w:after="40"/>
      </w:pPr>
    </w:p>
    <w:p>
      <w:pPr>
        <w:pStyle w:val="Heading1"/>
        <w:keepNext/>
      </w:pPr>
      <w:r>
        <w:t>16. Risks, assumptions and reference standards</w:t>
      </w:r>
    </w:p>
    <w:p>
      <w:pPr>
        <w:pStyle w:val="Heading2"/>
        <w:keepNext/>
      </w:pPr>
      <w:r>
        <w:t>16.1 Principal risks</w:t>
      </w:r>
    </w:p>
    <w:tbl>
      <w:tblPr>
        <w:tblStyle w:val="TableGrid"/>
        <w:tblW w:type="dxa" w:w="9360"/>
        <w:jc w:val="left"/>
        <w:tblLayout w:type="fixed"/>
        <w:tblLook w:firstColumn="1" w:firstRow="1" w:lastColumn="0" w:lastRow="0" w:noHBand="0" w:noVBand="1" w:val="04A0"/>
        <w:tblInd w:w="120" w:type="dxa"/>
      </w:tblPr>
      <w:tblGrid>
        <w:gridCol w:w="700"/>
        <w:gridCol w:w="2450"/>
        <w:gridCol w:w="1050"/>
        <w:gridCol w:w="3960"/>
        <w:gridCol w:w="1200"/>
      </w:tblGrid>
      <w:tr>
        <w:trPr>
          <w:tblHeader w:val="true"/>
          <w:cantSplit/>
        </w:trPr>
        <w:tc>
          <w:tcPr>
            <w:tcW w:type="dxa" w:w="7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ID</w:t>
            </w:r>
          </w:p>
        </w:tc>
        <w:tc>
          <w:tcPr>
            <w:tcW w:type="dxa" w:w="245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Risk</w:t>
            </w:r>
          </w:p>
        </w:tc>
        <w:tc>
          <w:tcPr>
            <w:tcW w:type="dxa" w:w="105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Severity</w:t>
            </w:r>
          </w:p>
        </w:tc>
        <w:tc>
          <w:tcPr>
            <w:tcW w:type="dxa" w:w="39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Primary treatment</w:t>
            </w:r>
          </w:p>
        </w:tc>
        <w:tc>
          <w:tcPr>
            <w:tcW w:type="dxa" w:w="12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Owner</w:t>
            </w:r>
          </w:p>
        </w:tc>
      </w:tr>
      <w:tr>
        <w:trPr>
          <w:cantSplit/>
        </w:trPr>
        <w:tc>
          <w:tcPr>
            <w:tcW w:type="dxa" w:w="7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R1</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Tamil model quality is insufficient for claimed use</w:t>
            </w:r>
          </w:p>
        </w:tc>
        <w:tc>
          <w:tcPr>
            <w:tcW w:type="dxa" w:w="10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High</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Use named evaluation datasets and publish per-dialect metrics before support claim</w:t>
            </w:r>
          </w:p>
        </w:tc>
        <w:tc>
          <w:tcPr>
            <w:tcW w:type="dxa" w:w="1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Model lead</w:t>
            </w:r>
          </w:p>
        </w:tc>
      </w:tr>
      <w:tr>
        <w:trPr>
          <w:cantSplit/>
        </w:trPr>
        <w:tc>
          <w:tcPr>
            <w:tcW w:type="dxa" w:w="7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R2</w:t>
            </w:r>
          </w:p>
        </w:tc>
        <w:tc>
          <w:tcPr>
            <w:tcW w:type="dxa" w:w="24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Cloud fallback causes unauthorised disclosure</w:t>
            </w:r>
          </w:p>
        </w:tc>
        <w:tc>
          <w:tcPr>
            <w:tcW w:type="dxa" w:w="10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Critical</w:t>
            </w:r>
          </w:p>
        </w:tc>
        <w:tc>
          <w:tcPr>
            <w:tcW w:type="dxa" w:w="39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Deny-by-default provider policy, egress controls and audit</w:t>
            </w:r>
          </w:p>
        </w:tc>
        <w:tc>
          <w:tcPr>
            <w:tcW w:type="dxa" w:w="1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Privacy/Security</w:t>
            </w:r>
          </w:p>
        </w:tc>
      </w:tr>
      <w:tr>
        <w:trPr>
          <w:cantSplit/>
        </w:trPr>
        <w:tc>
          <w:tcPr>
            <w:tcW w:type="dxa" w:w="7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R3</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GPU capacity causes queue growth and poor streaming latency</w:t>
            </w:r>
          </w:p>
        </w:tc>
        <w:tc>
          <w:tcPr>
            <w:tcW w:type="dxa" w:w="10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High</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Capacity test, bounded queues, admission control and autoscaling</w:t>
            </w:r>
          </w:p>
        </w:tc>
        <w:tc>
          <w:tcPr>
            <w:tcW w:type="dxa" w:w="1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Platform</w:t>
            </w:r>
          </w:p>
        </w:tc>
      </w:tr>
      <w:tr>
        <w:trPr>
          <w:cantSplit/>
        </w:trPr>
        <w:tc>
          <w:tcPr>
            <w:tcW w:type="dxa" w:w="7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R4</w:t>
            </w:r>
          </w:p>
        </w:tc>
        <w:tc>
          <w:tcPr>
            <w:tcW w:type="dxa" w:w="24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Deletion misses derived or restored data</w:t>
            </w:r>
          </w:p>
        </w:tc>
        <w:tc>
          <w:tcPr>
            <w:tcW w:type="dxa" w:w="10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Critical</w:t>
            </w:r>
          </w:p>
        </w:tc>
        <w:tc>
          <w:tcPr>
            <w:tcW w:type="dxa" w:w="39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Central deletion catalogue, second sweep, tombstone replay and drills</w:t>
            </w:r>
          </w:p>
        </w:tc>
        <w:tc>
          <w:tcPr>
            <w:tcW w:type="dxa" w:w="1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Data/Privacy</w:t>
            </w:r>
          </w:p>
        </w:tc>
      </w:tr>
      <w:tr>
        <w:trPr>
          <w:cantSplit/>
        </w:trPr>
        <w:tc>
          <w:tcPr>
            <w:tcW w:type="dxa" w:w="7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R5</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Identity linking enables account takeover</w:t>
            </w:r>
          </w:p>
        </w:tc>
        <w:tc>
          <w:tcPr>
            <w:tcW w:type="dxa" w:w="10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Critical</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Issuer/subject identity, verified linking and step-up confirmation</w:t>
            </w:r>
          </w:p>
        </w:tc>
        <w:tc>
          <w:tcPr>
            <w:tcW w:type="dxa" w:w="1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Security</w:t>
            </w:r>
          </w:p>
        </w:tc>
      </w:tr>
      <w:tr>
        <w:trPr>
          <w:cantSplit/>
        </w:trPr>
        <w:tc>
          <w:tcPr>
            <w:tcW w:type="dxa" w:w="7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R6</w:t>
            </w:r>
          </w:p>
        </w:tc>
        <w:tc>
          <w:tcPr>
            <w:tcW w:type="dxa" w:w="24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RAG leaks another project or follows injected instructions</w:t>
            </w:r>
          </w:p>
        </w:tc>
        <w:tc>
          <w:tcPr>
            <w:tcW w:type="dxa" w:w="10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Critical</w:t>
            </w:r>
          </w:p>
        </w:tc>
        <w:tc>
          <w:tcPr>
            <w:tcW w:type="dxa" w:w="39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ACL-first retrieval, isolation, provenance and adversarial tests</w:t>
            </w:r>
          </w:p>
        </w:tc>
        <w:tc>
          <w:tcPr>
            <w:tcW w:type="dxa" w:w="1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RAG lead</w:t>
            </w:r>
          </w:p>
        </w:tc>
      </w:tr>
      <w:tr>
        <w:trPr>
          <w:cantSplit/>
        </w:trPr>
        <w:tc>
          <w:tcPr>
            <w:tcW w:type="dxa" w:w="7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R7</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Provider/model changes invalidate comparisons</w:t>
            </w:r>
          </w:p>
        </w:tc>
        <w:tc>
          <w:tcPr>
            <w:tcW w:type="dxa" w:w="10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Medium</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Version every model, prompt, capability and evaluation result</w:t>
            </w:r>
          </w:p>
        </w:tc>
        <w:tc>
          <w:tcPr>
            <w:tcW w:type="dxa" w:w="1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Model lead</w:t>
            </w:r>
          </w:p>
        </w:tc>
      </w:tr>
      <w:tr>
        <w:trPr>
          <w:cantSplit/>
        </w:trPr>
        <w:tc>
          <w:tcPr>
            <w:tcW w:type="dxa" w:w="7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R8</w:t>
            </w:r>
          </w:p>
        </w:tc>
        <w:tc>
          <w:tcPr>
            <w:tcW w:type="dxa" w:w="24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Roadmap exceeds team capacity</w:t>
            </w:r>
          </w:p>
        </w:tc>
        <w:tc>
          <w:tcPr>
            <w:tcW w:type="dxa" w:w="10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High</w:t>
            </w:r>
          </w:p>
        </w:tc>
        <w:tc>
          <w:tcPr>
            <w:tcW w:type="dxa" w:w="39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Protect vertical-slice scope; reduce modules or extend schedule</w:t>
            </w:r>
          </w:p>
        </w:tc>
        <w:tc>
          <w:tcPr>
            <w:tcW w:type="dxa" w:w="1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Product owner</w:t>
            </w:r>
          </w:p>
        </w:tc>
      </w:tr>
      <w:tr>
        <w:trPr>
          <w:cantSplit/>
        </w:trPr>
        <w:tc>
          <w:tcPr>
            <w:tcW w:type="dxa" w:w="7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R9</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Audit backlog or packet-level logging saturates PostgreSQL</w:t>
            </w:r>
          </w:p>
        </w:tc>
        <w:tc>
          <w:tcPr>
            <w:tcW w:type="dxa" w:w="10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High</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Business-event granularity, transactional outbox, bounded batch projection, partitions and lag SLOs</w:t>
            </w:r>
          </w:p>
        </w:tc>
        <w:tc>
          <w:tcPr>
            <w:tcW w:type="dxa" w:w="1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Platform/Data</w:t>
            </w:r>
          </w:p>
        </w:tc>
      </w:tr>
      <w:tr>
        <w:trPr>
          <w:cantSplit/>
        </w:trPr>
        <w:tc>
          <w:tcPr>
            <w:tcW w:type="dxa" w:w="7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R10</w:t>
            </w:r>
          </w:p>
        </w:tc>
        <w:tc>
          <w:tcPr>
            <w:tcW w:type="dxa" w:w="24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Redis failover is mistaken for durable session persistence</w:t>
            </w:r>
          </w:p>
        </w:tc>
        <w:tc>
          <w:tcPr>
            <w:tcW w:type="dxa" w:w="10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High</w:t>
            </w:r>
          </w:p>
        </w:tc>
        <w:tc>
          <w:tcPr>
            <w:tcW w:type="dxa" w:w="39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Keep authoritative state in PostgreSQL/object storage; test typed context-loss and reconstruction paths</w:t>
            </w:r>
          </w:p>
        </w:tc>
        <w:tc>
          <w:tcPr>
            <w:tcW w:type="dxa" w:w="1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Platform</w:t>
            </w:r>
          </w:p>
        </w:tc>
      </w:tr>
      <w:tr>
        <w:trPr>
          <w:cantSplit/>
        </w:trPr>
        <w:tc>
          <w:tcPr>
            <w:tcW w:type="dxa" w:w="7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R11</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RAG gate is tuned to or gamed against an unfrozen benchmark</w:t>
            </w:r>
          </w:p>
        </w:tc>
        <w:tc>
          <w:tcPr>
            <w:tcW w:type="dxa" w:w="10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High</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Frozen hashed acceptance set, separate tuning split, per-slice thresholds and reproducible metrics</w:t>
            </w:r>
          </w:p>
        </w:tc>
        <w:tc>
          <w:tcPr>
            <w:tcW w:type="dxa" w:w="1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RAG/QA</w:t>
            </w:r>
          </w:p>
        </w:tc>
      </w:tr>
      <w:tr>
        <w:trPr>
          <w:cantSplit/>
        </w:trPr>
        <w:tc>
          <w:tcPr>
            <w:tcW w:type="dxa" w:w="7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R12</w:t>
            </w:r>
          </w:p>
        </w:tc>
        <w:tc>
          <w:tcPr>
            <w:tcW w:type="dxa" w:w="24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Slow Redis causes request-thread saturation or rate-limit bypass</w:t>
            </w:r>
          </w:p>
        </w:tc>
        <w:tc>
          <w:tcPr>
            <w:tcW w:type="dxa" w:w="10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Critical</w:t>
            </w:r>
          </w:p>
        </w:tc>
        <w:tc>
          <w:tcPr>
            <w:tcW w:type="dxa" w:w="39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25 ms timeout, circuit breaker, conservative local budgets, closed handling for unsafe work and degradation drill</w:t>
            </w:r>
          </w:p>
        </w:tc>
        <w:tc>
          <w:tcPr>
            <w:tcW w:type="dxa" w:w="1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Platform/Security</w:t>
            </w:r>
          </w:p>
        </w:tc>
      </w:tr>
      <w:tr>
        <w:trPr>
          <w:cantSplit/>
        </w:trPr>
        <w:tc>
          <w:tcPr>
            <w:tcW w:type="dxa" w:w="7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R13</w:t>
            </w:r>
          </w:p>
        </w:tc>
        <w:tc>
          <w:tcPr>
            <w:tcW w:type="dxa" w:w="24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Self-service provider onboarding bypasses egress or privacy policy</w:t>
            </w:r>
          </w:p>
        </w:tc>
        <w:tc>
          <w:tcPr>
            <w:tcW w:type="dxa" w:w="105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Critical</w:t>
            </w:r>
          </w:p>
        </w:tc>
        <w:tc>
          <w:tcPr>
            <w:tcW w:type="dxa" w:w="39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Draft-only operator API, endpoint allowlisting, conformance tests and independent platform/privacy activation</w:t>
            </w:r>
          </w:p>
        </w:tc>
        <w:tc>
          <w:tcPr>
            <w:tcW w:type="dxa" w:w="12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Platform/Privacy</w:t>
            </w:r>
          </w:p>
        </w:tc>
      </w:tr>
      <w:tr>
        <w:trPr>
          <w:cantSplit/>
        </w:trPr>
        <w:tc>
          <w:tcPr>
            <w:tcW w:type="dxa" w:w="700"/>
            <w:shd w:fill="F8FAFC"/>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R14</w:t>
            </w:r>
          </w:p>
        </w:tc>
        <w:tc>
          <w:tcPr>
            <w:tcW w:type="dxa" w:w="24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Idempotency records duplicate work or retain user data too long</w:t>
            </w:r>
          </w:p>
        </w:tc>
        <w:tc>
          <w:tcPr>
            <w:tcW w:type="dxa" w:w="105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High</w:t>
            </w:r>
          </w:p>
        </w:tc>
        <w:tc>
          <w:tcPr>
            <w:tcW w:type="dxa" w:w="39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Hashed scoped keys, fingerprints, bounded TTL, janitor SLO and deletion integration</w:t>
            </w:r>
          </w:p>
        </w:tc>
        <w:tc>
          <w:tcPr>
            <w:tcW w:type="dxa" w:w="12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API/Data</w:t>
            </w:r>
          </w:p>
        </w:tc>
      </w:tr>
    </w:tbl>
    <w:p>
      <w:pPr>
        <w:spacing w:after="40"/>
      </w:pPr>
    </w:p>
    <w:p>
      <w:pPr>
        <w:pStyle w:val="Heading2"/>
        <w:keepNext/>
      </w:pPr>
      <w:r>
        <w:t>16.2 Assumptions requiring confirmation in Phase 0</w:t>
      </w:r>
    </w:p>
    <w:p>
      <w:pPr>
        <w:spacing w:after="80" w:line="300" w:lineRule="auto"/>
        <w:numPr>
          <w:ilvl w:val="0"/>
          <w:numId w:val="10"/>
        </w:numPr>
      </w:pPr>
      <w:r>
        <w:t>The deployment jurisdiction and hosting institution are confirmed, and the named Data Protection Officer or privacy lead owns the opened DPIA record.</w:t>
      </w:r>
    </w:p>
    <w:p>
      <w:pPr>
        <w:spacing w:after="80" w:line="300" w:lineRule="auto"/>
        <w:numPr>
          <w:ilvl w:val="0"/>
          <w:numId w:val="10"/>
        </w:numPr>
      </w:pPr>
      <w:r>
        <w:t>Google and Facebook OIDC applications and callback domains can be registered.</w:t>
      </w:r>
    </w:p>
    <w:p>
      <w:pPr>
        <w:spacing w:after="80" w:line="300" w:lineRule="auto"/>
        <w:numPr>
          <w:ilvl w:val="0"/>
          <w:numId w:val="10"/>
        </w:numPr>
      </w:pPr>
      <w:r>
        <w:t>Representative Tamil and English evaluation data can be lawfully used.</w:t>
      </w:r>
    </w:p>
    <w:p>
      <w:pPr>
        <w:spacing w:after="80" w:line="300" w:lineRule="auto"/>
        <w:numPr>
          <w:ilvl w:val="0"/>
          <w:numId w:val="10"/>
        </w:numPr>
      </w:pPr>
      <w:r>
        <w:t>A supported secrets manager, managed PostgreSQL/object storage option and GPU environment are available.</w:t>
      </w:r>
    </w:p>
    <w:p>
      <w:pPr>
        <w:spacing w:after="80" w:line="300" w:lineRule="auto"/>
        <w:numPr>
          <w:ilvl w:val="0"/>
          <w:numId w:val="10"/>
        </w:numPr>
      </w:pPr>
      <w:r>
        <w:t>The product owner confirms expected users, concurrent streams, data classes and required retention.</w:t>
      </w:r>
    </w:p>
    <w:p>
      <w:pPr>
        <w:spacing w:after="80" w:line="300" w:lineRule="auto"/>
        <w:numPr>
          <w:ilvl w:val="0"/>
          <w:numId w:val="10"/>
        </w:numPr>
      </w:pPr>
      <w:r>
        <w:t>Cloud-provider contracts identify processing region, subprocessors, retention and training-use controls.</w:t>
      </w:r>
    </w:p>
    <w:p>
      <w:pPr>
        <w:pStyle w:val="Heading2"/>
        <w:keepNext/>
      </w:pPr>
      <w:r>
        <w:t>16.3 Reference standards and authoritative guidance</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cantSplit/>
        </w:trPr>
        <w:tc>
          <w:tcPr>
            <w:tcW w:type="dxa" w:w="430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Reference</w:t>
            </w:r>
          </w:p>
        </w:tc>
        <w:tc>
          <w:tcPr>
            <w:tcW w:type="dxa" w:w="5060"/>
            <w:shd w:fill="16324F"/>
            <w:tcMar>
              <w:top w:w="80" w:type="dxa"/>
              <w:bottom w:w="80" w:type="dxa"/>
              <w:start w:w="120" w:type="dxa"/>
              <w:end w:w="120" w:type="dxa"/>
            </w:tcMar>
            <w:vAlign w:val="center"/>
          </w:tcPr>
          <w:p>
            <w:pPr>
              <w:spacing w:before="0" w:after="0" w:line="259" w:lineRule="auto"/>
              <w:jc w:val="left"/>
            </w:pPr>
            <w:r/>
            <w:r>
              <w:rPr>
                <w:rFonts w:ascii="Calibri" w:hAnsi="Calibri" w:eastAsia="Calibri" w:cs="Calibri"/>
                <w:b/>
                <w:color w:val="FFFFFF"/>
                <w:sz w:val="17"/>
              </w:rPr>
              <w:t>URL</w:t>
            </w:r>
          </w:p>
        </w:tc>
      </w:tr>
      <w:tr>
        <w:trPr>
          <w:cantSplit/>
        </w:trPr>
        <w:tc>
          <w:tcPr>
            <w:tcW w:type="dxa" w:w="4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OAuth 2.0 for Browser-Based Applications, RFC 10017</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https://www.rfc-editor.org/info/rfc10017/</w:t>
            </w:r>
          </w:p>
        </w:tc>
      </w:tr>
      <w:tr>
        <w:trPr>
          <w:cantSplit/>
        </w:trPr>
        <w:tc>
          <w:tcPr>
            <w:tcW w:type="dxa" w:w="4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OpenID Connect Core 1.0</w:t>
            </w:r>
          </w:p>
        </w:tc>
        <w:tc>
          <w:tcPr>
            <w:tcW w:type="dxa" w:w="5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https://openid.net/specs/openid-connect-core-1_0.html</w:t>
            </w:r>
          </w:p>
        </w:tc>
      </w:tr>
      <w:tr>
        <w:trPr>
          <w:cantSplit/>
        </w:trPr>
        <w:tc>
          <w:tcPr>
            <w:tcW w:type="dxa" w:w="4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OWASP Application Security Verification Standard</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https://owasp.org/www-project-application-security-verification-standard/</w:t>
            </w:r>
          </w:p>
        </w:tc>
      </w:tr>
      <w:tr>
        <w:trPr>
          <w:cantSplit/>
        </w:trPr>
        <w:tc>
          <w:tcPr>
            <w:tcW w:type="dxa" w:w="4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OWASP WebSocket Security Cheat Sheet</w:t>
            </w:r>
          </w:p>
        </w:tc>
        <w:tc>
          <w:tcPr>
            <w:tcW w:type="dxa" w:w="5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https://cheatsheetseries.owasp.org/cheatsheets/WebSocket_Security_Cheat_Sheet.html</w:t>
            </w:r>
          </w:p>
        </w:tc>
      </w:tr>
      <w:tr>
        <w:trPr>
          <w:cantSplit/>
        </w:trPr>
        <w:tc>
          <w:tcPr>
            <w:tcW w:type="dxa" w:w="4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PostgreSQL Row Security Policies</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https://www.postgresql.org/docs/current/ddl-rowsecurity.html</w:t>
            </w:r>
          </w:p>
        </w:tc>
      </w:tr>
      <w:tr>
        <w:trPr>
          <w:cantSplit/>
        </w:trPr>
        <w:tc>
          <w:tcPr>
            <w:tcW w:type="dxa" w:w="4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Redis persistence, Sentinel and Cluster documentation</w:t>
            </w:r>
          </w:p>
        </w:tc>
        <w:tc>
          <w:tcPr>
            <w:tcW w:type="dxa" w:w="5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https://redis.io/docs/latest/operate/oss_and_stack/management/</w:t>
            </w:r>
          </w:p>
        </w:tc>
      </w:tr>
      <w:tr>
        <w:trPr>
          <w:cantSplit/>
        </w:trPr>
        <w:tc>
          <w:tcPr>
            <w:tcW w:type="dxa" w:w="430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pgvector documentation</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https://github.com/pgvector/pgvector</w:t>
            </w:r>
          </w:p>
        </w:tc>
      </w:tr>
      <w:tr>
        <w:trPr>
          <w:cantSplit/>
        </w:trPr>
        <w:tc>
          <w:tcPr>
            <w:tcW w:type="dxa" w:w="4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OpenTelemetry specifications</w:t>
            </w:r>
          </w:p>
        </w:tc>
        <w:tc>
          <w:tcPr>
            <w:tcW w:type="dxa" w:w="5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https://opentelemetry.io/docs/specs/</w:t>
            </w:r>
          </w:p>
        </w:tc>
      </w:tr>
      <w:tr>
        <w:trPr>
          <w:cantSplit/>
        </w:trPr>
        <w:tc>
          <w:tcPr>
            <w:tcW w:type="dxa" w:w="4300"/>
            <w:tcMar>
              <w:top w:w="80" w:type="dxa"/>
              <w:bottom w:w="80" w:type="dxa"/>
              <w:start w:w="120" w:type="dxa"/>
              <w:end w:w="120" w:type="dxa"/>
            </w:tcMar>
            <w:vAlign w:val="center"/>
          </w:tcPr>
          <w:p>
            <w:pPr>
              <w:spacing w:before="0" w:after="0" w:line="259" w:lineRule="auto"/>
              <w:jc w:val="center"/>
            </w:pPr>
            <w:r/>
            <w:r>
              <w:rPr>
                <w:rFonts w:ascii="Calibri" w:hAnsi="Calibri" w:eastAsia="Calibri" w:cs="Calibri"/>
                <w:b w:val="0"/>
                <w:color w:val="202124"/>
                <w:sz w:val="16"/>
              </w:rPr>
              <w:t>WCAG 2.2</w:t>
            </w:r>
          </w:p>
        </w:tc>
        <w:tc>
          <w:tcPr>
            <w:tcW w:type="dxa" w:w="5060"/>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https://www.w3.org/TR/WCAG22/</w:t>
            </w:r>
          </w:p>
        </w:tc>
      </w:tr>
      <w:tr>
        <w:trPr>
          <w:cantSplit/>
        </w:trPr>
        <w:tc>
          <w:tcPr>
            <w:tcW w:type="dxa" w:w="430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Sri Lanka Data Protection Authority</w:t>
            </w:r>
          </w:p>
        </w:tc>
        <w:tc>
          <w:tcPr>
            <w:tcW w:type="dxa" w:w="5060"/>
            <w:shd w:fill="F8FAFC"/>
            <w:tcMar>
              <w:top w:w="80" w:type="dxa"/>
              <w:bottom w:w="80" w:type="dxa"/>
              <w:start w:w="120" w:type="dxa"/>
              <w:end w:w="120" w:type="dxa"/>
            </w:tcMar>
            <w:vAlign w:val="center"/>
          </w:tcPr>
          <w:p>
            <w:pPr>
              <w:spacing w:before="0" w:after="0" w:line="259" w:lineRule="auto"/>
              <w:jc w:val="left"/>
            </w:pPr>
            <w:r/>
            <w:r>
              <w:rPr>
                <w:rFonts w:ascii="Calibri" w:hAnsi="Calibri" w:eastAsia="Calibri" w:cs="Calibri"/>
                <w:b w:val="0"/>
                <w:color w:val="202124"/>
                <w:sz w:val="16"/>
              </w:rPr>
              <w:t>https://www.dpa.gov.lk/</w:t>
            </w:r>
          </w:p>
        </w:tc>
      </w:tr>
    </w:tbl>
    <w:p>
      <w:pPr>
        <w:spacing w:after="40"/>
      </w:pPr>
    </w:p>
    <w:p>
      <w:pPr>
        <w:pStyle w:val="Heading2"/>
        <w:keepNext/>
      </w:pPr>
      <w:r>
        <w:t>16.4 Production-readiness decision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7F3F3"/>
            <w:tcMar>
              <w:top w:w="80" w:type="dxa"/>
              <w:bottom w:w="80" w:type="dxa"/>
              <w:start w:w="120" w:type="dxa"/>
              <w:end w:w="120" w:type="dxa"/>
            </w:tcMar>
            <w:vAlign w:val="center"/>
          </w:tcPr>
          <w:p>
            <w:pPr>
              <w:spacing w:after="60"/>
            </w:pPr>
            <w:r/>
            <w:r>
              <w:rPr>
                <w:rFonts w:ascii="Calibri" w:hAnsi="Calibri" w:eastAsia="Calibri" w:cs="Calibri"/>
                <w:b/>
                <w:color w:val="216E39"/>
                <w:sz w:val="21"/>
              </w:rPr>
              <w:t>APPROVAL RECOMMENDATION</w:t>
            </w:r>
          </w:p>
          <w:p>
            <w:pPr>
              <w:spacing w:after="0" w:line="269" w:lineRule="auto"/>
            </w:pPr>
            <w:r>
              <w:rPr>
                <w:rFonts w:ascii="Calibri" w:hAnsi="Calibri" w:eastAsia="Calibri" w:cs="Calibri"/>
                <w:color w:val="202124"/>
                <w:sz w:val="19"/>
              </w:rPr>
              <w:t>v1.7 is suitable as the architecture and implementation baseline after Phase 0 owners satisfy the named privacy, benchmark, capacity and configuration gates. It does not itself constitute production approval; production requires the security, privacy, reliability, language, performance and operational evidence defined in this specification.</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667085"/>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s="Calibri"/>
        <w:b/>
        <w:color w:val="667085"/>
        <w:sz w:val="16"/>
      </w:rPr>
      <w:t>MODULAR AI PLAYGROUND  |  TECHNICAL SPECIFICATION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80"/>
      </w:pPr>
    </w:lvl>
  </w:abstractNum>
  <w:num w:numId="10">
    <w:abstractNumId w:val="9"/>
  </w:num>
  <w:abstractNum w:abstractNumId="10">
    <w:multiLevelType w:val="singleLevel"/>
    <w:lvl w:ilvl="0">
      <w:start w:val="1"/>
      <w:numFmt w:val="decimal"/>
      <w:lvlText w:val="%1."/>
      <w:suff w:val="tab"/>
      <w:lvlJc w:val="left"/>
      <w:pPr>
        <w:tabs>
          <w:tab w:val="num" w:pos="540"/>
        </w:tabs>
        <w:ind w:left="540" w:hanging="280"/>
      </w:pPr>
    </w:lvl>
  </w:abstractNum>
  <w:num w:numId="11">
    <w:abstractNumId w:val="10"/>
  </w:num>
  <w:abstractNum w:abstractNumId="11">
    <w:multiLevelType w:val="singleLevel"/>
    <w:lvl w:ilvl="0">
      <w:start w:val="1"/>
      <w:numFmt w:val="decimal"/>
      <w:lvlText w:val="%1."/>
      <w:suff w:val="tab"/>
      <w:lvlJc w:val="left"/>
      <w:pPr>
        <w:tabs>
          <w:tab w:val="num" w:pos="540"/>
        </w:tabs>
        <w:ind w:left="540" w:hanging="280"/>
      </w:pPr>
    </w:lvl>
  </w:abstractNum>
  <w:num w:numId="12">
    <w:abstractNumId w:val="11"/>
  </w:num>
  <w:abstractNum w:abstractNumId="12">
    <w:multiLevelType w:val="singleLevel"/>
    <w:lvl w:ilvl="0">
      <w:start w:val="1"/>
      <w:numFmt w:val="decimal"/>
      <w:lvlText w:val="%1."/>
      <w:suff w:val="tab"/>
      <w:lvlJc w:val="left"/>
      <w:pPr>
        <w:tabs>
          <w:tab w:val="num" w:pos="540"/>
        </w:tabs>
        <w:ind w:left="540" w:hanging="280"/>
      </w:pPr>
    </w:lvl>
  </w:abstractNum>
  <w:num w:numId="13">
    <w:abstractNumId w:val="12"/>
  </w:num>
  <w:abstractNum w:abstractNumId="13">
    <w:multiLevelType w:val="singleLevel"/>
    <w:lvl w:ilvl="0">
      <w:start w:val="1"/>
      <w:numFmt w:val="decimal"/>
      <w:lvlText w:val="%1."/>
      <w:suff w:val="tab"/>
      <w:lvlJc w:val="left"/>
      <w:pPr>
        <w:tabs>
          <w:tab w:val="num" w:pos="540"/>
        </w:tabs>
        <w:ind w:left="540" w:hanging="280"/>
      </w:pPr>
    </w:lvl>
  </w:abstractNum>
  <w:num w:numId="14">
    <w:abstractNumId w:val="13"/>
  </w:num>
  <w:abstractNum w:abstractNumId="14">
    <w:multiLevelType w:val="singleLevel"/>
    <w:lvl w:ilvl="0">
      <w:start w:val="1"/>
      <w:numFmt w:val="decimal"/>
      <w:lvlText w:val="%1."/>
      <w:suff w:val="tab"/>
      <w:lvlJc w:val="left"/>
      <w:pPr>
        <w:tabs>
          <w:tab w:val="num" w:pos="540"/>
        </w:tabs>
        <w:ind w:left="540" w:hanging="280"/>
      </w:pPr>
    </w:lvl>
  </w:abstractNum>
  <w:num w:numId="15">
    <w:abstractNumId w:val="14"/>
  </w:num>
  <w:abstractNum w:abstractNumId="15">
    <w:multiLevelType w:val="singleLevel"/>
    <w:lvl w:ilvl="0">
      <w:start w:val="1"/>
      <w:numFmt w:val="decimal"/>
      <w:lvlText w:val="%1."/>
      <w:suff w:val="tab"/>
      <w:lvlJc w:val="left"/>
      <w:pPr>
        <w:tabs>
          <w:tab w:val="num" w:pos="540"/>
        </w:tabs>
        <w:ind w:left="540" w:hanging="280"/>
      </w:pPr>
    </w:lvl>
  </w:abstractNum>
  <w:num w:numId="16">
    <w:abstractNumId w:val="15"/>
  </w:num>
  <w:abstractNum w:abstractNumId="16">
    <w:multiLevelType w:val="singleLevel"/>
    <w:lvl w:ilvl="0">
      <w:start w:val="1"/>
      <w:numFmt w:val="decimal"/>
      <w:lvlText w:val="%1."/>
      <w:suff w:val="tab"/>
      <w:lvlJc w:val="left"/>
      <w:pPr>
        <w:tabs>
          <w:tab w:val="num" w:pos="540"/>
        </w:tabs>
        <w:ind w:left="540" w:hanging="28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AI Playground Technical Specification v1.7</dc:title>
  <dc:subject>Extensible product experience and consented learning records</dc:subject>
  <dc:creator>Architecture Working Group</dc:creator>
  <cp:keywords>AI playground, Tamil, OCR, ASR, TTS, extensible UI, usage, access logs, feedback, privacy</cp:keywords>
  <dc:description>Clean v1.7 baseline superseding v1.6.</dc:description>
  <cp:lastModifiedBy/>
  <cp:revision>1</cp:revision>
  <dcterms:created xsi:type="dcterms:W3CDTF">2013-12-23T23:15:00Z</dcterms:created>
  <dcterms:modified xsi:type="dcterms:W3CDTF">2013-12-23T23:15:00Z</dcterms:modified>
  <cp:category/>
</cp:coreProperties>
</file>