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color w:val="0A2540"/>
          <w:sz w:val="48"/>
        </w:rPr>
        <w:t>COMPETITIVE ANALYSIS</w:t>
        <w:br/>
        <w:t>&amp; DIFFERENTIATION MATRIX</w:t>
      </w:r>
    </w:p>
    <w:p>
      <w:pPr>
        <w:spacing w:after="1600"/>
        <w:jc w:val="center"/>
      </w:pPr>
      <w:r>
        <w:rPr>
          <w:rFonts w:ascii="Arial" w:hAnsi="Arial"/>
          <w:b/>
          <w:color w:val="008080"/>
          <w:sz w:val="24"/>
        </w:rPr>
        <w:t>Strategic Profiling of 15 CS Education Competitors, Feature Maps &amp; Moats</w:t>
      </w:r>
    </w:p>
    <w:p>
      <w:pPr>
        <w:spacing w:after="400"/>
        <w:jc w:val="center"/>
      </w:pPr>
      <w:r>
        <w:rPr>
          <w:rFonts w:ascii="Calibri" w:hAnsi="Calibri"/>
          <w:color w:val="646E78"/>
          <w:sz w:val="21"/>
        </w:rPr>
        <w:t>Author: Prathamesh Sawarkar (Registration ID: 12509401)</w:t>
        <w:br/>
        <w:t>Scope: CodeCanvas (LPU CodeViz)</w:t>
        <w:br/>
        <w:t>Institutional Target: higher-Education B2B SaaS</w:t>
        <w:br/>
        <w:t>Last Updated: August 11, 2026</w:t>
      </w:r>
    </w:p>
    <w:p>
      <w:r>
        <w:br w:type="page"/>
      </w:r>
    </w:p>
    <w:p>
      <w:pPr>
        <w:pStyle w:val="Heading1"/>
        <w:keepNext/>
        <w:spacing w:before="360" w:after="120"/>
      </w:pPr>
      <w:r>
        <w:rPr>
          <w:rFonts w:ascii="Arial" w:hAnsi="Arial"/>
          <w:b/>
          <w:color w:val="0A2540"/>
          <w:sz w:val="32"/>
        </w:rPr>
        <w:t>1. Competitor Categorization &amp; Profiles (15 Competitors)</w:t>
      </w:r>
    </w:p>
    <w:p>
      <w:pPr>
        <w:spacing w:after="160" w:line="276" w:lineRule="auto"/>
      </w:pPr>
      <w:r>
        <w:rPr>
          <w:rFonts w:ascii="Calibri" w:hAnsi="Calibri"/>
          <w:color w:val="333333"/>
          <w:sz w:val="22"/>
        </w:rPr>
        <w:t>We evaluate 15 competitors across four primary categories to outline market gaps and differentiate CodeCanvas:</w:t>
      </w:r>
    </w:p>
    <w:p>
      <w:pPr>
        <w:pStyle w:val="Heading2"/>
        <w:keepNext/>
        <w:spacing w:before="360" w:after="120"/>
      </w:pPr>
      <w:r>
        <w:rPr>
          <w:rFonts w:ascii="Arial" w:hAnsi="Arial"/>
          <w:b/>
          <w:color w:val="008080"/>
          <w:sz w:val="26"/>
        </w:rPr>
        <w:t>1.1 Visual Compilers &amp; Tracing Tools</w:t>
      </w:r>
    </w:p>
    <w:p>
      <w:pPr>
        <w:spacing w:after="160" w:line="276" w:lineRule="auto"/>
      </w:pPr>
      <w:r>
        <w:rPr>
          <w:rFonts w:ascii="Calibri" w:hAnsi="Calibri"/>
          <w:b/>
          <w:color w:val="0A2540"/>
          <w:sz w:val="22"/>
        </w:rPr>
        <w:t xml:space="preserve">• </w:t>
      </w:r>
      <w:r>
        <w:rPr>
          <w:rFonts w:ascii="Calibri" w:hAnsi="Calibri"/>
          <w:color w:val="333333"/>
          <w:sz w:val="22"/>
        </w:rPr>
        <w:t>Python Tutor: Great for single-file visual tracing, but compiles natively on servers (insecure), has no B2B features, and lacks interactive AI tutoring.</w:t>
      </w:r>
    </w:p>
    <w:p>
      <w:pPr>
        <w:spacing w:after="160" w:line="276" w:lineRule="auto"/>
      </w:pPr>
      <w:r>
        <w:rPr>
          <w:rFonts w:ascii="Calibri" w:hAnsi="Calibri"/>
          <w:b/>
          <w:color w:val="0A2540"/>
          <w:sz w:val="22"/>
        </w:rPr>
        <w:t xml:space="preserve">• </w:t>
      </w:r>
      <w:r>
        <w:rPr>
          <w:rFonts w:ascii="Calibri" w:hAnsi="Calibri"/>
          <w:color w:val="333333"/>
          <w:sz w:val="22"/>
        </w:rPr>
        <w:t>Algorithm Visualizer: Open-source project that animates algorithms, but requires students to write complex visualization-specific library configurations manually.</w:t>
      </w:r>
    </w:p>
    <w:p>
      <w:pPr>
        <w:spacing w:after="160" w:line="276" w:lineRule="auto"/>
      </w:pPr>
      <w:r>
        <w:rPr>
          <w:rFonts w:ascii="Calibri" w:hAnsi="Calibri"/>
          <w:b/>
          <w:color w:val="0A2540"/>
          <w:sz w:val="22"/>
        </w:rPr>
        <w:t xml:space="preserve">• </w:t>
      </w:r>
      <w:r>
        <w:rPr>
          <w:rFonts w:ascii="Calibri" w:hAnsi="Calibri"/>
          <w:color w:val="333333"/>
          <w:sz w:val="22"/>
        </w:rPr>
        <w:t>VisuAlgo: Renders algorithmic steps but is restricted to hardcoded preset examples; students cannot paste and compile their own scripts.</w:t>
      </w:r>
    </w:p>
    <w:p>
      <w:pPr>
        <w:spacing w:after="160" w:line="276" w:lineRule="auto"/>
      </w:pPr>
      <w:r>
        <w:rPr>
          <w:rFonts w:ascii="Calibri" w:hAnsi="Calibri"/>
          <w:b/>
          <w:color w:val="0A2540"/>
          <w:sz w:val="22"/>
        </w:rPr>
        <w:t xml:space="preserve">• </w:t>
      </w:r>
      <w:r>
        <w:rPr>
          <w:rFonts w:ascii="Calibri" w:hAnsi="Calibri"/>
          <w:color w:val="333333"/>
          <w:sz w:val="22"/>
        </w:rPr>
        <w:t>USF Data Structure Visuals: Legacy academic tool that is Flash/JS based, with no code editor or custom script execution support.</w:t>
      </w:r>
    </w:p>
    <w:p>
      <w:pPr>
        <w:pStyle w:val="Heading2"/>
        <w:keepNext/>
        <w:spacing w:before="360" w:after="120"/>
      </w:pPr>
      <w:r>
        <w:rPr>
          <w:rFonts w:ascii="Arial" w:hAnsi="Arial"/>
          <w:b/>
          <w:color w:val="008080"/>
          <w:sz w:val="26"/>
        </w:rPr>
        <w:t>1.2 Online Compilers &amp; Cloud IDEs</w:t>
      </w:r>
    </w:p>
    <w:p>
      <w:pPr>
        <w:spacing w:after="160" w:line="276" w:lineRule="auto"/>
      </w:pPr>
      <w:r>
        <w:rPr>
          <w:rFonts w:ascii="Calibri" w:hAnsi="Calibri"/>
          <w:b/>
          <w:color w:val="0A2540"/>
          <w:sz w:val="22"/>
        </w:rPr>
        <w:t xml:space="preserve">• </w:t>
      </w:r>
      <w:r>
        <w:rPr>
          <w:rFonts w:ascii="Calibri" w:hAnsi="Calibri"/>
          <w:color w:val="333333"/>
          <w:sz w:val="22"/>
        </w:rPr>
        <w:t>OnlineGDB: Renders standard text debug outputs (GDB logs) which are confusing for beginners. Lacks graphical animation panels and B2B classroom features.</w:t>
      </w:r>
    </w:p>
    <w:p>
      <w:pPr>
        <w:spacing w:after="160" w:line="276" w:lineRule="auto"/>
      </w:pPr>
      <w:r>
        <w:rPr>
          <w:rFonts w:ascii="Calibri" w:hAnsi="Calibri"/>
          <w:b/>
          <w:color w:val="0A2540"/>
          <w:sz w:val="22"/>
        </w:rPr>
        <w:t xml:space="preserve">• </w:t>
      </w:r>
      <w:r>
        <w:rPr>
          <w:rFonts w:ascii="Calibri" w:hAnsi="Calibri"/>
          <w:color w:val="333333"/>
          <w:sz w:val="22"/>
        </w:rPr>
        <w:t>Replit: Highly collaborative VM-based shell, but is a generic developer tool with no specialized visualizers (sorting arrays, linked lists, SQL joins).</w:t>
      </w:r>
    </w:p>
    <w:p>
      <w:pPr>
        <w:pStyle w:val="Heading2"/>
        <w:keepNext/>
        <w:spacing w:before="360" w:after="120"/>
      </w:pPr>
      <w:r>
        <w:rPr>
          <w:rFonts w:ascii="Arial" w:hAnsi="Arial"/>
          <w:b/>
          <w:color w:val="008080"/>
          <w:sz w:val="26"/>
        </w:rPr>
        <w:t>1.3 B2C EdTech &amp; Career Accelerators</w:t>
      </w:r>
    </w:p>
    <w:p>
      <w:pPr>
        <w:spacing w:after="160" w:line="276" w:lineRule="auto"/>
      </w:pPr>
      <w:r>
        <w:rPr>
          <w:rFonts w:ascii="Calibri" w:hAnsi="Calibri"/>
          <w:b/>
          <w:color w:val="0A2540"/>
          <w:sz w:val="22"/>
        </w:rPr>
        <w:t xml:space="preserve">• </w:t>
      </w:r>
      <w:r>
        <w:rPr>
          <w:rFonts w:ascii="Calibri" w:hAnsi="Calibri"/>
          <w:color w:val="333333"/>
          <w:sz w:val="22"/>
        </w:rPr>
        <w:t>Codecademy: Guided text paths, but visuals are static and hardcoded; cannot visual trace arbitrary student-written scripts.</w:t>
      </w:r>
    </w:p>
    <w:p>
      <w:pPr>
        <w:spacing w:after="160" w:line="276" w:lineRule="auto"/>
      </w:pPr>
      <w:r>
        <w:rPr>
          <w:rFonts w:ascii="Calibri" w:hAnsi="Calibri"/>
          <w:b/>
          <w:color w:val="0A2540"/>
          <w:sz w:val="22"/>
        </w:rPr>
        <w:t xml:space="preserve">• </w:t>
      </w:r>
      <w:r>
        <w:rPr>
          <w:rFonts w:ascii="Calibri" w:hAnsi="Calibri"/>
          <w:color w:val="333333"/>
          <w:sz w:val="22"/>
        </w:rPr>
        <w:t>GeeksforGeeks: Large coding library but explanations are static text and diagrams, lacking dynamic visual debugger compilers.</w:t>
      </w:r>
    </w:p>
    <w:p>
      <w:pPr>
        <w:spacing w:after="160" w:line="276" w:lineRule="auto"/>
      </w:pPr>
      <w:r>
        <w:rPr>
          <w:rFonts w:ascii="Calibri" w:hAnsi="Calibri"/>
          <w:b/>
          <w:color w:val="0A2540"/>
          <w:sz w:val="22"/>
        </w:rPr>
        <w:t xml:space="preserve">• </w:t>
      </w:r>
      <w:r>
        <w:rPr>
          <w:rFonts w:ascii="Calibri" w:hAnsi="Calibri"/>
          <w:color w:val="333333"/>
          <w:sz w:val="22"/>
        </w:rPr>
        <w:t>Coding Ninjas: Indian B2C courses; lacks a dynamic trace execution sandbox and deans' panels for quality audits.</w:t>
      </w:r>
    </w:p>
    <w:p>
      <w:pPr>
        <w:spacing w:after="160" w:line="276" w:lineRule="auto"/>
      </w:pPr>
      <w:r>
        <w:rPr>
          <w:rFonts w:ascii="Calibri" w:hAnsi="Calibri"/>
          <w:b/>
          <w:color w:val="0A2540"/>
          <w:sz w:val="22"/>
        </w:rPr>
        <w:t xml:space="preserve">• </w:t>
      </w:r>
      <w:r>
        <w:rPr>
          <w:rFonts w:ascii="Calibri" w:hAnsi="Calibri"/>
          <w:color w:val="333333"/>
          <w:sz w:val="22"/>
        </w:rPr>
        <w:t>Scaler Academy: Mentor-led career prep; lacks automated visualizers for arbitrary code and B2B NAAC compliance exports.</w:t>
      </w:r>
    </w:p>
    <w:p>
      <w:pPr>
        <w:spacing w:after="160" w:line="276" w:lineRule="auto"/>
      </w:pPr>
      <w:r>
        <w:rPr>
          <w:rFonts w:ascii="Calibri" w:hAnsi="Calibri"/>
          <w:b/>
          <w:color w:val="0A2540"/>
          <w:sz w:val="22"/>
        </w:rPr>
        <w:t xml:space="preserve">• </w:t>
      </w:r>
      <w:r>
        <w:rPr>
          <w:rFonts w:ascii="Calibri" w:hAnsi="Calibri"/>
          <w:color w:val="333333"/>
          <w:sz w:val="22"/>
        </w:rPr>
        <w:t>LeetCode: Practice and recruitment portal; code evaluation is pass/fail only, lacking step-by-step visual memory trace playback and AI tutor hints.</w:t>
      </w:r>
    </w:p>
    <w:p>
      <w:pPr>
        <w:pStyle w:val="Heading2"/>
        <w:keepNext/>
        <w:spacing w:before="360" w:after="120"/>
      </w:pPr>
      <w:r>
        <w:rPr>
          <w:rFonts w:ascii="Arial" w:hAnsi="Arial"/>
          <w:b/>
          <w:color w:val="008080"/>
          <w:sz w:val="26"/>
        </w:rPr>
        <w:t>1.4 B2B LMS &amp; Enterprise Assessment Engines</w:t>
      </w:r>
    </w:p>
    <w:p>
      <w:pPr>
        <w:spacing w:after="160" w:line="276" w:lineRule="auto"/>
      </w:pPr>
      <w:r>
        <w:rPr>
          <w:rFonts w:ascii="Calibri" w:hAnsi="Calibri"/>
          <w:b/>
          <w:color w:val="0A2540"/>
          <w:sz w:val="22"/>
        </w:rPr>
        <w:t xml:space="preserve">• </w:t>
      </w:r>
      <w:r>
        <w:rPr>
          <w:rFonts w:ascii="Calibri" w:hAnsi="Calibri"/>
          <w:color w:val="333333"/>
          <w:sz w:val="22"/>
        </w:rPr>
        <w:t>Moodle LMS: General B2B university LMS; lacks built-in code compilers, visualizers, and coding-specific AI tutors.</w:t>
      </w:r>
    </w:p>
    <w:p>
      <w:pPr>
        <w:spacing w:after="160" w:line="276" w:lineRule="auto"/>
      </w:pPr>
      <w:r>
        <w:rPr>
          <w:rFonts w:ascii="Calibri" w:hAnsi="Calibri"/>
          <w:b/>
          <w:color w:val="0A2540"/>
          <w:sz w:val="22"/>
        </w:rPr>
        <w:t xml:space="preserve">• </w:t>
      </w:r>
      <w:r>
        <w:rPr>
          <w:rFonts w:ascii="Calibri" w:hAnsi="Calibri"/>
          <w:color w:val="333333"/>
          <w:sz w:val="22"/>
        </w:rPr>
        <w:t>Google Classroom: Homework assignment management; general purpose, with no compiler sandbox, visual tracing, or accreditation analytics.</w:t>
      </w:r>
    </w:p>
    <w:p>
      <w:pPr>
        <w:spacing w:after="160" w:line="276" w:lineRule="auto"/>
      </w:pPr>
      <w:r>
        <w:rPr>
          <w:rFonts w:ascii="Calibri" w:hAnsi="Calibri"/>
          <w:b/>
          <w:color w:val="0A2540"/>
          <w:sz w:val="22"/>
        </w:rPr>
        <w:t xml:space="preserve">• </w:t>
      </w:r>
      <w:r>
        <w:rPr>
          <w:rFonts w:ascii="Calibri" w:hAnsi="Calibri"/>
          <w:color w:val="333333"/>
          <w:sz w:val="22"/>
        </w:rPr>
        <w:t>HackerRank for Education: B2B assessment test engine focusing on evaluation outcomes; lacks live memory-trace visualizers and tutor sidebars.</w:t>
      </w:r>
    </w:p>
    <w:p>
      <w:pPr>
        <w:spacing w:after="160" w:line="276" w:lineRule="auto"/>
      </w:pPr>
      <w:r>
        <w:rPr>
          <w:rFonts w:ascii="Calibri" w:hAnsi="Calibri"/>
          <w:b/>
          <w:color w:val="0A2540"/>
          <w:sz w:val="22"/>
        </w:rPr>
        <w:t xml:space="preserve">• </w:t>
      </w:r>
      <w:r>
        <w:rPr>
          <w:rFonts w:ascii="Calibri" w:hAnsi="Calibri"/>
          <w:color w:val="333333"/>
          <w:sz w:val="22"/>
        </w:rPr>
        <w:t>VS Code Codespaces / GitHub Education: Browser-based VS Code instance; interface is highly intimidating and complex for absolute beginners.</w:t>
      </w:r>
    </w:p>
    <w:p>
      <w:r>
        <w:br w:type="page"/>
      </w:r>
    </w:p>
    <w:p>
      <w:pPr>
        <w:pStyle w:val="Heading1"/>
        <w:keepNext/>
        <w:spacing w:before="360" w:after="120"/>
      </w:pPr>
      <w:r>
        <w:rPr>
          <w:rFonts w:ascii="Arial" w:hAnsi="Arial"/>
          <w:b/>
          <w:color w:val="0A2540"/>
          <w:sz w:val="32"/>
        </w:rPr>
        <w:t>2. Feature Comparison Matrix</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592"/>
            <w:shd w:val="clear" w:color="auto" w:fill="0A2540"/>
            <w:tcMar>
              <w:top w:w="140" w:type="dxa"/>
              <w:bottom w:w="140" w:type="dxa"/>
              <w:left w:w="180" w:type="dxa"/>
              <w:right w:w="180" w:type="dxa"/>
            </w:tcMar>
          </w:tcPr>
          <w:p>
            <w:pPr>
              <w:jc w:val="left"/>
            </w:pPr>
            <w:r>
              <w:rPr>
                <w:rFonts w:ascii="Arial" w:hAnsi="Arial"/>
                <w:b/>
                <w:color w:val="FFFFFF"/>
                <w:sz w:val="17"/>
              </w:rPr>
              <w:t>Feature / Capability</w:t>
            </w:r>
          </w:p>
        </w:tc>
        <w:tc>
          <w:tcPr>
            <w:tcW w:type="dxa" w:w="864"/>
            <w:shd w:val="clear" w:color="auto" w:fill="0A2540"/>
            <w:tcMar>
              <w:top w:w="140" w:type="dxa"/>
              <w:bottom w:w="140" w:type="dxa"/>
              <w:left w:w="180" w:type="dxa"/>
              <w:right w:w="180" w:type="dxa"/>
            </w:tcMar>
          </w:tcPr>
          <w:p>
            <w:pPr>
              <w:jc w:val="left"/>
            </w:pPr>
            <w:r>
              <w:rPr>
                <w:rFonts w:ascii="Arial" w:hAnsi="Arial"/>
                <w:b/>
                <w:color w:val="FFFFFF"/>
                <w:sz w:val="17"/>
              </w:rPr>
              <w:t>CodeCanvas</w:t>
            </w:r>
          </w:p>
        </w:tc>
        <w:tc>
          <w:tcPr>
            <w:tcW w:type="dxa" w:w="864"/>
            <w:shd w:val="clear" w:color="auto" w:fill="0A2540"/>
            <w:tcMar>
              <w:top w:w="140" w:type="dxa"/>
              <w:bottom w:w="140" w:type="dxa"/>
              <w:left w:w="180" w:type="dxa"/>
              <w:right w:w="180" w:type="dxa"/>
            </w:tcMar>
          </w:tcPr>
          <w:p>
            <w:pPr>
              <w:jc w:val="left"/>
            </w:pPr>
            <w:r>
              <w:rPr>
                <w:rFonts w:ascii="Arial" w:hAnsi="Arial"/>
                <w:b/>
                <w:color w:val="FFFFFF"/>
                <w:sz w:val="17"/>
              </w:rPr>
              <w:t>Python Tutor</w:t>
            </w:r>
          </w:p>
        </w:tc>
        <w:tc>
          <w:tcPr>
            <w:tcW w:type="dxa" w:w="864"/>
            <w:shd w:val="clear" w:color="auto" w:fill="0A2540"/>
            <w:tcMar>
              <w:top w:w="140" w:type="dxa"/>
              <w:bottom w:w="140" w:type="dxa"/>
              <w:left w:w="180" w:type="dxa"/>
              <w:right w:w="180" w:type="dxa"/>
            </w:tcMar>
          </w:tcPr>
          <w:p>
            <w:pPr>
              <w:jc w:val="left"/>
            </w:pPr>
            <w:r>
              <w:rPr>
                <w:rFonts w:ascii="Arial" w:hAnsi="Arial"/>
                <w:b/>
                <w:color w:val="FFFFFF"/>
                <w:sz w:val="17"/>
              </w:rPr>
              <w:t>VisuAlgo</w:t>
            </w:r>
          </w:p>
        </w:tc>
        <w:tc>
          <w:tcPr>
            <w:tcW w:type="dxa" w:w="864"/>
            <w:shd w:val="clear" w:color="auto" w:fill="0A2540"/>
            <w:tcMar>
              <w:top w:w="140" w:type="dxa"/>
              <w:bottom w:w="140" w:type="dxa"/>
              <w:left w:w="180" w:type="dxa"/>
              <w:right w:w="180" w:type="dxa"/>
            </w:tcMar>
          </w:tcPr>
          <w:p>
            <w:pPr>
              <w:jc w:val="left"/>
            </w:pPr>
            <w:r>
              <w:rPr>
                <w:rFonts w:ascii="Arial" w:hAnsi="Arial"/>
                <w:b/>
                <w:color w:val="FFFFFF"/>
                <w:sz w:val="17"/>
              </w:rPr>
              <w:t>OnlineGDB</w:t>
            </w:r>
          </w:p>
        </w:tc>
        <w:tc>
          <w:tcPr>
            <w:tcW w:type="dxa" w:w="864"/>
            <w:shd w:val="clear" w:color="auto" w:fill="0A2540"/>
            <w:tcMar>
              <w:top w:w="140" w:type="dxa"/>
              <w:bottom w:w="140" w:type="dxa"/>
              <w:left w:w="180" w:type="dxa"/>
              <w:right w:w="180" w:type="dxa"/>
            </w:tcMar>
          </w:tcPr>
          <w:p>
            <w:pPr>
              <w:jc w:val="left"/>
            </w:pPr>
            <w:r>
              <w:rPr>
                <w:rFonts w:ascii="Arial" w:hAnsi="Arial"/>
                <w:b/>
                <w:color w:val="FFFFFF"/>
                <w:sz w:val="17"/>
              </w:rPr>
              <w:t>LeetCode</w:t>
            </w:r>
          </w:p>
        </w:tc>
        <w:tc>
          <w:tcPr>
            <w:tcW w:type="dxa" w:w="864"/>
            <w:shd w:val="clear" w:color="auto" w:fill="0A2540"/>
            <w:tcMar>
              <w:top w:w="140" w:type="dxa"/>
              <w:bottom w:w="140" w:type="dxa"/>
              <w:left w:w="180" w:type="dxa"/>
              <w:right w:w="180" w:type="dxa"/>
            </w:tcMar>
          </w:tcPr>
          <w:p>
            <w:pPr>
              <w:jc w:val="left"/>
            </w:pPr>
            <w:r>
              <w:rPr>
                <w:rFonts w:ascii="Arial" w:hAnsi="Arial"/>
                <w:b/>
                <w:color w:val="FFFFFF"/>
                <w:sz w:val="17"/>
              </w:rPr>
              <w:t>Replit</w:t>
            </w:r>
          </w:p>
        </w:tc>
        <w:tc>
          <w:tcPr>
            <w:tcW w:type="dxa" w:w="864"/>
            <w:shd w:val="clear" w:color="auto" w:fill="0A2540"/>
            <w:tcMar>
              <w:top w:w="140" w:type="dxa"/>
              <w:bottom w:w="140" w:type="dxa"/>
              <w:left w:w="180" w:type="dxa"/>
              <w:right w:w="180" w:type="dxa"/>
            </w:tcMar>
          </w:tcPr>
          <w:p>
            <w:pPr>
              <w:jc w:val="left"/>
            </w:pPr>
            <w:r>
              <w:rPr>
                <w:rFonts w:ascii="Arial" w:hAnsi="Arial"/>
                <w:b/>
                <w:color w:val="FFFFFF"/>
                <w:sz w:val="17"/>
              </w:rPr>
              <w:t>Moodle</w:t>
            </w:r>
          </w:p>
        </w:tc>
        <w:tc>
          <w:tcPr>
            <w:tcW w:type="dxa" w:w="864"/>
            <w:shd w:val="clear" w:color="auto" w:fill="0A2540"/>
            <w:tcMar>
              <w:top w:w="140" w:type="dxa"/>
              <w:bottom w:w="140" w:type="dxa"/>
              <w:left w:w="180" w:type="dxa"/>
              <w:right w:w="180" w:type="dxa"/>
            </w:tcMar>
          </w:tcPr>
          <w:p>
            <w:pPr>
              <w:jc w:val="left"/>
            </w:pPr>
            <w:r>
              <w:rPr>
                <w:rFonts w:ascii="Arial" w:hAnsi="Arial"/>
                <w:b/>
                <w:color w:val="FFFFFF"/>
                <w:sz w:val="17"/>
              </w:rPr>
              <w:t>GFG</w:t>
            </w:r>
          </w:p>
        </w:tc>
      </w:tr>
      <w:tr>
        <w:tc>
          <w:tcPr>
            <w:tcW w:type="dxa" w:w="2592"/>
            <w:tcMar>
              <w:top w:w="100" w:type="dxa"/>
              <w:bottom w:w="100" w:type="dxa"/>
              <w:left w:w="150" w:type="dxa"/>
              <w:right w:w="150" w:type="dxa"/>
            </w:tcMar>
            <w:tcBorders>
              <w:bottom w:val="single" w:sz="4" w:color="E2E8F0"/>
              <w:left w:val="nil"/>
              <w:right w:val="nil"/>
              <w:top w:val="nil"/>
            </w:tcBorders>
          </w:tcPr>
          <w:p>
            <w:r>
              <w:t>Monaco Code Editor Shell</w:t>
            </w:r>
          </w:p>
        </w:tc>
        <w:tc>
          <w:tcPr>
            <w:tcW w:type="dxa" w:w="864"/>
            <w:tcMar>
              <w:top w:w="100" w:type="dxa"/>
              <w:bottom w:w="100" w:type="dxa"/>
              <w:left w:w="150" w:type="dxa"/>
              <w:right w:w="150" w:type="dxa"/>
            </w:tcMar>
            <w:tcBorders>
              <w:bottom w:val="single" w:sz="4" w:color="E2E8F0"/>
              <w:left w:val="nil"/>
              <w:right w:val="nil"/>
              <w:top w:val="nil"/>
            </w:tcBorders>
          </w:tcPr>
          <w:p>
            <w:r>
              <w:rPr>
                <w:b/>
                <w:color w:val="008080"/>
              </w:rPr>
              <w:t>Yes</w:t>
            </w:r>
          </w:p>
        </w:tc>
        <w:tc>
          <w:tcPr>
            <w:tcW w:type="dxa" w:w="864"/>
            <w:tcMar>
              <w:top w:w="100" w:type="dxa"/>
              <w:bottom w:w="100" w:type="dxa"/>
              <w:left w:w="150" w:type="dxa"/>
              <w:right w:w="150" w:type="dxa"/>
            </w:tcMar>
            <w:tcBorders>
              <w:bottom w:val="single" w:sz="4" w:color="E2E8F0"/>
              <w:left w:val="nil"/>
              <w:right w:val="nil"/>
              <w:top w:val="nil"/>
            </w:tcBorders>
          </w:tcPr>
          <w:p>
            <w:r>
              <w:t>Yes</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Yes</w:t>
            </w:r>
          </w:p>
        </w:tc>
        <w:tc>
          <w:tcPr>
            <w:tcW w:type="dxa" w:w="864"/>
            <w:tcMar>
              <w:top w:w="100" w:type="dxa"/>
              <w:bottom w:w="100" w:type="dxa"/>
              <w:left w:w="150" w:type="dxa"/>
              <w:right w:w="150" w:type="dxa"/>
            </w:tcMar>
            <w:tcBorders>
              <w:bottom w:val="single" w:sz="4" w:color="E2E8F0"/>
              <w:left w:val="nil"/>
              <w:right w:val="nil"/>
              <w:top w:val="nil"/>
            </w:tcBorders>
          </w:tcPr>
          <w:p>
            <w:r>
              <w:t>Yes</w:t>
            </w:r>
          </w:p>
        </w:tc>
        <w:tc>
          <w:tcPr>
            <w:tcW w:type="dxa" w:w="864"/>
            <w:tcMar>
              <w:top w:w="100" w:type="dxa"/>
              <w:bottom w:w="100" w:type="dxa"/>
              <w:left w:w="150" w:type="dxa"/>
              <w:right w:w="150" w:type="dxa"/>
            </w:tcMar>
            <w:tcBorders>
              <w:bottom w:val="single" w:sz="4" w:color="E2E8F0"/>
              <w:left w:val="nil"/>
              <w:right w:val="nil"/>
              <w:top w:val="nil"/>
            </w:tcBorders>
          </w:tcPr>
          <w:p>
            <w:r>
              <w:t>Yes</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Yes</w:t>
            </w:r>
          </w:p>
        </w:tc>
      </w:tr>
      <w:tr>
        <w:tc>
          <w:tcPr>
            <w:tcW w:type="dxa" w:w="2592"/>
            <w:shd w:val="clear" w:color="auto" w:fill="F5F7FA"/>
            <w:tcMar>
              <w:top w:w="100" w:type="dxa"/>
              <w:bottom w:w="100" w:type="dxa"/>
              <w:left w:w="150" w:type="dxa"/>
              <w:right w:w="150" w:type="dxa"/>
            </w:tcMar>
            <w:tcBorders>
              <w:bottom w:val="single" w:sz="4" w:color="E2E8F0"/>
              <w:left w:val="nil"/>
              <w:right w:val="nil"/>
              <w:top w:val="nil"/>
            </w:tcBorders>
          </w:tcPr>
          <w:p>
            <w:r>
              <w:t>Arbitrary Code Tracing</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rPr>
                <w:b/>
                <w:color w:val="008080"/>
              </w:rP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r>
      <w:tr>
        <w:tc>
          <w:tcPr>
            <w:tcW w:type="dxa" w:w="2592"/>
            <w:tcMar>
              <w:top w:w="100" w:type="dxa"/>
              <w:bottom w:w="100" w:type="dxa"/>
              <w:left w:w="150" w:type="dxa"/>
              <w:right w:w="150" w:type="dxa"/>
            </w:tcMar>
            <w:tcBorders>
              <w:bottom w:val="single" w:sz="4" w:color="E2E8F0"/>
              <w:left w:val="nil"/>
              <w:right w:val="nil"/>
              <w:top w:val="nil"/>
            </w:tcBorders>
          </w:tcPr>
          <w:p>
            <w:r>
              <w:t>10 Animated Canvases</w:t>
            </w:r>
          </w:p>
        </w:tc>
        <w:tc>
          <w:tcPr>
            <w:tcW w:type="dxa" w:w="864"/>
            <w:tcMar>
              <w:top w:w="100" w:type="dxa"/>
              <w:bottom w:w="100" w:type="dxa"/>
              <w:left w:w="150" w:type="dxa"/>
              <w:right w:w="150" w:type="dxa"/>
            </w:tcMar>
            <w:tcBorders>
              <w:bottom w:val="single" w:sz="4" w:color="E2E8F0"/>
              <w:left w:val="nil"/>
              <w:right w:val="nil"/>
              <w:top w:val="nil"/>
            </w:tcBorders>
          </w:tcPr>
          <w:p>
            <w:r>
              <w:rPr>
                <w:b/>
                <w:color w:val="008080"/>
              </w:rPr>
              <w:t>Yes</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Yes</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r>
      <w:tr>
        <w:tc>
          <w:tcPr>
            <w:tcW w:type="dxa" w:w="2592"/>
            <w:shd w:val="clear" w:color="auto" w:fill="F5F7FA"/>
            <w:tcMar>
              <w:top w:w="100" w:type="dxa"/>
              <w:bottom w:w="100" w:type="dxa"/>
              <w:left w:w="150" w:type="dxa"/>
              <w:right w:w="150" w:type="dxa"/>
            </w:tcMar>
            <w:tcBorders>
              <w:bottom w:val="single" w:sz="4" w:color="E2E8F0"/>
              <w:left w:val="nil"/>
              <w:right w:val="nil"/>
              <w:top w:val="nil"/>
            </w:tcBorders>
          </w:tcPr>
          <w:p>
            <w:r>
              <w:t>Empathetic AI Tutor</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rPr>
                <w:b/>
                <w:color w:val="008080"/>
              </w:rP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r>
      <w:tr>
        <w:tc>
          <w:tcPr>
            <w:tcW w:type="dxa" w:w="2592"/>
            <w:tcMar>
              <w:top w:w="100" w:type="dxa"/>
              <w:bottom w:w="100" w:type="dxa"/>
              <w:left w:w="150" w:type="dxa"/>
              <w:right w:w="150" w:type="dxa"/>
            </w:tcMar>
            <w:tcBorders>
              <w:bottom w:val="single" w:sz="4" w:color="E2E8F0"/>
              <w:left w:val="nil"/>
              <w:right w:val="nil"/>
              <w:top w:val="nil"/>
            </w:tcBorders>
          </w:tcPr>
          <w:p>
            <w:r>
              <w:t>Zero RCE Security</w:t>
            </w:r>
          </w:p>
        </w:tc>
        <w:tc>
          <w:tcPr>
            <w:tcW w:type="dxa" w:w="864"/>
            <w:tcMar>
              <w:top w:w="100" w:type="dxa"/>
              <w:bottom w:w="100" w:type="dxa"/>
              <w:left w:w="150" w:type="dxa"/>
              <w:right w:w="150" w:type="dxa"/>
            </w:tcMar>
            <w:tcBorders>
              <w:bottom w:val="single" w:sz="4" w:color="E2E8F0"/>
              <w:left w:val="nil"/>
              <w:right w:val="nil"/>
              <w:top w:val="nil"/>
            </w:tcBorders>
          </w:tcPr>
          <w:p>
            <w:r>
              <w:rPr>
                <w:b/>
                <w:color w:val="008080"/>
              </w:rPr>
              <w:t>Yes</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Yes</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Yes</w:t>
            </w:r>
          </w:p>
        </w:tc>
        <w:tc>
          <w:tcPr>
            <w:tcW w:type="dxa" w:w="864"/>
            <w:tcMar>
              <w:top w:w="100" w:type="dxa"/>
              <w:bottom w:w="100" w:type="dxa"/>
              <w:left w:w="150" w:type="dxa"/>
              <w:right w:w="150" w:type="dxa"/>
            </w:tcMar>
            <w:tcBorders>
              <w:bottom w:val="single" w:sz="4" w:color="E2E8F0"/>
              <w:left w:val="nil"/>
              <w:right w:val="nil"/>
              <w:top w:val="nil"/>
            </w:tcBorders>
          </w:tcPr>
          <w:p>
            <w:r>
              <w:t>Yes</w:t>
            </w:r>
          </w:p>
        </w:tc>
      </w:tr>
      <w:tr>
        <w:tc>
          <w:tcPr>
            <w:tcW w:type="dxa" w:w="2592"/>
            <w:shd w:val="clear" w:color="auto" w:fill="F5F7FA"/>
            <w:tcMar>
              <w:top w:w="100" w:type="dxa"/>
              <w:bottom w:w="100" w:type="dxa"/>
              <w:left w:w="150" w:type="dxa"/>
              <w:right w:w="150" w:type="dxa"/>
            </w:tcMar>
            <w:tcBorders>
              <w:bottom w:val="single" w:sz="4" w:color="E2E8F0"/>
              <w:left w:val="nil"/>
              <w:right w:val="nil"/>
              <w:top w:val="nil"/>
            </w:tcBorders>
          </w:tcPr>
          <w:p>
            <w:r>
              <w:t>B2B Invite Classrooms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rPr>
                <w:b/>
                <w:color w:val="008080"/>
              </w:rP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r>
      <w:tr>
        <w:tc>
          <w:tcPr>
            <w:tcW w:type="dxa" w:w="2592"/>
            <w:tcMar>
              <w:top w:w="100" w:type="dxa"/>
              <w:bottom w:w="100" w:type="dxa"/>
              <w:left w:w="150" w:type="dxa"/>
              <w:right w:w="150" w:type="dxa"/>
            </w:tcMar>
            <w:tcBorders>
              <w:bottom w:val="single" w:sz="4" w:color="E2E8F0"/>
              <w:left w:val="nil"/>
              <w:right w:val="nil"/>
              <w:top w:val="nil"/>
            </w:tcBorders>
          </w:tcPr>
          <w:p>
            <w:r>
              <w:t>Automated AI Grader</w:t>
            </w:r>
          </w:p>
        </w:tc>
        <w:tc>
          <w:tcPr>
            <w:tcW w:type="dxa" w:w="864"/>
            <w:tcMar>
              <w:top w:w="100" w:type="dxa"/>
              <w:bottom w:w="100" w:type="dxa"/>
              <w:left w:w="150" w:type="dxa"/>
              <w:right w:w="150" w:type="dxa"/>
            </w:tcMar>
            <w:tcBorders>
              <w:bottom w:val="single" w:sz="4" w:color="E2E8F0"/>
              <w:left w:val="nil"/>
              <w:right w:val="nil"/>
              <w:top w:val="nil"/>
            </w:tcBorders>
          </w:tcPr>
          <w:p>
            <w:r>
              <w:rPr>
                <w:b/>
                <w:color w:val="008080"/>
              </w:rPr>
              <w:t>Yes</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Yes</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Yes</w:t>
            </w:r>
          </w:p>
        </w:tc>
      </w:tr>
      <w:tr>
        <w:tc>
          <w:tcPr>
            <w:tcW w:type="dxa" w:w="2592"/>
            <w:shd w:val="clear" w:color="auto" w:fill="F5F7FA"/>
            <w:tcMar>
              <w:top w:w="100" w:type="dxa"/>
              <w:bottom w:w="100" w:type="dxa"/>
              <w:left w:w="150" w:type="dxa"/>
              <w:right w:w="150" w:type="dxa"/>
            </w:tcMar>
            <w:tcBorders>
              <w:bottom w:val="single" w:sz="4" w:color="E2E8F0"/>
              <w:left w:val="nil"/>
              <w:right w:val="nil"/>
              <w:top w:val="nil"/>
            </w:tcBorders>
          </w:tcPr>
          <w:p>
            <w:r>
              <w:t>NAAC Criterion 2.3/2.2</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rPr>
                <w:b/>
                <w:color w:val="008080"/>
              </w:rP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r>
      <w:tr>
        <w:tc>
          <w:tcPr>
            <w:tcW w:type="dxa" w:w="2592"/>
            <w:tcMar>
              <w:top w:w="100" w:type="dxa"/>
              <w:bottom w:w="100" w:type="dxa"/>
              <w:left w:w="150" w:type="dxa"/>
              <w:right w:w="150" w:type="dxa"/>
            </w:tcMar>
            <w:tcBorders>
              <w:bottom w:val="single" w:sz="4" w:color="E2E8F0"/>
              <w:left w:val="nil"/>
              <w:right w:val="nil"/>
              <w:top w:val="nil"/>
            </w:tcBorders>
          </w:tcPr>
          <w:p>
            <w:r>
              <w:t>NBA CO-PO Maps</w:t>
            </w:r>
          </w:p>
        </w:tc>
        <w:tc>
          <w:tcPr>
            <w:tcW w:type="dxa" w:w="864"/>
            <w:tcMar>
              <w:top w:w="100" w:type="dxa"/>
              <w:bottom w:w="100" w:type="dxa"/>
              <w:left w:w="150" w:type="dxa"/>
              <w:right w:w="150" w:type="dxa"/>
            </w:tcMar>
            <w:tcBorders>
              <w:bottom w:val="single" w:sz="4" w:color="E2E8F0"/>
              <w:left w:val="nil"/>
              <w:right w:val="nil"/>
              <w:top w:val="nil"/>
            </w:tcBorders>
          </w:tcPr>
          <w:p>
            <w:r>
              <w:rPr>
                <w:b/>
                <w:color w:val="008080"/>
              </w:rPr>
              <w:t>Yes</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r>
      <w:tr>
        <w:tc>
          <w:tcPr>
            <w:tcW w:type="dxa" w:w="2592"/>
            <w:shd w:val="clear" w:color="auto" w:fill="F5F7FA"/>
            <w:tcMar>
              <w:top w:w="100" w:type="dxa"/>
              <w:bottom w:w="100" w:type="dxa"/>
              <w:left w:w="150" w:type="dxa"/>
              <w:right w:w="150" w:type="dxa"/>
            </w:tcMar>
            <w:tcBorders>
              <w:bottom w:val="single" w:sz="4" w:color="E2E8F0"/>
              <w:left w:val="nil"/>
              <w:right w:val="nil"/>
              <w:top w:val="nil"/>
            </w:tcBorders>
          </w:tcPr>
          <w:p>
            <w:r>
              <w:t>Gamified Streaks &amp; XP</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rPr>
                <w:b/>
                <w:color w:val="008080"/>
              </w:rP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Yes</w:t>
            </w:r>
          </w:p>
        </w:tc>
      </w:tr>
      <w:tr>
        <w:tc>
          <w:tcPr>
            <w:tcW w:type="dxa" w:w="2592"/>
            <w:tcMar>
              <w:top w:w="100" w:type="dxa"/>
              <w:bottom w:w="100" w:type="dxa"/>
              <w:left w:w="150" w:type="dxa"/>
              <w:right w:w="150" w:type="dxa"/>
            </w:tcMar>
            <w:tcBorders>
              <w:bottom w:val="single" w:sz="4" w:color="E2E8F0"/>
              <w:left w:val="nil"/>
              <w:right w:val="nil"/>
              <w:top w:val="nil"/>
            </w:tcBorders>
          </w:tcPr>
          <w:p>
            <w:r>
              <w:t>Vernacular UI selector</w:t>
            </w:r>
          </w:p>
        </w:tc>
        <w:tc>
          <w:tcPr>
            <w:tcW w:type="dxa" w:w="864"/>
            <w:tcMar>
              <w:top w:w="100" w:type="dxa"/>
              <w:bottom w:w="100" w:type="dxa"/>
              <w:left w:w="150" w:type="dxa"/>
              <w:right w:w="150" w:type="dxa"/>
            </w:tcMar>
            <w:tcBorders>
              <w:bottom w:val="single" w:sz="4" w:color="E2E8F0"/>
              <w:left w:val="nil"/>
              <w:right w:val="nil"/>
              <w:top w:val="nil"/>
            </w:tcBorders>
          </w:tcPr>
          <w:p>
            <w:r>
              <w:rPr>
                <w:b/>
                <w:color w:val="008080"/>
              </w:rPr>
              <w:t>Yes</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No</w:t>
            </w:r>
          </w:p>
        </w:tc>
        <w:tc>
          <w:tcPr>
            <w:tcW w:type="dxa" w:w="864"/>
            <w:tcMar>
              <w:top w:w="100" w:type="dxa"/>
              <w:bottom w:w="100" w:type="dxa"/>
              <w:left w:w="150" w:type="dxa"/>
              <w:right w:w="150" w:type="dxa"/>
            </w:tcMar>
            <w:tcBorders>
              <w:bottom w:val="single" w:sz="4" w:color="E2E8F0"/>
              <w:left w:val="nil"/>
              <w:right w:val="nil"/>
              <w:top w:val="nil"/>
            </w:tcBorders>
          </w:tcPr>
          <w:p>
            <w:r>
              <w:t>Yes</w:t>
            </w:r>
          </w:p>
        </w:tc>
        <w:tc>
          <w:tcPr>
            <w:tcW w:type="dxa" w:w="864"/>
            <w:tcMar>
              <w:top w:w="100" w:type="dxa"/>
              <w:bottom w:w="100" w:type="dxa"/>
              <w:left w:w="150" w:type="dxa"/>
              <w:right w:w="150" w:type="dxa"/>
            </w:tcMar>
            <w:tcBorders>
              <w:bottom w:val="single" w:sz="4" w:color="E2E8F0"/>
              <w:left w:val="nil"/>
              <w:right w:val="nil"/>
              <w:top w:val="nil"/>
            </w:tcBorders>
          </w:tcPr>
          <w:p>
            <w:r>
              <w:t>No</w:t>
            </w:r>
          </w:p>
        </w:tc>
      </w:tr>
      <w:tr>
        <w:tc>
          <w:tcPr>
            <w:tcW w:type="dxa" w:w="2592"/>
            <w:shd w:val="clear" w:color="auto" w:fill="F5F7FA"/>
            <w:tcMar>
              <w:top w:w="100" w:type="dxa"/>
              <w:bottom w:w="100" w:type="dxa"/>
              <w:left w:w="150" w:type="dxa"/>
              <w:right w:w="150" w:type="dxa"/>
            </w:tcMar>
            <w:tcBorders>
              <w:bottom w:val="single" w:sz="4" w:color="E2E8F0"/>
              <w:left w:val="nil"/>
              <w:right w:val="nil"/>
              <w:top w:val="nil"/>
            </w:tcBorders>
          </w:tcPr>
          <w:p>
            <w:r>
              <w:t>LTI 1.3 LMS Grade Sync</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rPr>
                <w:b/>
                <w:color w:val="008080"/>
              </w:rP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Yes</w:t>
            </w:r>
          </w:p>
        </w:tc>
        <w:tc>
          <w:tcPr>
            <w:tcW w:type="dxa" w:w="864"/>
            <w:shd w:val="clear" w:color="auto" w:fill="F5F7FA"/>
            <w:tcMar>
              <w:top w:w="100" w:type="dxa"/>
              <w:bottom w:w="100" w:type="dxa"/>
              <w:left w:w="150" w:type="dxa"/>
              <w:right w:w="150" w:type="dxa"/>
            </w:tcMar>
            <w:tcBorders>
              <w:bottom w:val="single" w:sz="4" w:color="E2E8F0"/>
              <w:left w:val="nil"/>
              <w:right w:val="nil"/>
              <w:top w:val="nil"/>
            </w:tcBorders>
          </w:tcPr>
          <w:p>
            <w:r>
              <w:t>No</w:t>
            </w:r>
          </w:p>
        </w:tc>
      </w:tr>
    </w:tbl>
    <w:p>
      <w:r>
        <w:br w:type="page"/>
      </w:r>
    </w:p>
    <w:p>
      <w:pPr>
        <w:pStyle w:val="Heading1"/>
        <w:keepNext/>
        <w:spacing w:before="360" w:after="120"/>
      </w:pPr>
      <w:r>
        <w:rPr>
          <w:rFonts w:ascii="Arial" w:hAnsi="Arial"/>
          <w:b/>
          <w:color w:val="0A2540"/>
          <w:sz w:val="32"/>
        </w:rPr>
        <w:t>3. Our Key Strategic Moats</w:t>
      </w:r>
    </w:p>
    <w:p>
      <w:pPr>
        <w:spacing w:after="160" w:line="276" w:lineRule="auto"/>
      </w:pPr>
      <w:r>
        <w:rPr>
          <w:rFonts w:ascii="Calibri" w:hAnsi="Calibri"/>
          <w:b/>
          <w:color w:val="0A2540"/>
          <w:sz w:val="22"/>
        </w:rPr>
        <w:t xml:space="preserve">Defensive Barriers: </w:t>
      </w:r>
      <w:r>
        <w:rPr>
          <w:rFonts w:ascii="Calibri" w:hAnsi="Calibri"/>
          <w:color w:val="333333"/>
          <w:sz w:val="22"/>
        </w:rPr>
        <w:t>CodeCanvas establishes distinct competitive barriers that prevent easy replication by generic compilers or edtech platforms:</w:t>
      </w:r>
    </w:p>
    <w:p>
      <w:pPr>
        <w:pStyle w:val="ListBullet"/>
        <w:spacing w:after="160" w:line="276" w:lineRule="auto"/>
      </w:pPr>
      <w:r>
        <w:rPr>
          <w:rFonts w:ascii="Calibri" w:hAnsi="Calibri"/>
          <w:color w:val="333333"/>
          <w:sz w:val="22"/>
        </w:rPr>
        <w:t>1. Security Advantage (AI-Simulated Execution): Platforms like Python Tutor and Replit compile student code natively, creating high remote code execution (RCE) vulnerabilities and requiring complex sandboxing. CodeCanvas evaluates code scripts conceptually through Llama-3.3 on Groq, ensuring student scripts never run on server hardware.</w:t>
      </w:r>
    </w:p>
    <w:p>
      <w:pPr>
        <w:pStyle w:val="ListBullet"/>
        <w:spacing w:after="160" w:line="276" w:lineRule="auto"/>
      </w:pPr>
      <w:r>
        <w:rPr>
          <w:rFonts w:ascii="Calibri" w:hAnsi="Calibri"/>
          <w:color w:val="333333"/>
          <w:sz w:val="22"/>
        </w:rPr>
        <w:t>2. Administrative Advantage (Accreditation Integrations): Academic platforms (Moodle) and practice portals (LeetCode) cannot export metrics mapping to accreditation audits. CodeCanvas logs student trace telemetry, outputting certified documentation that satisfies NAAC Criterion 2.3 (experiential learning) and NBA outcomes tracking.</w:t>
      </w:r>
    </w:p>
    <w:p>
      <w:pPr>
        <w:pStyle w:val="ListBullet"/>
        <w:spacing w:after="160" w:line="276" w:lineRule="auto"/>
      </w:pPr>
      <w:r>
        <w:rPr>
          <w:rFonts w:ascii="Calibri" w:hAnsi="Calibri"/>
          <w:color w:val="333333"/>
          <w:sz w:val="22"/>
        </w:rPr>
        <w:t>3. Pedagogical Advantage (Empathetic Conversational Tutoring): Traditional compilers offer dry console errors. CodeCanvas provides an AI Tutor Sidebar that reads active line numbers and variable scopes, guiding students in regional languages to fix logical bugs without giving away answers.</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A2540"/>
              <w:top w:val="nil"/>
              <w:bottom w:val="nil"/>
              <w:right w:val="nil"/>
            </w:tcBorders>
            <w:tcMar>
              <w:top w:w="140" w:type="dxa"/>
              <w:bottom w:w="140" w:type="dxa"/>
              <w:left w:w="200" w:type="dxa"/>
              <w:right w:w="180" w:type="dxa"/>
            </w:tcMar>
          </w:tcPr>
          <w:p>
            <w:pPr>
              <w:spacing w:before="0" w:after="80"/>
            </w:pPr>
            <w:r>
              <w:rPr>
                <w:rFonts w:ascii="Arial" w:hAnsi="Arial"/>
                <w:b/>
                <w:color w:val="008080"/>
                <w:sz w:val="20"/>
              </w:rPr>
              <w:t>DIFFERENTIATION VALUE CONNOTATION</w:t>
              <w:br/>
            </w:r>
            <w:r>
              <w:rPr>
                <w:rFonts w:ascii="Calibri" w:hAnsi="Calibri"/>
                <w:color w:val="333333"/>
                <w:sz w:val="21"/>
              </w:rPr>
              <w:t>By merging security-compliant code execution, automated university accreditation audits, and context-aware multi-lingual AI tutoring, CodeCanvas occupies a unique, protected niche in B2B engineering higher education.</w:t>
            </w:r>
          </w:p>
        </w:tc>
      </w:tr>
    </w:tbl>
    <w:p>
      <w:pPr>
        <w:spacing w:before="0" w:after="24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828C"/>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8C"/>
        <w:sz w:val="17"/>
      </w:rPr>
      <w:t>CodeCanvas — Competitor Analysis &amp;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