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A2540"/>
          <w:sz w:val="48"/>
        </w:rPr>
        <w:t>MARKET SIZING (TAM/SAM/SOM)</w:t>
        <w:br/>
        <w:t>&amp; FINANCIAL PROJECTIONS</w:t>
      </w:r>
    </w:p>
    <w:p>
      <w:pPr>
        <w:spacing w:after="1600"/>
        <w:jc w:val="center"/>
      </w:pPr>
      <w:r>
        <w:rPr>
          <w:rFonts w:ascii="Arial" w:hAnsi="Arial"/>
          <w:b/>
          <w:color w:val="008080"/>
          <w:sz w:val="24"/>
        </w:rPr>
        <w:t>Commercial Feasibility, 5-Year Scaling, Operating Cost Analysis &amp; Unit Economics</w:t>
      </w:r>
    </w:p>
    <w:p>
      <w:pPr>
        <w:spacing w:after="400"/>
        <w:jc w:val="center"/>
      </w:pPr>
      <w:r>
        <w:rPr>
          <w:rFonts w:ascii="Calibri" w:hAnsi="Calibri"/>
          <w:color w:val="646E78"/>
          <w:sz w:val="21"/>
        </w:rPr>
        <w:t>Author: Prathamesh Sawarkar (Registration ID: 12509401)</w:t>
        <w:br/>
        <w:t>Scope: CodeCanvas (LPU CodeViz)</w:t>
        <w:br/>
        <w:t>Institutional Focus: B2B Higher-Education SaaS</w:t>
        <w:br/>
        <w:t>Last Updated: August 11, 2026</w:t>
      </w:r>
    </w:p>
    <w:p>
      <w:r>
        <w:br w:type="page"/>
      </w:r>
    </w:p>
    <w:p>
      <w:pPr>
        <w:pStyle w:val="Heading1"/>
        <w:keepNext/>
        <w:spacing w:before="360" w:after="120"/>
      </w:pPr>
      <w:r>
        <w:rPr>
          <w:rFonts w:ascii="Arial" w:hAnsi="Arial"/>
          <w:b/>
          <w:color w:val="0A2540"/>
          <w:sz w:val="32"/>
        </w:rPr>
        <w:t>1. Commercial Pricing Structure (SAC Code 997331)</w:t>
      </w:r>
    </w:p>
    <w:p>
      <w:pPr>
        <w:spacing w:after="160" w:line="276" w:lineRule="auto"/>
      </w:pPr>
      <w:r>
        <w:rPr>
          <w:rFonts w:ascii="Calibri" w:hAnsi="Calibri"/>
          <w:b/>
          <w:color w:val="0A2540"/>
          <w:sz w:val="22"/>
        </w:rPr>
        <w:t xml:space="preserve">Pricing Rationale: </w:t>
      </w:r>
      <w:r>
        <w:rPr>
          <w:rFonts w:ascii="Calibri" w:hAnsi="Calibri"/>
          <w:color w:val="333333"/>
          <w:sz w:val="22"/>
        </w:rPr>
        <w:t>CodeCanvas utilizes a hybrid commercial model, combining B2C individual upgrades with B2B departmental and institutional site licenses. All prices are structured to comply with Indian GST rules under SAC Code 997331 (Licensing services for the right to use computer software).</w:t>
      </w:r>
    </w:p>
    <w:tbl>
      <w:tblPr>
        <w:tblW w:type="auto" w:w="0"/>
        <w:jc w:val="center"/>
        <w:tblLayout w:type="fixed"/>
        <w:tblLook w:firstColumn="1" w:firstRow="1" w:lastColumn="0" w:lastRow="0" w:noHBand="0" w:noVBand="1" w:val="04A0"/>
      </w:tblPr>
      <w:tblGrid>
        <w:gridCol w:w="1872"/>
        <w:gridCol w:w="1584"/>
        <w:gridCol w:w="1440"/>
        <w:gridCol w:w="1584"/>
        <w:gridCol w:w="2880"/>
      </w:tblGrid>
      <w:tr>
        <w:tc>
          <w:tcPr>
            <w:tcW w:type="dxa" w:w="1872"/>
            <w:shd w:val="clear" w:color="auto" w:fill="0A2540"/>
            <w:tcMar>
              <w:top w:w="140" w:type="dxa"/>
              <w:bottom w:w="140" w:type="dxa"/>
              <w:left w:w="180" w:type="dxa"/>
              <w:right w:w="180" w:type="dxa"/>
            </w:tcMar>
          </w:tcPr>
          <w:p>
            <w:pPr>
              <w:jc w:val="left"/>
            </w:pPr>
            <w:r>
              <w:rPr>
                <w:rFonts w:ascii="Arial" w:hAnsi="Arial"/>
                <w:b/>
                <w:color w:val="FFFFFF"/>
                <w:sz w:val="20"/>
              </w:rPr>
              <w:t>License Tier</w:t>
            </w:r>
          </w:p>
        </w:tc>
        <w:tc>
          <w:tcPr>
            <w:tcW w:type="dxa" w:w="1872"/>
            <w:shd w:val="clear" w:color="auto" w:fill="0A2540"/>
            <w:tcMar>
              <w:top w:w="140" w:type="dxa"/>
              <w:bottom w:w="140" w:type="dxa"/>
              <w:left w:w="180" w:type="dxa"/>
              <w:right w:w="180" w:type="dxa"/>
            </w:tcMar>
          </w:tcPr>
          <w:p>
            <w:pPr>
              <w:jc w:val="left"/>
            </w:pPr>
            <w:r>
              <w:rPr>
                <w:rFonts w:ascii="Arial" w:hAnsi="Arial"/>
                <w:b/>
                <w:color w:val="FFFFFF"/>
                <w:sz w:val="20"/>
              </w:rPr>
              <w:t>Base Price</w:t>
            </w:r>
          </w:p>
        </w:tc>
        <w:tc>
          <w:tcPr>
            <w:tcW w:type="dxa" w:w="1872"/>
            <w:shd w:val="clear" w:color="auto" w:fill="0A2540"/>
            <w:tcMar>
              <w:top w:w="140" w:type="dxa"/>
              <w:bottom w:w="140" w:type="dxa"/>
              <w:left w:w="180" w:type="dxa"/>
              <w:right w:w="180" w:type="dxa"/>
            </w:tcMar>
          </w:tcPr>
          <w:p>
            <w:pPr>
              <w:jc w:val="left"/>
            </w:pPr>
            <w:r>
              <w:rPr>
                <w:rFonts w:ascii="Arial" w:hAnsi="Arial"/>
                <w:b/>
                <w:color w:val="FFFFFF"/>
                <w:sz w:val="20"/>
              </w:rPr>
              <w:t>GST (18%)</w:t>
            </w:r>
          </w:p>
        </w:tc>
        <w:tc>
          <w:tcPr>
            <w:tcW w:type="dxa" w:w="1872"/>
            <w:shd w:val="clear" w:color="auto" w:fill="0A2540"/>
            <w:tcMar>
              <w:top w:w="140" w:type="dxa"/>
              <w:bottom w:w="140" w:type="dxa"/>
              <w:left w:w="180" w:type="dxa"/>
              <w:right w:w="180" w:type="dxa"/>
            </w:tcMar>
          </w:tcPr>
          <w:p>
            <w:pPr>
              <w:jc w:val="left"/>
            </w:pPr>
            <w:r>
              <w:rPr>
                <w:rFonts w:ascii="Arial" w:hAnsi="Arial"/>
                <w:b/>
                <w:color w:val="FFFFFF"/>
                <w:sz w:val="20"/>
              </w:rPr>
              <w:t>Total Price</w:t>
            </w:r>
          </w:p>
        </w:tc>
        <w:tc>
          <w:tcPr>
            <w:tcW w:type="dxa" w:w="1872"/>
            <w:shd w:val="clear" w:color="auto" w:fill="0A2540"/>
            <w:tcMar>
              <w:top w:w="140" w:type="dxa"/>
              <w:bottom w:w="140" w:type="dxa"/>
              <w:left w:w="180" w:type="dxa"/>
              <w:right w:w="180" w:type="dxa"/>
            </w:tcMar>
          </w:tcPr>
          <w:p>
            <w:pPr>
              <w:jc w:val="left"/>
            </w:pPr>
            <w:r>
              <w:rPr>
                <w:rFonts w:ascii="Arial" w:hAnsi="Arial"/>
                <w:b/>
                <w:color w:val="FFFFFF"/>
                <w:sz w:val="20"/>
              </w:rPr>
              <w:t>SaaS Capabilities Included</w:t>
            </w:r>
          </w:p>
        </w:tc>
      </w:tr>
      <w:tr>
        <w:tc>
          <w:tcPr>
            <w:tcW w:type="dxa" w:w="1872"/>
            <w:tcMar>
              <w:top w:w="100" w:type="dxa"/>
              <w:bottom w:w="100" w:type="dxa"/>
              <w:left w:w="150" w:type="dxa"/>
              <w:right w:w="150" w:type="dxa"/>
            </w:tcMar>
            <w:tcBorders>
              <w:bottom w:val="single" w:sz="4" w:color="E2E8F0"/>
              <w:left w:val="nil"/>
              <w:right w:val="nil"/>
              <w:top w:val="nil"/>
            </w:tcBorders>
          </w:tcPr>
          <w:p>
            <w:r>
              <w:t>Individual Student Monthly</w:t>
            </w:r>
          </w:p>
        </w:tc>
        <w:tc>
          <w:tcPr>
            <w:tcW w:type="dxa" w:w="1872"/>
            <w:tcMar>
              <w:top w:w="100" w:type="dxa"/>
              <w:bottom w:w="100" w:type="dxa"/>
              <w:left w:w="150" w:type="dxa"/>
              <w:right w:w="150" w:type="dxa"/>
            </w:tcMar>
            <w:tcBorders>
              <w:bottom w:val="single" w:sz="4" w:color="E2E8F0"/>
              <w:left w:val="nil"/>
              <w:right w:val="nil"/>
              <w:top w:val="nil"/>
            </w:tcBorders>
          </w:tcPr>
          <w:p>
            <w:r>
              <w:t>Rs. 254.24</w:t>
            </w:r>
          </w:p>
        </w:tc>
        <w:tc>
          <w:tcPr>
            <w:tcW w:type="dxa" w:w="1872"/>
            <w:tcMar>
              <w:top w:w="100" w:type="dxa"/>
              <w:bottom w:w="100" w:type="dxa"/>
              <w:left w:w="150" w:type="dxa"/>
              <w:right w:w="150" w:type="dxa"/>
            </w:tcMar>
            <w:tcBorders>
              <w:bottom w:val="single" w:sz="4" w:color="E2E8F0"/>
              <w:left w:val="nil"/>
              <w:right w:val="nil"/>
              <w:top w:val="nil"/>
            </w:tcBorders>
          </w:tcPr>
          <w:p>
            <w:r>
              <w:t>Rs. 45.76</w:t>
            </w:r>
          </w:p>
        </w:tc>
        <w:tc>
          <w:tcPr>
            <w:tcW w:type="dxa" w:w="1872"/>
            <w:tcMar>
              <w:top w:w="100" w:type="dxa"/>
              <w:bottom w:w="100" w:type="dxa"/>
              <w:left w:w="150" w:type="dxa"/>
              <w:right w:w="150" w:type="dxa"/>
            </w:tcMar>
            <w:tcBorders>
              <w:bottom w:val="single" w:sz="4" w:color="E2E8F0"/>
              <w:left w:val="nil"/>
              <w:right w:val="nil"/>
              <w:top w:val="nil"/>
            </w:tcBorders>
          </w:tcPr>
          <w:p>
            <w:r>
              <w:t>Rs. 300.00</w:t>
            </w:r>
          </w:p>
        </w:tc>
        <w:tc>
          <w:tcPr>
            <w:tcW w:type="dxa" w:w="1872"/>
            <w:tcMar>
              <w:top w:w="100" w:type="dxa"/>
              <w:bottom w:w="100" w:type="dxa"/>
              <w:left w:w="150" w:type="dxa"/>
              <w:right w:w="150" w:type="dxa"/>
            </w:tcMar>
            <w:tcBorders>
              <w:bottom w:val="single" w:sz="4" w:color="E2E8F0"/>
              <w:left w:val="nil"/>
              <w:right w:val="nil"/>
              <w:top w:val="nil"/>
            </w:tcBorders>
          </w:tcPr>
          <w:p>
            <w:r>
              <w:t>Visualizer sandbox, AI Tutor Chatbot, personal trace history Dashboard, and streaks.</w:t>
            </w:r>
          </w:p>
        </w:tc>
      </w:tr>
      <w:tr>
        <w:tc>
          <w:tcPr>
            <w:tcW w:type="dxa" w:w="1872"/>
            <w:shd w:val="clear" w:color="auto" w:fill="F5F7FA"/>
            <w:tcMar>
              <w:top w:w="100" w:type="dxa"/>
              <w:bottom w:w="100" w:type="dxa"/>
              <w:left w:w="150" w:type="dxa"/>
              <w:right w:w="150" w:type="dxa"/>
            </w:tcMar>
            <w:tcBorders>
              <w:bottom w:val="single" w:sz="4" w:color="E2E8F0"/>
              <w:left w:val="nil"/>
              <w:right w:val="nil"/>
              <w:top w:val="nil"/>
            </w:tcBorders>
          </w:tcPr>
          <w:p>
            <w:r>
              <w:t>Standard Departmental Annual</w:t>
            </w:r>
          </w:p>
        </w:tc>
        <w:tc>
          <w:tcPr>
            <w:tcW w:type="dxa" w:w="1872"/>
            <w:shd w:val="clear" w:color="auto" w:fill="F5F7FA"/>
            <w:tcMar>
              <w:top w:w="100" w:type="dxa"/>
              <w:bottom w:w="100" w:type="dxa"/>
              <w:left w:w="150" w:type="dxa"/>
              <w:right w:w="150" w:type="dxa"/>
            </w:tcMar>
            <w:tcBorders>
              <w:bottom w:val="single" w:sz="4" w:color="E2E8F0"/>
              <w:left w:val="nil"/>
              <w:right w:val="nil"/>
              <w:top w:val="nil"/>
            </w:tcBorders>
          </w:tcPr>
          <w:p>
            <w:r>
              <w:t>Rs. 84,745.76</w:t>
            </w:r>
          </w:p>
        </w:tc>
        <w:tc>
          <w:tcPr>
            <w:tcW w:type="dxa" w:w="1872"/>
            <w:shd w:val="clear" w:color="auto" w:fill="F5F7FA"/>
            <w:tcMar>
              <w:top w:w="100" w:type="dxa"/>
              <w:bottom w:w="100" w:type="dxa"/>
              <w:left w:w="150" w:type="dxa"/>
              <w:right w:w="150" w:type="dxa"/>
            </w:tcMar>
            <w:tcBorders>
              <w:bottom w:val="single" w:sz="4" w:color="E2E8F0"/>
              <w:left w:val="nil"/>
              <w:right w:val="nil"/>
              <w:top w:val="nil"/>
            </w:tcBorders>
          </w:tcPr>
          <w:p>
            <w:r>
              <w:t>Rs. 15,254.24</w:t>
            </w:r>
          </w:p>
        </w:tc>
        <w:tc>
          <w:tcPr>
            <w:tcW w:type="dxa" w:w="1872"/>
            <w:shd w:val="clear" w:color="auto" w:fill="F5F7FA"/>
            <w:tcMar>
              <w:top w:w="100" w:type="dxa"/>
              <w:bottom w:w="100" w:type="dxa"/>
              <w:left w:w="150" w:type="dxa"/>
              <w:right w:w="150" w:type="dxa"/>
            </w:tcMar>
            <w:tcBorders>
              <w:bottom w:val="single" w:sz="4" w:color="E2E8F0"/>
              <w:left w:val="nil"/>
              <w:right w:val="nil"/>
              <w:top w:val="nil"/>
            </w:tcBorders>
          </w:tcPr>
          <w:p>
            <w:r>
              <w:t>Rs. 1,00,000.00</w:t>
            </w:r>
          </w:p>
        </w:tc>
        <w:tc>
          <w:tcPr>
            <w:tcW w:type="dxa" w:w="1872"/>
            <w:shd w:val="clear" w:color="auto" w:fill="F5F7FA"/>
            <w:tcMar>
              <w:top w:w="100" w:type="dxa"/>
              <w:bottom w:w="100" w:type="dxa"/>
              <w:left w:w="150" w:type="dxa"/>
              <w:right w:w="150" w:type="dxa"/>
            </w:tcMar>
            <w:tcBorders>
              <w:bottom w:val="single" w:sz="4" w:color="E2E8F0"/>
              <w:left w:val="nil"/>
              <w:right w:val="nil"/>
              <w:top w:val="nil"/>
            </w:tcBorders>
          </w:tcPr>
          <w:p>
            <w:r>
              <w:t>500 student seats, 10 teacher licenses, classroom boards, auto-grader, and NAAC reports.</w:t>
            </w:r>
          </w:p>
        </w:tc>
      </w:tr>
      <w:tr>
        <w:tc>
          <w:tcPr>
            <w:tcW w:type="dxa" w:w="1872"/>
            <w:tcMar>
              <w:top w:w="100" w:type="dxa"/>
              <w:bottom w:w="100" w:type="dxa"/>
              <w:left w:w="150" w:type="dxa"/>
              <w:right w:w="150" w:type="dxa"/>
            </w:tcMar>
            <w:tcBorders>
              <w:bottom w:val="single" w:sz="4" w:color="E2E8F0"/>
              <w:left w:val="nil"/>
              <w:right w:val="nil"/>
              <w:top w:val="nil"/>
            </w:tcBorders>
          </w:tcPr>
          <w:p>
            <w:r>
              <w:t>Institutional Enterprise Annual</w:t>
            </w:r>
          </w:p>
        </w:tc>
        <w:tc>
          <w:tcPr>
            <w:tcW w:type="dxa" w:w="1872"/>
            <w:tcMar>
              <w:top w:w="100" w:type="dxa"/>
              <w:bottom w:w="100" w:type="dxa"/>
              <w:left w:w="150" w:type="dxa"/>
              <w:right w:w="150" w:type="dxa"/>
            </w:tcMar>
            <w:tcBorders>
              <w:bottom w:val="single" w:sz="4" w:color="E2E8F0"/>
              <w:left w:val="nil"/>
              <w:right w:val="nil"/>
              <w:top w:val="nil"/>
            </w:tcBorders>
          </w:tcPr>
          <w:p>
            <w:r>
              <w:t>Rs. 2,54,237.28</w:t>
            </w:r>
          </w:p>
        </w:tc>
        <w:tc>
          <w:tcPr>
            <w:tcW w:type="dxa" w:w="1872"/>
            <w:tcMar>
              <w:top w:w="100" w:type="dxa"/>
              <w:bottom w:w="100" w:type="dxa"/>
              <w:left w:w="150" w:type="dxa"/>
              <w:right w:w="150" w:type="dxa"/>
            </w:tcMar>
            <w:tcBorders>
              <w:bottom w:val="single" w:sz="4" w:color="E2E8F0"/>
              <w:left w:val="nil"/>
              <w:right w:val="nil"/>
              <w:top w:val="nil"/>
            </w:tcBorders>
          </w:tcPr>
          <w:p>
            <w:r>
              <w:t>Rs. 45,762.72</w:t>
            </w:r>
          </w:p>
        </w:tc>
        <w:tc>
          <w:tcPr>
            <w:tcW w:type="dxa" w:w="1872"/>
            <w:tcMar>
              <w:top w:w="100" w:type="dxa"/>
              <w:bottom w:w="100" w:type="dxa"/>
              <w:left w:w="150" w:type="dxa"/>
              <w:right w:w="150" w:type="dxa"/>
            </w:tcMar>
            <w:tcBorders>
              <w:bottom w:val="single" w:sz="4" w:color="E2E8F0"/>
              <w:left w:val="nil"/>
              <w:right w:val="nil"/>
              <w:top w:val="nil"/>
            </w:tcBorders>
          </w:tcPr>
          <w:p>
            <w:r>
              <w:t>Rs. 3,00,000.00</w:t>
            </w:r>
          </w:p>
        </w:tc>
        <w:tc>
          <w:tcPr>
            <w:tcW w:type="dxa" w:w="1872"/>
            <w:tcMar>
              <w:top w:w="100" w:type="dxa"/>
              <w:bottom w:w="100" w:type="dxa"/>
              <w:left w:w="150" w:type="dxa"/>
              <w:right w:w="150" w:type="dxa"/>
            </w:tcMar>
            <w:tcBorders>
              <w:bottom w:val="single" w:sz="4" w:color="E2E8F0"/>
              <w:left w:val="nil"/>
              <w:right w:val="nil"/>
              <w:top w:val="nil"/>
            </w:tcBorders>
          </w:tcPr>
          <w:p>
            <w:r>
              <w:t>Unlimited seats, LMS integration, advanced telemetry, SSO, backups, support manager.</w:t>
            </w:r>
          </w:p>
        </w:tc>
      </w:tr>
    </w:tbl>
    <w:p>
      <w:r>
        <w:br w:type="page"/>
      </w:r>
    </w:p>
    <w:p>
      <w:pPr>
        <w:pStyle w:val="Heading1"/>
        <w:keepNext/>
        <w:spacing w:before="360" w:after="120"/>
      </w:pPr>
      <w:r>
        <w:rPr>
          <w:rFonts w:ascii="Arial" w:hAnsi="Arial"/>
          <w:b/>
          <w:color w:val="0A2540"/>
          <w:sz w:val="32"/>
        </w:rPr>
        <w:t>2. Market Sizing: TAM / SAM / SOM</w:t>
      </w:r>
    </w:p>
    <w:p>
      <w:pPr>
        <w:spacing w:after="160" w:line="276" w:lineRule="auto"/>
      </w:pPr>
      <w:r>
        <w:rPr>
          <w:rFonts w:ascii="Calibri" w:hAnsi="Calibri"/>
          <w:b/>
          <w:color w:val="0A2540"/>
          <w:sz w:val="22"/>
        </w:rPr>
        <w:t xml:space="preserve">Market Definition: </w:t>
      </w:r>
      <w:r>
        <w:rPr>
          <w:rFonts w:ascii="Calibri" w:hAnsi="Calibri"/>
          <w:color w:val="333333"/>
          <w:sz w:val="22"/>
        </w:rPr>
        <w:t>Our market opportunity spans technical education institutions globally, narrowing down to the Indian engineering ecosystem as our initial launching target:</w:t>
      </w:r>
    </w:p>
    <w:p>
      <w:pPr>
        <w:spacing w:after="160" w:line="276" w:lineRule="auto"/>
      </w:pPr>
      <w:r>
        <w:rPr>
          <w:rFonts w:ascii="Calibri" w:hAnsi="Calibri"/>
          <w:b/>
          <w:color w:val="0A2540"/>
          <w:sz w:val="22"/>
        </w:rPr>
        <w:t xml:space="preserve">• </w:t>
      </w:r>
      <w:r>
        <w:rPr>
          <w:rFonts w:ascii="Calibri" w:hAnsi="Calibri"/>
          <w:color w:val="333333"/>
          <w:sz w:val="22"/>
        </w:rPr>
        <w:t>Total Addressable Market (TAM): Globally, there are approximately 50,000 higher education institutions teaching computer science, software development, or database systems. Assuming an average annual institutional site license contract value of $4,000 USD (approx. Rs. 3,30,000), our Total Addressable Market stands at $200 Million USD (approx. Rs. 1,650 Crores).</w:t>
      </w:r>
    </w:p>
    <w:p>
      <w:pPr>
        <w:spacing w:after="160" w:line="276" w:lineRule="auto"/>
      </w:pPr>
      <w:r>
        <w:rPr>
          <w:rFonts w:ascii="Calibri" w:hAnsi="Calibri"/>
          <w:b/>
          <w:color w:val="0A2540"/>
          <w:sz w:val="22"/>
        </w:rPr>
        <w:t xml:space="preserve">• </w:t>
      </w:r>
      <w:r>
        <w:rPr>
          <w:rFonts w:ascii="Calibri" w:hAnsi="Calibri"/>
          <w:color w:val="333333"/>
          <w:sz w:val="22"/>
        </w:rPr>
        <w:t>Serviceable Addressable Market (SAM): In India, there are 8,500 institutions offering technical higher education (B.Tech CS/IT, BCA, and MCA degrees), including 3,500 AICTE-approved engineering colleges and 5,000 other accredited universities. With a target average institutional contract value of Rs. 1,50,000 per college annually, our Serviceable Addressable Market is Rs. 127.5 Crores ($15.3 Million USD).</w:t>
      </w:r>
    </w:p>
    <w:p>
      <w:pPr>
        <w:spacing w:after="160" w:line="276" w:lineRule="auto"/>
      </w:pPr>
      <w:r>
        <w:rPr>
          <w:rFonts w:ascii="Calibri" w:hAnsi="Calibri"/>
          <w:b/>
          <w:color w:val="0A2540"/>
          <w:sz w:val="22"/>
        </w:rPr>
        <w:t xml:space="preserve">• </w:t>
      </w:r>
      <w:r>
        <w:rPr>
          <w:rFonts w:ascii="Calibri" w:hAnsi="Calibri"/>
          <w:color w:val="333333"/>
          <w:sz w:val="22"/>
        </w:rPr>
        <w:t>Serviceable Obtainable Market (SOM): Within 5 years, we aim to capture B2B contracts with 350 Tier-1 and Tier-2 engineering colleges and universities in India (focusing initially on Punjab, Haryana, Karnataka, Tamil Nadu, and Maharashtra). Assuming a B2B Average Contract Value (ACV) of Rs. 2,00,000, our Serviceable Obtainable Market is Rs. 7.0 Crores ($840,000 USD) ARR.</w:t>
      </w:r>
    </w:p>
    <w:tbl>
      <w:tblPr>
        <w:tblW w:type="auto" w:w="0"/>
        <w:jc w:val="center"/>
        <w:tblLayout w:type="fixed"/>
        <w:tblLook w:firstColumn="1" w:firstRow="1" w:lastColumn="0" w:lastRow="0" w:noHBand="0" w:noVBand="1" w:val="04A0"/>
      </w:tblPr>
      <w:tblGrid>
        <w:gridCol w:w="9360"/>
      </w:tblGrid>
      <w:tr>
        <w:tc>
          <w:tcPr>
            <w:tcW w:type="dxa" w:w="9360"/>
            <w:shd w:val="clear" w:color="auto" w:fill="FDFDF9"/>
            <w:tcBorders>
              <w:left w:val="single" w:sz="36" w:space="0" w:color="0A2540"/>
              <w:top w:val="nil"/>
              <w:bottom w:val="nil"/>
              <w:right w:val="nil"/>
            </w:tcBorders>
            <w:tcMar>
              <w:top w:w="140" w:type="dxa"/>
              <w:bottom w:w="140" w:type="dxa"/>
              <w:left w:w="200" w:type="dxa"/>
              <w:right w:w="180" w:type="dxa"/>
            </w:tcMar>
          </w:tcPr>
          <w:p>
            <w:pPr>
              <w:spacing w:before="0" w:after="80"/>
            </w:pPr>
            <w:r>
              <w:rPr>
                <w:rFonts w:ascii="Arial" w:hAnsi="Arial"/>
                <w:b/>
                <w:color w:val="D97706"/>
                <w:sz w:val="20"/>
              </w:rPr>
              <w:t>MARKET MATRIX SIZING SUMMARY</w:t>
              <w:br/>
            </w:r>
            <w:r>
              <w:rPr>
                <w:rFonts w:ascii="Calibri" w:hAnsi="Calibri"/>
                <w:color w:val="333333"/>
                <w:sz w:val="21"/>
              </w:rPr>
              <w:t>TAM (Global CS Higher Ed): Rs. 1,650 Crores ($200M USD)</w:t>
              <w:br/>
              <w:t>SAM (Indian CS Higher Ed): Rs. 127.5 Crores ($15.3M USD)</w:t>
              <w:br/>
              <w:t>SOM (Indian Target Colleges): Rs. 7.0 Crores ($840K USD) ARR</w:t>
            </w:r>
          </w:p>
        </w:tc>
      </w:tr>
    </w:tbl>
    <w:p>
      <w:pPr>
        <w:spacing w:before="0" w:after="240"/>
      </w:pPr>
    </w:p>
    <w:p>
      <w:pPr>
        <w:pStyle w:val="Heading1"/>
        <w:keepNext/>
        <w:spacing w:before="360" w:after="120"/>
      </w:pPr>
      <w:r>
        <w:rPr>
          <w:rFonts w:ascii="Arial" w:hAnsi="Arial"/>
          <w:b/>
          <w:color w:val="0A2540"/>
          <w:sz w:val="32"/>
        </w:rPr>
        <w:t>3. 5-Year Revenue Projections Matrix</w:t>
      </w:r>
    </w:p>
    <w:tbl>
      <w:tblPr>
        <w:tblW w:type="auto" w:w="0"/>
        <w:jc w:val="center"/>
        <w:tblLayout w:type="fixed"/>
        <w:tblLook w:firstColumn="1" w:firstRow="1" w:lastColumn="0" w:lastRow="0" w:noHBand="0" w:noVBand="1" w:val="04A0"/>
      </w:tblPr>
      <w:tblGrid>
        <w:gridCol w:w="2592"/>
        <w:gridCol w:w="1152"/>
        <w:gridCol w:w="1152"/>
        <w:gridCol w:w="1296"/>
        <w:gridCol w:w="1440"/>
        <w:gridCol w:w="1728"/>
      </w:tblGrid>
      <w:tr>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Metric Tracker</w:t>
            </w:r>
          </w:p>
        </w:tc>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Year 1</w:t>
            </w:r>
          </w:p>
        </w:tc>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Year 2</w:t>
            </w:r>
          </w:p>
        </w:tc>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Year 3</w:t>
            </w:r>
          </w:p>
        </w:tc>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Year 4</w:t>
            </w:r>
          </w:p>
        </w:tc>
        <w:tc>
          <w:tcPr>
            <w:tcW w:type="dxa" w:w="1560"/>
            <w:shd w:val="clear" w:color="auto" w:fill="0A2540"/>
            <w:tcMar>
              <w:top w:w="140" w:type="dxa"/>
              <w:bottom w:w="140" w:type="dxa"/>
              <w:left w:w="180" w:type="dxa"/>
              <w:right w:w="180" w:type="dxa"/>
            </w:tcMar>
          </w:tcPr>
          <w:p>
            <w:pPr>
              <w:jc w:val="left"/>
            </w:pPr>
            <w:r>
              <w:rPr>
                <w:rFonts w:ascii="Arial" w:hAnsi="Arial"/>
                <w:b/>
                <w:color w:val="FFFFFF"/>
                <w:sz w:val="20"/>
              </w:rPr>
              <w:t>Year 5</w:t>
            </w:r>
          </w:p>
        </w:tc>
      </w:tr>
      <w:tr>
        <w:tc>
          <w:tcPr>
            <w:tcW w:type="dxa" w:w="1560"/>
            <w:tcMar>
              <w:top w:w="100" w:type="dxa"/>
              <w:bottom w:w="100" w:type="dxa"/>
              <w:left w:w="150" w:type="dxa"/>
              <w:right w:w="150" w:type="dxa"/>
            </w:tcMar>
            <w:tcBorders>
              <w:bottom w:val="single" w:sz="4" w:color="E2E8F0"/>
              <w:left w:val="nil"/>
              <w:right w:val="nil"/>
              <w:top w:val="nil"/>
            </w:tcBorders>
          </w:tcPr>
          <w:p>
            <w:r>
              <w:t>B2B College Signups</w:t>
            </w:r>
          </w:p>
        </w:tc>
        <w:tc>
          <w:tcPr>
            <w:tcW w:type="dxa" w:w="1560"/>
            <w:tcMar>
              <w:top w:w="100" w:type="dxa"/>
              <w:bottom w:w="100" w:type="dxa"/>
              <w:left w:w="150" w:type="dxa"/>
              <w:right w:w="150" w:type="dxa"/>
            </w:tcMar>
            <w:tcBorders>
              <w:bottom w:val="single" w:sz="4" w:color="E2E8F0"/>
              <w:left w:val="nil"/>
              <w:right w:val="nil"/>
              <w:top w:val="nil"/>
            </w:tcBorders>
          </w:tcPr>
          <w:p>
            <w:r>
              <w:t>5</w:t>
            </w:r>
          </w:p>
        </w:tc>
        <w:tc>
          <w:tcPr>
            <w:tcW w:type="dxa" w:w="1560"/>
            <w:tcMar>
              <w:top w:w="100" w:type="dxa"/>
              <w:bottom w:w="100" w:type="dxa"/>
              <w:left w:w="150" w:type="dxa"/>
              <w:right w:w="150" w:type="dxa"/>
            </w:tcMar>
            <w:tcBorders>
              <w:bottom w:val="single" w:sz="4" w:color="E2E8F0"/>
              <w:left w:val="nil"/>
              <w:right w:val="nil"/>
              <w:top w:val="nil"/>
            </w:tcBorders>
          </w:tcPr>
          <w:p>
            <w:r>
              <w:t>25</w:t>
            </w:r>
          </w:p>
        </w:tc>
        <w:tc>
          <w:tcPr>
            <w:tcW w:type="dxa" w:w="1560"/>
            <w:tcMar>
              <w:top w:w="100" w:type="dxa"/>
              <w:bottom w:w="100" w:type="dxa"/>
              <w:left w:w="150" w:type="dxa"/>
              <w:right w:w="150" w:type="dxa"/>
            </w:tcMar>
            <w:tcBorders>
              <w:bottom w:val="single" w:sz="4" w:color="E2E8F0"/>
              <w:left w:val="nil"/>
              <w:right w:val="nil"/>
              <w:top w:val="nil"/>
            </w:tcBorders>
          </w:tcPr>
          <w:p>
            <w:r>
              <w:t>75</w:t>
            </w:r>
          </w:p>
        </w:tc>
        <w:tc>
          <w:tcPr>
            <w:tcW w:type="dxa" w:w="1560"/>
            <w:tcMar>
              <w:top w:w="100" w:type="dxa"/>
              <w:bottom w:w="100" w:type="dxa"/>
              <w:left w:w="150" w:type="dxa"/>
              <w:right w:w="150" w:type="dxa"/>
            </w:tcMar>
            <w:tcBorders>
              <w:bottom w:val="single" w:sz="4" w:color="E2E8F0"/>
              <w:left w:val="nil"/>
              <w:right w:val="nil"/>
              <w:top w:val="nil"/>
            </w:tcBorders>
          </w:tcPr>
          <w:p>
            <w:r>
              <w:t>180</w:t>
            </w:r>
          </w:p>
        </w:tc>
        <w:tc>
          <w:tcPr>
            <w:tcW w:type="dxa" w:w="1560"/>
            <w:tcMar>
              <w:top w:w="100" w:type="dxa"/>
              <w:bottom w:w="100" w:type="dxa"/>
              <w:left w:w="150" w:type="dxa"/>
              <w:right w:w="150" w:type="dxa"/>
            </w:tcMar>
            <w:tcBorders>
              <w:bottom w:val="single" w:sz="4" w:color="E2E8F0"/>
              <w:left w:val="nil"/>
              <w:right w:val="nil"/>
              <w:top w:val="nil"/>
            </w:tcBorders>
          </w:tcPr>
          <w:p>
            <w:r>
              <w:t>350</w:t>
            </w:r>
          </w:p>
        </w:tc>
      </w:tr>
      <w:tr>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B2C Student Upgrades</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1,000</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5,000</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15,000</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30,000</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60,000</w:t>
            </w:r>
          </w:p>
        </w:tc>
      </w:tr>
      <w:tr>
        <w:tc>
          <w:tcPr>
            <w:tcW w:type="dxa" w:w="1560"/>
            <w:tcMar>
              <w:top w:w="100" w:type="dxa"/>
              <w:bottom w:w="100" w:type="dxa"/>
              <w:left w:w="150" w:type="dxa"/>
              <w:right w:w="150" w:type="dxa"/>
            </w:tcMar>
            <w:tcBorders>
              <w:bottom w:val="single" w:sz="4" w:color="E2E8F0"/>
              <w:left w:val="nil"/>
              <w:right w:val="nil"/>
              <w:top w:val="nil"/>
            </w:tcBorders>
          </w:tcPr>
          <w:p>
            <w:r>
              <w:t>B2B Revenue (INR)</w:t>
            </w:r>
          </w:p>
        </w:tc>
        <w:tc>
          <w:tcPr>
            <w:tcW w:type="dxa" w:w="1560"/>
            <w:tcMar>
              <w:top w:w="100" w:type="dxa"/>
              <w:bottom w:w="100" w:type="dxa"/>
              <w:left w:w="150" w:type="dxa"/>
              <w:right w:w="150" w:type="dxa"/>
            </w:tcMar>
            <w:tcBorders>
              <w:bottom w:val="single" w:sz="4" w:color="E2E8F0"/>
              <w:left w:val="nil"/>
              <w:right w:val="nil"/>
              <w:top w:val="nil"/>
            </w:tcBorders>
          </w:tcPr>
          <w:p>
            <w:r>
              <w:t>Rs. 10 Lakhs</w:t>
            </w:r>
          </w:p>
        </w:tc>
        <w:tc>
          <w:tcPr>
            <w:tcW w:type="dxa" w:w="1560"/>
            <w:tcMar>
              <w:top w:w="100" w:type="dxa"/>
              <w:bottom w:w="100" w:type="dxa"/>
              <w:left w:w="150" w:type="dxa"/>
              <w:right w:w="150" w:type="dxa"/>
            </w:tcMar>
            <w:tcBorders>
              <w:bottom w:val="single" w:sz="4" w:color="E2E8F0"/>
              <w:left w:val="nil"/>
              <w:right w:val="nil"/>
              <w:top w:val="nil"/>
            </w:tcBorders>
          </w:tcPr>
          <w:p>
            <w:r>
              <w:t>Rs. 50 Lakhs</w:t>
            </w:r>
          </w:p>
        </w:tc>
        <w:tc>
          <w:tcPr>
            <w:tcW w:type="dxa" w:w="1560"/>
            <w:tcMar>
              <w:top w:w="100" w:type="dxa"/>
              <w:bottom w:w="100" w:type="dxa"/>
              <w:left w:w="150" w:type="dxa"/>
              <w:right w:w="150" w:type="dxa"/>
            </w:tcMar>
            <w:tcBorders>
              <w:bottom w:val="single" w:sz="4" w:color="E2E8F0"/>
              <w:left w:val="nil"/>
              <w:right w:val="nil"/>
              <w:top w:val="nil"/>
            </w:tcBorders>
          </w:tcPr>
          <w:p>
            <w:r>
              <w:t>Rs. 1.5 Crores</w:t>
            </w:r>
          </w:p>
        </w:tc>
        <w:tc>
          <w:tcPr>
            <w:tcW w:type="dxa" w:w="1560"/>
            <w:tcMar>
              <w:top w:w="100" w:type="dxa"/>
              <w:bottom w:w="100" w:type="dxa"/>
              <w:left w:w="150" w:type="dxa"/>
              <w:right w:w="150" w:type="dxa"/>
            </w:tcMar>
            <w:tcBorders>
              <w:bottom w:val="single" w:sz="4" w:color="E2E8F0"/>
              <w:left w:val="nil"/>
              <w:right w:val="nil"/>
              <w:top w:val="nil"/>
            </w:tcBorders>
          </w:tcPr>
          <w:p>
            <w:r>
              <w:t>Rs. 3.66 Crores</w:t>
            </w:r>
          </w:p>
        </w:tc>
        <w:tc>
          <w:tcPr>
            <w:tcW w:type="dxa" w:w="1560"/>
            <w:tcMar>
              <w:top w:w="100" w:type="dxa"/>
              <w:bottom w:w="100" w:type="dxa"/>
              <w:left w:w="150" w:type="dxa"/>
              <w:right w:w="150" w:type="dxa"/>
            </w:tcMar>
            <w:tcBorders>
              <w:bottom w:val="single" w:sz="4" w:color="E2E8F0"/>
              <w:left w:val="nil"/>
              <w:right w:val="nil"/>
              <w:top w:val="nil"/>
            </w:tcBorders>
          </w:tcPr>
          <w:p>
            <w:r>
              <w:t>Rs. 7.0 Crores</w:t>
            </w:r>
          </w:p>
        </w:tc>
      </w:tr>
      <w:tr>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B2C Revenue (INR)</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Rs. 3 Lakhs</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Rs. 15 Lakhs</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Rs. 45 Lakhs</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Rs. 90 Lakhs</w:t>
            </w:r>
          </w:p>
        </w:tc>
        <w:tc>
          <w:tcPr>
            <w:tcW w:type="dxa" w:w="1560"/>
            <w:shd w:val="clear" w:color="auto" w:fill="F5F7FA"/>
            <w:tcMar>
              <w:top w:w="100" w:type="dxa"/>
              <w:bottom w:w="100" w:type="dxa"/>
              <w:left w:w="150" w:type="dxa"/>
              <w:right w:w="150" w:type="dxa"/>
            </w:tcMar>
            <w:tcBorders>
              <w:bottom w:val="single" w:sz="4" w:color="E2E8F0"/>
              <w:left w:val="nil"/>
              <w:right w:val="nil"/>
              <w:top w:val="nil"/>
            </w:tcBorders>
          </w:tcPr>
          <w:p>
            <w:r>
              <w:t>Rs. 1.8 Crores</w:t>
            </w:r>
          </w:p>
        </w:tc>
      </w:tr>
      <w:tr>
        <w:tc>
          <w:tcPr>
            <w:tcW w:type="dxa" w:w="1560"/>
            <w:tcMar>
              <w:top w:w="100" w:type="dxa"/>
              <w:bottom w:w="100" w:type="dxa"/>
              <w:left w:w="150" w:type="dxa"/>
              <w:right w:w="150" w:type="dxa"/>
            </w:tcMar>
            <w:tcBorders>
              <w:bottom w:val="single" w:sz="4" w:color="E2E8F0"/>
              <w:left w:val="nil"/>
              <w:right w:val="nil"/>
              <w:top w:val="nil"/>
            </w:tcBorders>
          </w:tcPr>
          <w:p>
            <w:r>
              <w:t>Total ARR (INR)</w:t>
            </w:r>
          </w:p>
        </w:tc>
        <w:tc>
          <w:tcPr>
            <w:tcW w:type="dxa" w:w="1560"/>
            <w:tcMar>
              <w:top w:w="100" w:type="dxa"/>
              <w:bottom w:w="100" w:type="dxa"/>
              <w:left w:w="150" w:type="dxa"/>
              <w:right w:w="150" w:type="dxa"/>
            </w:tcMar>
            <w:tcBorders>
              <w:bottom w:val="single" w:sz="4" w:color="E2E8F0"/>
              <w:left w:val="nil"/>
              <w:right w:val="nil"/>
              <w:top w:val="nil"/>
            </w:tcBorders>
          </w:tcPr>
          <w:p>
            <w:r>
              <w:t>Rs. 13 Lakhs</w:t>
            </w:r>
          </w:p>
        </w:tc>
        <w:tc>
          <w:tcPr>
            <w:tcW w:type="dxa" w:w="1560"/>
            <w:tcMar>
              <w:top w:w="100" w:type="dxa"/>
              <w:bottom w:w="100" w:type="dxa"/>
              <w:left w:w="150" w:type="dxa"/>
              <w:right w:w="150" w:type="dxa"/>
            </w:tcMar>
            <w:tcBorders>
              <w:bottom w:val="single" w:sz="4" w:color="E2E8F0"/>
              <w:left w:val="nil"/>
              <w:right w:val="nil"/>
              <w:top w:val="nil"/>
            </w:tcBorders>
          </w:tcPr>
          <w:p>
            <w:r>
              <w:t>Rs. 65 Lakhs</w:t>
            </w:r>
          </w:p>
        </w:tc>
        <w:tc>
          <w:tcPr>
            <w:tcW w:type="dxa" w:w="1560"/>
            <w:tcMar>
              <w:top w:w="100" w:type="dxa"/>
              <w:bottom w:w="100" w:type="dxa"/>
              <w:left w:w="150" w:type="dxa"/>
              <w:right w:w="150" w:type="dxa"/>
            </w:tcMar>
            <w:tcBorders>
              <w:bottom w:val="single" w:sz="4" w:color="E2E8F0"/>
              <w:left w:val="nil"/>
              <w:right w:val="nil"/>
              <w:top w:val="nil"/>
            </w:tcBorders>
          </w:tcPr>
          <w:p>
            <w:r>
              <w:t>Rs. 1.95 Crores</w:t>
            </w:r>
          </w:p>
        </w:tc>
        <w:tc>
          <w:tcPr>
            <w:tcW w:type="dxa" w:w="1560"/>
            <w:tcMar>
              <w:top w:w="100" w:type="dxa"/>
              <w:bottom w:w="100" w:type="dxa"/>
              <w:left w:w="150" w:type="dxa"/>
              <w:right w:w="150" w:type="dxa"/>
            </w:tcMar>
            <w:tcBorders>
              <w:bottom w:val="single" w:sz="4" w:color="E2E8F0"/>
              <w:left w:val="nil"/>
              <w:right w:val="nil"/>
              <w:top w:val="nil"/>
            </w:tcBorders>
          </w:tcPr>
          <w:p>
            <w:r>
              <w:t>Rs. 4.56 Crores</w:t>
            </w:r>
          </w:p>
        </w:tc>
        <w:tc>
          <w:tcPr>
            <w:tcW w:type="dxa" w:w="1560"/>
            <w:tcMar>
              <w:top w:w="100" w:type="dxa"/>
              <w:bottom w:w="100" w:type="dxa"/>
              <w:left w:w="150" w:type="dxa"/>
              <w:right w:w="150" w:type="dxa"/>
            </w:tcMar>
            <w:tcBorders>
              <w:bottom w:val="single" w:sz="4" w:color="E2E8F0"/>
              <w:left w:val="nil"/>
              <w:right w:val="nil"/>
              <w:top w:val="nil"/>
            </w:tcBorders>
          </w:tcPr>
          <w:p>
            <w:r>
              <w:t>Rs. 8.8 Crores</w:t>
            </w:r>
          </w:p>
        </w:tc>
      </w:tr>
    </w:tbl>
    <w:p>
      <w:r>
        <w:br w:type="page"/>
      </w:r>
    </w:p>
    <w:p>
      <w:pPr>
        <w:pStyle w:val="Heading1"/>
        <w:keepNext/>
        <w:spacing w:before="360" w:after="120"/>
      </w:pPr>
      <w:r>
        <w:rPr>
          <w:rFonts w:ascii="Arial" w:hAnsi="Arial"/>
          <w:b/>
          <w:color w:val="0A2540"/>
          <w:sz w:val="32"/>
        </w:rPr>
        <w:t>4. Operating Cost Model (OpEx) &amp; Unit Economics</w:t>
      </w:r>
    </w:p>
    <w:p>
      <w:pPr>
        <w:spacing w:after="160" w:line="276" w:lineRule="auto"/>
      </w:pPr>
      <w:r>
        <w:rPr>
          <w:rFonts w:ascii="Calibri" w:hAnsi="Calibri"/>
          <w:b/>
          <w:color w:val="0A2540"/>
          <w:sz w:val="22"/>
        </w:rPr>
        <w:t xml:space="preserve">Infrastructure Efficiency: </w:t>
      </w:r>
      <w:r>
        <w:rPr>
          <w:rFonts w:ascii="Calibri" w:hAnsi="Calibri"/>
          <w:color w:val="333333"/>
          <w:sz w:val="22"/>
        </w:rPr>
        <w:t>CodeCanvas operates as a highly scalable cloud product. By delegating program evaluation logic to a fast, pay-per-token API (Groq) rather than hosting expensive GPU-enabled virtual servers, we minimize operating overhead.</w:t>
      </w:r>
    </w:p>
    <w:p>
      <w:pPr>
        <w:pStyle w:val="ListBullet"/>
        <w:spacing w:after="160" w:line="276" w:lineRule="auto"/>
      </w:pPr>
      <w:r>
        <w:rPr>
          <w:rFonts w:ascii="Calibri" w:hAnsi="Calibri"/>
          <w:color w:val="333333"/>
          <w:sz w:val="22"/>
        </w:rPr>
        <w:t>1. Cloud Infrastructure: Next.js hosting via Vercel costs Rs. 24,000 in Year 1, rising to Rs. 4,80,000 in Year 5. Supabase enterprise logs and database sizing starts at Rs. 30,000 in Year 1 and expands to Rs. 18,00,000 in Year 5 as connection volumes scale.</w:t>
      </w:r>
    </w:p>
    <w:p>
      <w:pPr>
        <w:pStyle w:val="ListBullet"/>
        <w:spacing w:after="160" w:line="276" w:lineRule="auto"/>
      </w:pPr>
      <w:r>
        <w:rPr>
          <w:rFonts w:ascii="Calibri" w:hAnsi="Calibri"/>
          <w:color w:val="333333"/>
          <w:sz w:val="22"/>
        </w:rPr>
        <w:t>2. Groq AI Token Calculations: Each active student is estimated to execute an average of 40 visual traces per month in lab classes. One visual trace averages 10,000 tokens (8K prompt + 2K output). Under Groq rates ($0.59/M input, $0.79/M output), one trace costs approx. Rs. 0.50 INR. This equates to Rs. 20.00/month per active student.</w:t>
      </w:r>
    </w:p>
    <w:tbl>
      <w:tblPr>
        <w:tblW w:type="auto" w:w="0"/>
        <w:jc w:val="center"/>
        <w:tblLayout w:type="fixed"/>
        <w:tblLook w:firstColumn="1" w:firstRow="1" w:lastColumn="0" w:lastRow="0" w:noHBand="0" w:noVBand="1" w:val="04A0"/>
      </w:tblPr>
      <w:tblGrid>
        <w:gridCol w:w="9360"/>
      </w:tblGrid>
      <w:tr>
        <w:tc>
          <w:tcPr>
            <w:tcW w:type="dxa" w:w="9360"/>
            <w:shd w:val="clear" w:color="auto" w:fill="FDFDF9"/>
            <w:tcBorders>
              <w:left w:val="single" w:sz="36" w:space="0" w:color="008080"/>
              <w:top w:val="nil"/>
              <w:bottom w:val="nil"/>
              <w:right w:val="nil"/>
            </w:tcBorders>
            <w:tcMar>
              <w:top w:w="140" w:type="dxa"/>
              <w:bottom w:w="140" w:type="dxa"/>
              <w:left w:w="200" w:type="dxa"/>
              <w:right w:w="180" w:type="dxa"/>
            </w:tcMar>
          </w:tcPr>
          <w:p>
            <w:pPr>
              <w:spacing w:before="0" w:after="80"/>
            </w:pPr>
            <w:r>
              <w:rPr>
                <w:rFonts w:ascii="Arial" w:hAnsi="Arial"/>
                <w:b/>
                <w:color w:val="D97706"/>
                <w:sz w:val="20"/>
              </w:rPr>
              <w:t>UNIT ECONOMICS VERIFICATION</w:t>
              <w:br/>
            </w:r>
            <w:r>
              <w:rPr>
                <w:rFonts w:ascii="Calibri" w:hAnsi="Calibri"/>
                <w:color w:val="333333"/>
                <w:sz w:val="21"/>
              </w:rPr>
              <w:t>The marginal infrastructure and API cost per active student (Rs. 20) represents only 7.8% of the B2C Student monthly base license fee (Rs. 254.24), yielding an outstanding Gross Margin of 92.2%.</w:t>
            </w:r>
          </w:p>
        </w:tc>
      </w:tr>
    </w:tbl>
    <w:p>
      <w:pPr>
        <w:spacing w:before="0" w:after="240"/>
      </w:pPr>
    </w:p>
    <w:p>
      <w:pPr>
        <w:pStyle w:val="Heading1"/>
        <w:keepNext/>
        <w:spacing w:before="360" w:after="120"/>
      </w:pPr>
      <w:r>
        <w:rPr>
          <w:rFonts w:ascii="Arial" w:hAnsi="Arial"/>
          <w:b/>
          <w:color w:val="0A2540"/>
          <w:sz w:val="32"/>
        </w:rPr>
        <w:t>5. B2B Unit Economics &amp; Sales CAC/LTV</w:t>
      </w:r>
    </w:p>
    <w:p>
      <w:pPr>
        <w:spacing w:after="160" w:line="276" w:lineRule="auto"/>
      </w:pPr>
      <w:r>
        <w:rPr>
          <w:rFonts w:ascii="Calibri" w:hAnsi="Calibri"/>
          <w:color w:val="333333"/>
          <w:sz w:val="22"/>
        </w:rPr>
        <w:t>For B2B institutional sales, we track the following unit economics to justify marketing expenditure:</w:t>
      </w:r>
    </w:p>
    <w:p>
      <w:pPr>
        <w:spacing w:after="160" w:line="276" w:lineRule="auto"/>
      </w:pPr>
      <w:r>
        <w:rPr>
          <w:rFonts w:ascii="Calibri" w:hAnsi="Calibri"/>
          <w:b/>
          <w:color w:val="0A2540"/>
          <w:sz w:val="22"/>
        </w:rPr>
        <w:t xml:space="preserve">• </w:t>
      </w:r>
      <w:r>
        <w:rPr>
          <w:rFonts w:ascii="Calibri" w:hAnsi="Calibri"/>
          <w:color w:val="333333"/>
          <w:sz w:val="22"/>
        </w:rPr>
        <w:t>Customer Acquisition Cost (CAC): Rs. 30,000 per college (covering on-campus marketing sales rep visits, catalogs, and targeted institutional social media outreach).</w:t>
      </w:r>
    </w:p>
    <w:p>
      <w:pPr>
        <w:spacing w:after="160" w:line="276" w:lineRule="auto"/>
      </w:pPr>
      <w:r>
        <w:rPr>
          <w:rFonts w:ascii="Calibri" w:hAnsi="Calibri"/>
          <w:b/>
          <w:color w:val="0A2540"/>
          <w:sz w:val="22"/>
        </w:rPr>
        <w:t xml:space="preserve">• </w:t>
      </w:r>
      <w:r>
        <w:rPr>
          <w:rFonts w:ascii="Calibri" w:hAnsi="Calibri"/>
          <w:color w:val="333333"/>
          <w:sz w:val="22"/>
        </w:rPr>
        <w:t>Average Contract Value (ACV): Rs. 2,00,000 per year per college.</w:t>
      </w:r>
    </w:p>
    <w:p>
      <w:pPr>
        <w:spacing w:after="160" w:line="276" w:lineRule="auto"/>
      </w:pPr>
      <w:r>
        <w:rPr>
          <w:rFonts w:ascii="Calibri" w:hAnsi="Calibri"/>
          <w:b/>
          <w:color w:val="0A2540"/>
          <w:sz w:val="22"/>
        </w:rPr>
        <w:t xml:space="preserve">• </w:t>
      </w:r>
      <w:r>
        <w:rPr>
          <w:rFonts w:ascii="Calibri" w:hAnsi="Calibri"/>
          <w:color w:val="333333"/>
          <w:sz w:val="22"/>
        </w:rPr>
        <w:t>Customer Lifetime Value (LTV): Rs. 6,00,000 per college (calculated over an average retention period of 3 years).</w:t>
      </w:r>
    </w:p>
    <w:p>
      <w:pPr>
        <w:spacing w:after="160" w:line="276" w:lineRule="auto"/>
      </w:pPr>
      <w:r>
        <w:rPr>
          <w:rFonts w:ascii="Calibri" w:hAnsi="Calibri"/>
          <w:b/>
          <w:color w:val="0A2540"/>
          <w:sz w:val="22"/>
        </w:rPr>
        <w:t xml:space="preserve">• </w:t>
      </w:r>
      <w:r>
        <w:rPr>
          <w:rFonts w:ascii="Calibri" w:hAnsi="Calibri"/>
          <w:color w:val="333333"/>
          <w:sz w:val="22"/>
        </w:rPr>
        <w:t>LTV / CAC Ratio: 20.0x (An LTV/CAC ratio of &gt;3.0x is considered highly viable for institutional SaaS products, representing extremely efficient sales economics).</w:t>
      </w:r>
    </w:p>
    <w:p>
      <w:pPr>
        <w:pStyle w:val="Heading1"/>
        <w:keepNext/>
        <w:spacing w:before="360" w:after="120"/>
      </w:pPr>
      <w:r>
        <w:rPr>
          <w:rFonts w:ascii="Arial" w:hAnsi="Arial"/>
          <w:b/>
          <w:color w:val="0A2540"/>
          <w:sz w:val="32"/>
        </w:rPr>
        <w:t>6. Break-Even Analysis</w:t>
      </w:r>
    </w:p>
    <w:p>
      <w:pPr>
        <w:spacing w:after="160" w:line="276" w:lineRule="auto"/>
      </w:pPr>
      <w:r>
        <w:rPr>
          <w:rFonts w:ascii="Calibri" w:hAnsi="Calibri"/>
          <w:color w:val="333333"/>
          <w:sz w:val="22"/>
        </w:rPr>
        <w:t>Fixed operating costs in Year 1 are estimated at Rs. 80,000 per month (includes domain registration, core hosting tiers, travel budgets for sales meetings, and advertising). With an average gross margin of 85% on B2B licenses, the monthly revenue threshold required to break even is calculated as follows:</w:t>
      </w:r>
    </w:p>
    <w:p>
      <w:pPr>
        <w:spacing w:after="160" w:line="276" w:lineRule="auto"/>
      </w:pPr>
      <w:r>
        <w:rPr>
          <w:rFonts w:ascii="Calibri" w:hAnsi="Calibri"/>
          <w:b/>
          <w:color w:val="0A2540"/>
          <w:sz w:val="22"/>
        </w:rPr>
        <w:t xml:space="preserve">Formula: </w:t>
      </w:r>
      <w:r>
        <w:rPr>
          <w:rFonts w:ascii="Calibri" w:hAnsi="Calibri"/>
          <w:color w:val="333333"/>
          <w:sz w:val="22"/>
        </w:rPr>
        <w:t>Break-Even Revenue = Rs. 80,000 / 0.85 = Rs. 94,117 / month.</w:t>
      </w:r>
    </w:p>
    <w:p>
      <w:pPr>
        <w:spacing w:after="160" w:line="276" w:lineRule="auto"/>
      </w:pPr>
      <w:r>
        <w:rPr>
          <w:rFonts w:ascii="Calibri" w:hAnsi="Calibri"/>
          <w:color w:val="333333"/>
          <w:sz w:val="22"/>
        </w:rPr>
        <w:t>To satisfy this threshold, CodeCanvas needs to maintain either: (a) 6 active B2B Departmental Annual subscriptions (Rs. 1,00,000/year each), or (b) 2 active B2B Institutional Enterprise subscriptions (Rs. 3,00,000/year each). Break-even is projected to occur in Month 4 of Year 1 operations.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CodeCanvas — Market &amp; Financial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