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0A2540"/>
          <w:sz w:val="56"/>
        </w:rPr>
        <w:t>PRODUCT REQUIREMENTS DOCUMENT</w:t>
      </w:r>
    </w:p>
    <w:p>
      <w:pPr>
        <w:spacing w:before="0" w:after="960"/>
        <w:jc w:val="center"/>
      </w:pPr>
      <w:r>
        <w:rPr>
          <w:rFonts w:ascii="Arial" w:hAnsi="Arial"/>
          <w:b/>
          <w:color w:val="008080"/>
          <w:sz w:val="26"/>
        </w:rPr>
        <w:t>CodeCanvas: Next-Generation AI-Simulated Code Visualization</w:t>
        <w:br/>
        <w:t>&amp; Interactive Computer Science Tutoring Platform</w:t>
      </w:r>
    </w:p>
    <w:p>
      <w:pPr>
        <w:spacing w:before="0" w:after="2400"/>
        <w:jc w:val="center"/>
      </w:pPr>
      <w:r>
        <w:rPr>
          <w:rFonts w:ascii="Calibri" w:hAnsi="Calibri"/>
          <w:i/>
          <w:color w:val="646E78"/>
          <w:sz w:val="23"/>
        </w:rPr>
        <w:t>Targeted for Higher Education Engineering Colleges &amp; Accreditation Compliance</w:t>
      </w:r>
    </w:p>
    <w:p>
      <w:pPr>
        <w:spacing w:before="800" w:after="80"/>
        <w:jc w:val="center"/>
      </w:pPr>
      <w:r>
        <w:rPr>
          <w:b/>
          <w:color w:val="0A2540"/>
          <w:sz w:val="20"/>
        </w:rPr>
        <w:t xml:space="preserve">Author / Developer: </w:t>
      </w:r>
      <w:r>
        <w:rPr>
          <w:color w:val="333333"/>
          <w:sz w:val="20"/>
        </w:rPr>
        <w:t>Prathamesh Sawarkar (Registration ID: 12509401)</w:t>
        <w:br/>
      </w:r>
      <w:r>
        <w:rPr>
          <w:b/>
          <w:color w:val="0A2540"/>
          <w:sz w:val="20"/>
        </w:rPr>
        <w:t xml:space="preserve">Institutional Scope: </w:t>
      </w:r>
      <w:r>
        <w:rPr>
          <w:color w:val="333333"/>
          <w:sz w:val="20"/>
        </w:rPr>
        <w:t>Lovely Professional University (LPU) - CSE/IT Department</w:t>
        <w:br/>
      </w:r>
      <w:r>
        <w:rPr>
          <w:b/>
          <w:color w:val="0A2540"/>
          <w:sz w:val="20"/>
        </w:rPr>
        <w:t xml:space="preserve">Contact: </w:t>
      </w:r>
      <w:r>
        <w:rPr>
          <w:color w:val="333333"/>
          <w:sz w:val="20"/>
        </w:rPr>
        <w:t>prathameshsawarkar1@gmail.com</w:t>
        <w:br/>
      </w:r>
      <w:r>
        <w:rPr>
          <w:b/>
          <w:color w:val="0A2540"/>
          <w:sz w:val="20"/>
        </w:rPr>
        <w:t xml:space="preserve">Document Version: </w:t>
      </w:r>
      <w:r>
        <w:rPr>
          <w:color w:val="333333"/>
          <w:sz w:val="20"/>
        </w:rPr>
        <w:t>v2.0 (Industry-Grade Specification)</w:t>
        <w:br/>
      </w:r>
      <w:r>
        <w:rPr>
          <w:b/>
          <w:color w:val="0A2540"/>
          <w:sz w:val="20"/>
        </w:rPr>
        <w:t xml:space="preserve">Target Platform: </w:t>
      </w:r>
      <w:r>
        <w:rPr>
          <w:color w:val="333333"/>
          <w:sz w:val="20"/>
        </w:rPr>
        <w:t>FastAPI Backend + Next.js App Router Frontend + Supabase DB</w:t>
        <w:br/>
      </w:r>
    </w:p>
    <w:p>
      <w:r>
        <w:br w:type="page"/>
      </w:r>
    </w:p>
    <w:p>
      <w:pPr>
        <w:pStyle w:val="Heading1"/>
        <w:keepNext/>
        <w:spacing w:before="360" w:after="120"/>
      </w:pPr>
      <w:r>
        <w:rPr>
          <w:rFonts w:ascii="Arial" w:hAnsi="Arial"/>
          <w:b/>
          <w:color w:val="0A2540"/>
          <w:sz w:val="36"/>
        </w:rPr>
        <w:t>Document Control &amp; Metadata</w:t>
      </w:r>
    </w:p>
    <w:tbl>
      <w:tblPr>
        <w:tblW w:type="auto" w:w="0"/>
        <w:jc w:val="center"/>
        <w:tblLayout w:type="fixed"/>
        <w:tblLook w:firstColumn="1" w:firstRow="1" w:lastColumn="0" w:lastRow="0" w:noHBand="0" w:noVBand="1" w:val="04A0"/>
      </w:tblPr>
      <w:tblGrid>
        <w:gridCol w:w="3168"/>
        <w:gridCol w:w="6192"/>
      </w:tblGrid>
      <w:tr>
        <w:tc>
          <w:tcPr>
            <w:tcW w:type="dxa" w:w="4680"/>
            <w:shd w:val="clear" w:color="auto" w:fill="0A2540"/>
            <w:tcMar>
              <w:top w:w="140" w:type="dxa"/>
              <w:bottom w:w="140" w:type="dxa"/>
              <w:left w:w="180" w:type="dxa"/>
              <w:right w:w="180" w:type="dxa"/>
            </w:tcMar>
          </w:tcPr>
          <w:p>
            <w:pPr>
              <w:jc w:val="left"/>
            </w:pPr>
            <w:r>
              <w:rPr>
                <w:rFonts w:ascii="Arial" w:hAnsi="Arial"/>
                <w:b/>
                <w:color w:val="FFFFFF"/>
                <w:sz w:val="20"/>
              </w:rPr>
              <w:t>Field</w:t>
            </w:r>
          </w:p>
        </w:tc>
        <w:tc>
          <w:tcPr>
            <w:tcW w:type="dxa" w:w="4680"/>
            <w:shd w:val="clear" w:color="auto" w:fill="0A2540"/>
            <w:tcMar>
              <w:top w:w="140" w:type="dxa"/>
              <w:bottom w:w="140" w:type="dxa"/>
              <w:left w:w="180" w:type="dxa"/>
              <w:right w:w="180" w:type="dxa"/>
            </w:tcMar>
          </w:tcPr>
          <w:p>
            <w:pPr>
              <w:jc w:val="left"/>
            </w:pPr>
            <w:r>
              <w:rPr>
                <w:rFonts w:ascii="Arial" w:hAnsi="Arial"/>
                <w:b/>
                <w:color w:val="FFFFFF"/>
                <w:sz w:val="20"/>
              </w:rPr>
              <w:t>Details</w:t>
            </w:r>
          </w:p>
        </w:tc>
      </w:tr>
      <w:tr>
        <w:tc>
          <w:tcPr>
            <w:tcW w:type="dxa" w:w="4680"/>
            <w:tcMar>
              <w:top w:w="100" w:type="dxa"/>
              <w:bottom w:w="100" w:type="dxa"/>
              <w:left w:w="150" w:type="dxa"/>
              <w:right w:w="150" w:type="dxa"/>
            </w:tcMar>
            <w:tcBorders>
              <w:bottom w:val="single" w:sz="4" w:color="E2E8F0"/>
              <w:left w:val="nil"/>
              <w:right w:val="nil"/>
              <w:top w:val="nil"/>
            </w:tcBorders>
          </w:tcPr>
          <w:p>
            <w:r>
              <w:t>Product Name</w:t>
            </w:r>
          </w:p>
        </w:tc>
        <w:tc>
          <w:tcPr>
            <w:tcW w:type="dxa" w:w="4680"/>
            <w:tcMar>
              <w:top w:w="100" w:type="dxa"/>
              <w:bottom w:w="100" w:type="dxa"/>
              <w:left w:w="150" w:type="dxa"/>
              <w:right w:w="150" w:type="dxa"/>
            </w:tcMar>
            <w:tcBorders>
              <w:bottom w:val="single" w:sz="4" w:color="E2E8F0"/>
              <w:left w:val="nil"/>
              <w:right w:val="nil"/>
              <w:top w:val="nil"/>
            </w:tcBorders>
          </w:tcPr>
          <w:p>
            <w:r>
              <w:t>CodeCanvas (LPU CodeViz)</w:t>
            </w:r>
          </w:p>
        </w:tc>
      </w:tr>
      <w:tr>
        <w:tc>
          <w:tcPr>
            <w:tcW w:type="dxa" w:w="4680"/>
            <w:shd w:val="clear" w:color="auto" w:fill="F5F7FA"/>
            <w:tcMar>
              <w:top w:w="100" w:type="dxa"/>
              <w:bottom w:w="100" w:type="dxa"/>
              <w:left w:w="150" w:type="dxa"/>
              <w:right w:w="150" w:type="dxa"/>
            </w:tcMar>
            <w:tcBorders>
              <w:bottom w:val="single" w:sz="4" w:color="E2E8F0"/>
              <w:left w:val="nil"/>
              <w:right w:val="nil"/>
              <w:top w:val="nil"/>
            </w:tcBorders>
          </w:tcPr>
          <w:p>
            <w:r>
              <w:t>Document Version</w:t>
            </w:r>
          </w:p>
        </w:tc>
        <w:tc>
          <w:tcPr>
            <w:tcW w:type="dxa" w:w="4680"/>
            <w:shd w:val="clear" w:color="auto" w:fill="F5F7FA"/>
            <w:tcMar>
              <w:top w:w="100" w:type="dxa"/>
              <w:bottom w:w="100" w:type="dxa"/>
              <w:left w:w="150" w:type="dxa"/>
              <w:right w:w="150" w:type="dxa"/>
            </w:tcMar>
            <w:tcBorders>
              <w:bottom w:val="single" w:sz="4" w:color="E2E8F0"/>
              <w:left w:val="nil"/>
              <w:right w:val="nil"/>
              <w:top w:val="nil"/>
            </w:tcBorders>
          </w:tcPr>
          <w:p>
            <w:r>
              <w:t>v2.0 (Industry-Grade Specification)</w:t>
            </w:r>
          </w:p>
        </w:tc>
      </w:tr>
      <w:tr>
        <w:tc>
          <w:tcPr>
            <w:tcW w:type="dxa" w:w="4680"/>
            <w:tcMar>
              <w:top w:w="100" w:type="dxa"/>
              <w:bottom w:w="100" w:type="dxa"/>
              <w:left w:w="150" w:type="dxa"/>
              <w:right w:w="150" w:type="dxa"/>
            </w:tcMar>
            <w:tcBorders>
              <w:bottom w:val="single" w:sz="4" w:color="E2E8F0"/>
              <w:left w:val="nil"/>
              <w:right w:val="nil"/>
              <w:top w:val="nil"/>
            </w:tcBorders>
          </w:tcPr>
          <w:p>
            <w:r>
              <w:t>Status</w:t>
            </w:r>
          </w:p>
        </w:tc>
        <w:tc>
          <w:tcPr>
            <w:tcW w:type="dxa" w:w="4680"/>
            <w:tcMar>
              <w:top w:w="100" w:type="dxa"/>
              <w:bottom w:w="100" w:type="dxa"/>
              <w:left w:w="150" w:type="dxa"/>
              <w:right w:w="150" w:type="dxa"/>
            </w:tcMar>
            <w:tcBorders>
              <w:bottom w:val="single" w:sz="4" w:color="E2E8F0"/>
              <w:left w:val="nil"/>
              <w:right w:val="nil"/>
              <w:top w:val="nil"/>
            </w:tcBorders>
          </w:tcPr>
          <w:p>
            <w:r>
              <w:t>Approved</w:t>
            </w:r>
          </w:p>
        </w:tc>
      </w:tr>
      <w:tr>
        <w:tc>
          <w:tcPr>
            <w:tcW w:type="dxa" w:w="4680"/>
            <w:shd w:val="clear" w:color="auto" w:fill="F5F7FA"/>
            <w:tcMar>
              <w:top w:w="100" w:type="dxa"/>
              <w:bottom w:w="100" w:type="dxa"/>
              <w:left w:w="150" w:type="dxa"/>
              <w:right w:w="150" w:type="dxa"/>
            </w:tcMar>
            <w:tcBorders>
              <w:bottom w:val="single" w:sz="4" w:color="E2E8F0"/>
              <w:left w:val="nil"/>
              <w:right w:val="nil"/>
              <w:top w:val="nil"/>
            </w:tcBorders>
          </w:tcPr>
          <w:p>
            <w:r>
              <w:t>Owner / Author</w:t>
            </w:r>
          </w:p>
        </w:tc>
        <w:tc>
          <w:tcPr>
            <w:tcW w:type="dxa" w:w="4680"/>
            <w:shd w:val="clear" w:color="auto" w:fill="F5F7FA"/>
            <w:tcMar>
              <w:top w:w="100" w:type="dxa"/>
              <w:bottom w:w="100" w:type="dxa"/>
              <w:left w:w="150" w:type="dxa"/>
              <w:right w:w="150" w:type="dxa"/>
            </w:tcMar>
            <w:tcBorders>
              <w:bottom w:val="single" w:sz="4" w:color="E2E8F0"/>
              <w:left w:val="nil"/>
              <w:right w:val="nil"/>
              <w:top w:val="nil"/>
            </w:tcBorders>
          </w:tcPr>
          <w:p>
            <w:r>
              <w:t>Prathamesh Sawarkar (Registration ID: 12509401)</w:t>
            </w:r>
          </w:p>
        </w:tc>
      </w:tr>
      <w:tr>
        <w:tc>
          <w:tcPr>
            <w:tcW w:type="dxa" w:w="4680"/>
            <w:tcMar>
              <w:top w:w="100" w:type="dxa"/>
              <w:bottom w:w="100" w:type="dxa"/>
              <w:left w:w="150" w:type="dxa"/>
              <w:right w:w="150" w:type="dxa"/>
            </w:tcMar>
            <w:tcBorders>
              <w:bottom w:val="single" w:sz="4" w:color="E2E8F0"/>
              <w:left w:val="nil"/>
              <w:right w:val="nil"/>
              <w:top w:val="nil"/>
            </w:tcBorders>
          </w:tcPr>
          <w:p>
            <w:r>
              <w:t>Target Institutions</w:t>
            </w:r>
          </w:p>
        </w:tc>
        <w:tc>
          <w:tcPr>
            <w:tcW w:type="dxa" w:w="4680"/>
            <w:tcMar>
              <w:top w:w="100" w:type="dxa"/>
              <w:bottom w:w="100" w:type="dxa"/>
              <w:left w:w="150" w:type="dxa"/>
              <w:right w:w="150" w:type="dxa"/>
            </w:tcMar>
            <w:tcBorders>
              <w:bottom w:val="single" w:sz="4" w:color="E2E8F0"/>
              <w:left w:val="nil"/>
              <w:right w:val="nil"/>
              <w:top w:val="nil"/>
            </w:tcBorders>
          </w:tcPr>
          <w:p>
            <w:r>
              <w:t>Lovely Professional University (LPU) - CSE/IT Department</w:t>
            </w:r>
          </w:p>
        </w:tc>
      </w:tr>
    </w:tbl>
    <w:p>
      <w:pPr>
        <w:spacing w:after="240"/>
      </w:pPr>
    </w:p>
    <w:p>
      <w:pPr>
        <w:spacing w:after="160" w:line="276" w:lineRule="auto"/>
      </w:pPr>
      <w:r>
        <w:rPr>
          <w:rFonts w:ascii="Calibri" w:hAnsi="Calibri"/>
          <w:color w:val="333333"/>
          <w:sz w:val="22"/>
        </w:rPr>
        <w:t>Revision History:</w:t>
      </w:r>
    </w:p>
    <w:tbl>
      <w:tblPr>
        <w:tblW w:type="auto" w:w="0"/>
        <w:jc w:val="center"/>
        <w:tblLayout w:type="fixed"/>
        <w:tblLook w:firstColumn="1" w:firstRow="1" w:lastColumn="0" w:lastRow="0" w:noHBand="0" w:noVBand="1" w:val="04A0"/>
      </w:tblPr>
      <w:tblGrid>
        <w:gridCol w:w="1440"/>
        <w:gridCol w:w="1728"/>
        <w:gridCol w:w="2592"/>
        <w:gridCol w:w="3600"/>
      </w:tblGrid>
      <w:tr>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Version</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Date</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Author</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Description of Changes</w:t>
            </w:r>
          </w:p>
        </w:tc>
      </w:tr>
      <w:tr>
        <w:tc>
          <w:tcPr>
            <w:tcW w:type="dxa" w:w="2340"/>
            <w:tcMar>
              <w:top w:w="100" w:type="dxa"/>
              <w:bottom w:w="100" w:type="dxa"/>
              <w:left w:w="150" w:type="dxa"/>
              <w:right w:w="150" w:type="dxa"/>
            </w:tcMar>
            <w:tcBorders>
              <w:bottom w:val="single" w:sz="4" w:color="E2E8F0"/>
              <w:left w:val="nil"/>
              <w:right w:val="nil"/>
              <w:top w:val="nil"/>
            </w:tcBorders>
          </w:tcPr>
          <w:p>
            <w:r>
              <w:t>v1.0</w:t>
            </w:r>
          </w:p>
        </w:tc>
        <w:tc>
          <w:tcPr>
            <w:tcW w:type="dxa" w:w="2340"/>
            <w:tcMar>
              <w:top w:w="100" w:type="dxa"/>
              <w:bottom w:w="100" w:type="dxa"/>
              <w:left w:w="150" w:type="dxa"/>
              <w:right w:w="150" w:type="dxa"/>
            </w:tcMar>
            <w:tcBorders>
              <w:bottom w:val="single" w:sz="4" w:color="E2E8F0"/>
              <w:left w:val="nil"/>
              <w:right w:val="nil"/>
              <w:top w:val="nil"/>
            </w:tcBorders>
          </w:tcPr>
          <w:p>
            <w:r>
              <w:t>July 7, 2026</w:t>
            </w:r>
          </w:p>
        </w:tc>
        <w:tc>
          <w:tcPr>
            <w:tcW w:type="dxa" w:w="2340"/>
            <w:tcMar>
              <w:top w:w="100" w:type="dxa"/>
              <w:bottom w:w="100" w:type="dxa"/>
              <w:left w:w="150" w:type="dxa"/>
              <w:right w:w="150" w:type="dxa"/>
            </w:tcMar>
            <w:tcBorders>
              <w:bottom w:val="single" w:sz="4" w:color="E2E8F0"/>
              <w:left w:val="nil"/>
              <w:right w:val="nil"/>
              <w:top w:val="nil"/>
            </w:tcBorders>
          </w:tcPr>
          <w:p>
            <w:r>
              <w:t>Prathamesh Sawarkar</w:t>
            </w:r>
          </w:p>
        </w:tc>
        <w:tc>
          <w:tcPr>
            <w:tcW w:type="dxa" w:w="2340"/>
            <w:tcMar>
              <w:top w:w="100" w:type="dxa"/>
              <w:bottom w:w="100" w:type="dxa"/>
              <w:left w:w="150" w:type="dxa"/>
              <w:right w:w="150" w:type="dxa"/>
            </w:tcMar>
            <w:tcBorders>
              <w:bottom w:val="single" w:sz="4" w:color="E2E8F0"/>
              <w:left w:val="nil"/>
              <w:right w:val="nil"/>
              <w:top w:val="nil"/>
            </w:tcBorders>
          </w:tcPr>
          <w:p>
            <w:r>
              <w:t>Initial draft &amp; MVP features definition.</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v2.0</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August 3, 2026</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Prathamesh Sawarkar</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Expanded to B2B enterprise specs, detailed API schemas, NAAC audits, DPDP Act 2023 controls, and Razorpay GST invoicing flows.</w:t>
            </w:r>
          </w:p>
        </w:tc>
      </w:tr>
    </w:tbl>
    <w:p>
      <w:r>
        <w:br w:type="page"/>
      </w:r>
    </w:p>
    <w:p>
      <w:pPr>
        <w:pStyle w:val="Heading1"/>
        <w:keepNext/>
        <w:spacing w:before="360" w:after="120"/>
      </w:pPr>
      <w:r>
        <w:rPr>
          <w:rFonts w:ascii="Arial" w:hAnsi="Arial"/>
          <w:b/>
          <w:color w:val="0A2540"/>
          <w:sz w:val="36"/>
        </w:rPr>
        <w:t>1. Executive Summary &amp; Product Vision</w:t>
      </w:r>
    </w:p>
    <w:p>
      <w:pPr>
        <w:spacing w:after="160" w:line="276" w:lineRule="auto"/>
      </w:pPr>
      <w:r>
        <w:rPr>
          <w:rFonts w:ascii="Calibri" w:hAnsi="Calibri"/>
          <w:b/>
          <w:color w:val="333333"/>
          <w:sz w:val="22"/>
        </w:rPr>
        <w:t xml:space="preserve">Product Vision: </w:t>
      </w:r>
      <w:r>
        <w:rPr>
          <w:rFonts w:ascii="Calibri" w:hAnsi="Calibri"/>
          <w:color w:val="333333"/>
          <w:sz w:val="22"/>
        </w:rPr>
        <w:t>CodeCanvas is an AI-powered code visualization and interactive tutoring SaaS platform designed specifically for higher education engineering colleges and universities in India. At its core, CodeCanvas bridges the critical gap between abstract programming concepts (memory models, variable state mutations, sorting algorithms, and database operations) and practical execution. It replaces standard command-line debuggers (like GDB/PDB) with an animated visual canvas, reducing student drop-out rates in computer science labs while automating accreditation audit documentation (NAAC/NBA).</w:t>
      </w:r>
    </w:p>
    <w:p>
      <w:pPr>
        <w:spacing w:after="160" w:line="276" w:lineRule="auto"/>
      </w:pPr>
      <w:r>
        <w:rPr>
          <w:rFonts w:ascii="Calibri" w:hAnsi="Calibri"/>
          <w:color w:val="333333"/>
          <w:sz w:val="22"/>
        </w:rPr>
        <w:t>By replacing traditional, complex local debuggers (like GDB or PDB) with an intuitive visual canvas, and substituting high-risk code execution servers with a secure, serverless AI execution emulator (llama-3.3-70b-versatile via Groq), CodeCanvas offers a secure, highly engaging educational platform. Furthermore, the platform acts as an administrative asset for institutions. It monitors student progress, logs coding telemetry, and compiles compliance reports directly mapped to National Assessment and Accreditation Council (NAAC) and National Board of Accreditation (NBA) criteria.</w:t>
      </w:r>
    </w:p>
    <w:tbl>
      <w:tblPr>
        <w:tblW w:type="auto" w:w="0"/>
        <w:jc w:val="center"/>
        <w:tblLayout w:type="fixed"/>
        <w:tblLook w:firstColumn="1" w:firstRow="1" w:lastColumn="0" w:lastRow="0" w:noHBand="0" w:noVBand="1" w:val="04A0"/>
      </w:tblPr>
      <w:tblGrid>
        <w:gridCol w:w="9360"/>
      </w:tblGrid>
      <w:tr>
        <w:tc>
          <w:tcPr>
            <w:tcW w:type="dxa" w:w="9360"/>
            <w:shd w:val="clear" w:color="auto" w:fill="FBFBFB"/>
            <w:tcBorders>
              <w:left w:val="single" w:sz="36" w:space="0" w:color="0A2540"/>
              <w:top w:val="nil"/>
              <w:bottom w:val="nil"/>
              <w:right w:val="nil"/>
            </w:tcBorders>
            <w:tcMar>
              <w:top w:w="140" w:type="dxa"/>
              <w:bottom w:w="140" w:type="dxa"/>
              <w:left w:w="200" w:type="dxa"/>
              <w:right w:w="180" w:type="dxa"/>
            </w:tcMar>
          </w:tcPr>
          <w:p>
            <w:pPr>
              <w:spacing w:before="0" w:after="80"/>
            </w:pPr>
            <w:r>
              <w:rPr>
                <w:rFonts w:ascii="Arial" w:hAnsi="Arial"/>
                <w:b/>
                <w:color w:val="0A2540"/>
                <w:sz w:val="20"/>
              </w:rPr>
              <w:t>CORE VALUE PROPOSITION</w:t>
              <w:br/>
            </w:r>
            <w:r>
              <w:rPr>
                <w:rFonts w:ascii="Calibri" w:hAnsi="Calibri"/>
                <w:color w:val="333333"/>
                <w:sz w:val="21"/>
              </w:rPr>
              <w:t>CodeCanvas solves two primary problems simultaneously: (1) it decreases student failure rates in foundational programming courses (Data Structures and Algorithms) by making memory models visible, and (2) it automates hundreds of faculty hours spent compiling accreditation paperwork (NAAC Criterion 2.3) through automatic student progression export.</w:t>
            </w:r>
          </w:p>
        </w:tc>
      </w:tr>
    </w:tbl>
    <w:p>
      <w:pPr>
        <w:spacing w:before="0" w:after="240"/>
      </w:pPr>
    </w:p>
    <w:p>
      <w:pPr>
        <w:pStyle w:val="Heading1"/>
        <w:keepNext/>
        <w:spacing w:before="360" w:after="120"/>
      </w:pPr>
      <w:r>
        <w:rPr>
          <w:rFonts w:ascii="Arial" w:hAnsi="Arial"/>
          <w:b/>
          <w:color w:val="0A2540"/>
          <w:sz w:val="36"/>
        </w:rPr>
        <w:t>2. Key Performance Indicators (KPIs) &amp; Product Success Metrics</w:t>
      </w:r>
    </w:p>
    <w:p>
      <w:pPr>
        <w:spacing w:after="160" w:line="276" w:lineRule="auto"/>
      </w:pPr>
      <w:r>
        <w:rPr>
          <w:rFonts w:ascii="Calibri" w:hAnsi="Calibri"/>
          <w:color w:val="333333"/>
          <w:sz w:val="22"/>
        </w:rPr>
        <w:t>To ensure product efficacy, system performance, and institutional alignment, we trace key performance metrics across three domains:</w:t>
      </w:r>
    </w:p>
    <w:tbl>
      <w:tblPr>
        <w:tblW w:type="auto" w:w="0"/>
        <w:jc w:val="center"/>
        <w:tblLayout w:type="fixed"/>
        <w:tblLook w:firstColumn="1" w:firstRow="1" w:lastColumn="0" w:lastRow="0" w:noHBand="0" w:noVBand="1" w:val="04A0"/>
      </w:tblPr>
      <w:tblGrid>
        <w:gridCol w:w="2592"/>
        <w:gridCol w:w="4608"/>
        <w:gridCol w:w="2160"/>
      </w:tblGrid>
      <w:tr>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Metric Domain</w:t>
            </w:r>
          </w:p>
        </w:tc>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Key Performance Indicator (KPI)</w:t>
            </w:r>
          </w:p>
        </w:tc>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Target Threshold</w:t>
            </w:r>
          </w:p>
        </w:tc>
      </w:tr>
      <w:tr>
        <w:tc>
          <w:tcPr>
            <w:tcW w:type="dxa" w:w="3120"/>
            <w:tcMar>
              <w:top w:w="100" w:type="dxa"/>
              <w:bottom w:w="100" w:type="dxa"/>
              <w:left w:w="150" w:type="dxa"/>
              <w:right w:w="150" w:type="dxa"/>
            </w:tcMar>
            <w:tcBorders>
              <w:bottom w:val="single" w:sz="4" w:color="E2E8F0"/>
              <w:left w:val="nil"/>
              <w:right w:val="nil"/>
              <w:top w:val="nil"/>
            </w:tcBorders>
          </w:tcPr>
          <w:p>
            <w:r>
              <w:t>Student Engagement</w:t>
            </w:r>
          </w:p>
        </w:tc>
        <w:tc>
          <w:tcPr>
            <w:tcW w:type="dxa" w:w="3120"/>
            <w:tcMar>
              <w:top w:w="100" w:type="dxa"/>
              <w:bottom w:w="100" w:type="dxa"/>
              <w:left w:w="150" w:type="dxa"/>
              <w:right w:w="150" w:type="dxa"/>
            </w:tcMar>
            <w:tcBorders>
              <w:bottom w:val="single" w:sz="4" w:color="E2E8F0"/>
              <w:left w:val="nil"/>
              <w:right w:val="nil"/>
              <w:top w:val="nil"/>
            </w:tcBorders>
          </w:tcPr>
          <w:p>
            <w:r>
              <w:t>Daily Active Users / Monthly Active Users (DAU/MAU)</w:t>
            </w:r>
          </w:p>
        </w:tc>
        <w:tc>
          <w:tcPr>
            <w:tcW w:type="dxa" w:w="3120"/>
            <w:tcMar>
              <w:top w:w="100" w:type="dxa"/>
              <w:bottom w:w="100" w:type="dxa"/>
              <w:left w:w="150" w:type="dxa"/>
              <w:right w:w="150" w:type="dxa"/>
            </w:tcMar>
            <w:tcBorders>
              <w:bottom w:val="single" w:sz="4" w:color="E2E8F0"/>
              <w:left w:val="nil"/>
              <w:right w:val="nil"/>
              <w:top w:val="nil"/>
            </w:tcBorders>
          </w:tcPr>
          <w:p>
            <w:r>
              <w:t>&gt;= 40% cohort size</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Student Engagement</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Trace Completion Rate (steps completed vs started)</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&gt;= 85%</w:t>
            </w:r>
          </w:p>
        </w:tc>
      </w:tr>
      <w:tr>
        <w:tc>
          <w:tcPr>
            <w:tcW w:type="dxa" w:w="3120"/>
            <w:tcMar>
              <w:top w:w="100" w:type="dxa"/>
              <w:bottom w:w="100" w:type="dxa"/>
              <w:left w:w="150" w:type="dxa"/>
              <w:right w:w="150" w:type="dxa"/>
            </w:tcMar>
            <w:tcBorders>
              <w:bottom w:val="single" w:sz="4" w:color="E2E8F0"/>
              <w:left w:val="nil"/>
              <w:right w:val="nil"/>
              <w:top w:val="nil"/>
            </w:tcBorders>
          </w:tcPr>
          <w:p>
            <w:r>
              <w:t>Student Engagement</w:t>
            </w:r>
          </w:p>
        </w:tc>
        <w:tc>
          <w:tcPr>
            <w:tcW w:type="dxa" w:w="3120"/>
            <w:tcMar>
              <w:top w:w="100" w:type="dxa"/>
              <w:bottom w:w="100" w:type="dxa"/>
              <w:left w:w="150" w:type="dxa"/>
              <w:right w:w="150" w:type="dxa"/>
            </w:tcMar>
            <w:tcBorders>
              <w:bottom w:val="single" w:sz="4" w:color="E2E8F0"/>
              <w:left w:val="nil"/>
              <w:right w:val="nil"/>
              <w:top w:val="nil"/>
            </w:tcBorders>
          </w:tcPr>
          <w:p>
            <w:r>
              <w:t>Retention &amp; Coding Streak Maintenance (&gt;= 5 days active)</w:t>
            </w:r>
          </w:p>
        </w:tc>
        <w:tc>
          <w:tcPr>
            <w:tcW w:type="dxa" w:w="3120"/>
            <w:tcMar>
              <w:top w:w="100" w:type="dxa"/>
              <w:bottom w:w="100" w:type="dxa"/>
              <w:left w:w="150" w:type="dxa"/>
              <w:right w:w="150" w:type="dxa"/>
            </w:tcMar>
            <w:tcBorders>
              <w:bottom w:val="single" w:sz="4" w:color="E2E8F0"/>
              <w:left w:val="nil"/>
              <w:right w:val="nil"/>
              <w:top w:val="nil"/>
            </w:tcBorders>
          </w:tcPr>
          <w:p>
            <w:r>
              <w:t>&gt;= 30%</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Pedagogical Outcome</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Concept Comprehension Gain (Pre- vs. Post-Test difference)</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&gt;= 25% improvement</w:t>
            </w:r>
          </w:p>
        </w:tc>
      </w:tr>
      <w:tr>
        <w:tc>
          <w:tcPr>
            <w:tcW w:type="dxa" w:w="3120"/>
            <w:tcMar>
              <w:top w:w="100" w:type="dxa"/>
              <w:bottom w:w="100" w:type="dxa"/>
              <w:left w:w="150" w:type="dxa"/>
              <w:right w:w="150" w:type="dxa"/>
            </w:tcMar>
            <w:tcBorders>
              <w:bottom w:val="single" w:sz="4" w:color="E2E8F0"/>
              <w:left w:val="nil"/>
              <w:right w:val="nil"/>
              <w:top w:val="nil"/>
            </w:tcBorders>
          </w:tcPr>
          <w:p>
            <w:r>
              <w:t>Pedagogical Outcome</w:t>
            </w:r>
          </w:p>
        </w:tc>
        <w:tc>
          <w:tcPr>
            <w:tcW w:type="dxa" w:w="3120"/>
            <w:tcMar>
              <w:top w:w="100" w:type="dxa"/>
              <w:bottom w:w="100" w:type="dxa"/>
              <w:left w:w="150" w:type="dxa"/>
              <w:right w:w="150" w:type="dxa"/>
            </w:tcMar>
            <w:tcBorders>
              <w:bottom w:val="single" w:sz="4" w:color="E2E8F0"/>
              <w:left w:val="nil"/>
              <w:right w:val="nil"/>
              <w:top w:val="nil"/>
            </w:tcBorders>
          </w:tcPr>
          <w:p>
            <w:r>
              <w:t>AI Grading Correlation Coefficient (r) with Instructor grades</w:t>
            </w:r>
          </w:p>
        </w:tc>
        <w:tc>
          <w:tcPr>
            <w:tcW w:type="dxa" w:w="3120"/>
            <w:tcMar>
              <w:top w:w="100" w:type="dxa"/>
              <w:bottom w:w="100" w:type="dxa"/>
              <w:left w:w="150" w:type="dxa"/>
              <w:right w:w="150" w:type="dxa"/>
            </w:tcMar>
            <w:tcBorders>
              <w:bottom w:val="single" w:sz="4" w:color="E2E8F0"/>
              <w:left w:val="nil"/>
              <w:right w:val="nil"/>
              <w:top w:val="nil"/>
            </w:tcBorders>
          </w:tcPr>
          <w:p>
            <w:r>
              <w:t>r &gt;= 0.85</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Pedagogical Outcome</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AI Chat Session Self-Resolution Rate (no teacher escalation)</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&gt;= 90%</w:t>
            </w:r>
          </w:p>
        </w:tc>
      </w:tr>
      <w:tr>
        <w:tc>
          <w:tcPr>
            <w:tcW w:type="dxa" w:w="3120"/>
            <w:tcMar>
              <w:top w:w="100" w:type="dxa"/>
              <w:bottom w:w="100" w:type="dxa"/>
              <w:left w:w="150" w:type="dxa"/>
              <w:right w:w="150" w:type="dxa"/>
            </w:tcMar>
            <w:tcBorders>
              <w:bottom w:val="single" w:sz="4" w:color="E2E8F0"/>
              <w:left w:val="nil"/>
              <w:right w:val="nil"/>
              <w:top w:val="nil"/>
            </w:tcBorders>
          </w:tcPr>
          <w:p>
            <w:r>
              <w:t>Technical Performance</w:t>
            </w:r>
          </w:p>
        </w:tc>
        <w:tc>
          <w:tcPr>
            <w:tcW w:type="dxa" w:w="3120"/>
            <w:tcMar>
              <w:top w:w="100" w:type="dxa"/>
              <w:bottom w:w="100" w:type="dxa"/>
              <w:left w:w="150" w:type="dxa"/>
              <w:right w:w="150" w:type="dxa"/>
            </w:tcMar>
            <w:tcBorders>
              <w:bottom w:val="single" w:sz="4" w:color="E2E8F0"/>
              <w:left w:val="nil"/>
              <w:right w:val="nil"/>
              <w:top w:val="nil"/>
            </w:tcBorders>
          </w:tcPr>
          <w:p>
            <w:r>
              <w:t>API Call Latency (llama-3.3-70b-versatile via Groq response)</w:t>
            </w:r>
          </w:p>
        </w:tc>
        <w:tc>
          <w:tcPr>
            <w:tcW w:type="dxa" w:w="3120"/>
            <w:tcMar>
              <w:top w:w="100" w:type="dxa"/>
              <w:bottom w:w="100" w:type="dxa"/>
              <w:left w:w="150" w:type="dxa"/>
              <w:right w:w="150" w:type="dxa"/>
            </w:tcMar>
            <w:tcBorders>
              <w:bottom w:val="single" w:sz="4" w:color="E2E8F0"/>
              <w:left w:val="nil"/>
              <w:right w:val="nil"/>
              <w:top w:val="nil"/>
            </w:tcBorders>
          </w:tcPr>
          <w:p>
            <w:r>
              <w:t>&lt;= 2.0s (95th percentile)</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Technical Performance</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Visual Step Animation Transition Smoothness</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&gt;= 60 fps</w:t>
            </w:r>
          </w:p>
        </w:tc>
      </w:tr>
      <w:tr>
        <w:tc>
          <w:tcPr>
            <w:tcW w:type="dxa" w:w="3120"/>
            <w:tcMar>
              <w:top w:w="100" w:type="dxa"/>
              <w:bottom w:w="100" w:type="dxa"/>
              <w:left w:w="150" w:type="dxa"/>
              <w:right w:w="150" w:type="dxa"/>
            </w:tcMar>
            <w:tcBorders>
              <w:bottom w:val="single" w:sz="4" w:color="E2E8F0"/>
              <w:left w:val="nil"/>
              <w:right w:val="nil"/>
              <w:top w:val="nil"/>
            </w:tcBorders>
          </w:tcPr>
          <w:p>
            <w:r>
              <w:t>Technical Performance</w:t>
            </w:r>
          </w:p>
        </w:tc>
        <w:tc>
          <w:tcPr>
            <w:tcW w:type="dxa" w:w="3120"/>
            <w:tcMar>
              <w:top w:w="100" w:type="dxa"/>
              <w:bottom w:w="100" w:type="dxa"/>
              <w:left w:w="150" w:type="dxa"/>
              <w:right w:w="150" w:type="dxa"/>
            </w:tcMar>
            <w:tcBorders>
              <w:bottom w:val="single" w:sz="4" w:color="E2E8F0"/>
              <w:left w:val="nil"/>
              <w:right w:val="nil"/>
              <w:top w:val="nil"/>
            </w:tcBorders>
          </w:tcPr>
          <w:p>
            <w:r>
              <w:t>SLA System Availability / Core Platform Uptime</w:t>
            </w:r>
          </w:p>
        </w:tc>
        <w:tc>
          <w:tcPr>
            <w:tcW w:type="dxa" w:w="3120"/>
            <w:tcMar>
              <w:top w:w="100" w:type="dxa"/>
              <w:bottom w:w="100" w:type="dxa"/>
              <w:left w:w="150" w:type="dxa"/>
              <w:right w:w="150" w:type="dxa"/>
            </w:tcMar>
            <w:tcBorders>
              <w:bottom w:val="single" w:sz="4" w:color="E2E8F0"/>
              <w:left w:val="nil"/>
              <w:right w:val="nil"/>
              <w:top w:val="nil"/>
            </w:tcBorders>
          </w:tcPr>
          <w:p>
            <w:r>
              <w:t>99.99%</w:t>
            </w:r>
          </w:p>
        </w:tc>
      </w:tr>
    </w:tbl>
    <w:p>
      <w:r>
        <w:br w:type="page"/>
      </w:r>
    </w:p>
    <w:p>
      <w:pPr>
        <w:pStyle w:val="Heading1"/>
        <w:keepNext/>
        <w:spacing w:before="360" w:after="120"/>
      </w:pPr>
      <w:r>
        <w:rPr>
          <w:rFonts w:ascii="Arial" w:hAnsi="Arial"/>
          <w:b/>
          <w:color w:val="0A2540"/>
          <w:sz w:val="36"/>
        </w:rPr>
        <w:t>3. Personas &amp; Stakeholder User Scenarios</w:t>
      </w:r>
    </w:p>
    <w:p>
      <w:pPr>
        <w:spacing w:after="160" w:line="276" w:lineRule="auto"/>
      </w:pPr>
      <w:r>
        <w:rPr>
          <w:rFonts w:ascii="Calibri" w:hAnsi="Calibri"/>
          <w:color w:val="333333"/>
          <w:sz w:val="22"/>
        </w:rPr>
        <w:t>The system's user experience is tailored around three key roles within the university framework:</w:t>
      </w:r>
    </w:p>
    <w:p>
      <w:pPr>
        <w:pStyle w:val="ListBullet"/>
        <w:spacing w:after="160" w:line="276" w:lineRule="auto"/>
      </w:pPr>
      <w:r>
        <w:rPr>
          <w:rFonts w:ascii="Calibri" w:hAnsi="Calibri"/>
          <w:b/>
          <w:color w:val="333333"/>
          <w:sz w:val="22"/>
        </w:rPr>
        <w:t xml:space="preserve">Student Persona: </w:t>
      </w:r>
      <w:r>
        <w:rPr>
          <w:rFonts w:ascii="Calibri" w:hAnsi="Calibri"/>
          <w:color w:val="333333"/>
          <w:sz w:val="22"/>
        </w:rPr>
        <w:t>1. Aarav (Engineering Student): Needs to visualize recursion stacks, variables, and pointers to pass exams. He works late at night and requires immediate help when stuck.</w:t>
      </w:r>
    </w:p>
    <w:p>
      <w:pPr>
        <w:pStyle w:val="ListBullet"/>
        <w:spacing w:after="160" w:line="276" w:lineRule="auto"/>
      </w:pPr>
      <w:r>
        <w:rPr>
          <w:rFonts w:ascii="Calibri" w:hAnsi="Calibri"/>
          <w:b/>
          <w:color w:val="333333"/>
          <w:sz w:val="22"/>
        </w:rPr>
        <w:t xml:space="preserve">Faculty Persona: </w:t>
      </w:r>
      <w:r>
        <w:rPr>
          <w:rFonts w:ascii="Calibri" w:hAnsi="Calibri"/>
          <w:color w:val="333333"/>
          <w:sz w:val="22"/>
        </w:rPr>
        <w:t>2. Dr. Meera (CS Department Lab Professor): Handles hundreds of students and multiple course files. She wants to set coding tasks, auto-grade traces, and export student performance records without manual paperwork.</w:t>
      </w:r>
    </w:p>
    <w:p>
      <w:pPr>
        <w:pStyle w:val="ListBullet"/>
        <w:spacing w:after="160" w:line="276" w:lineRule="auto"/>
      </w:pPr>
      <w:r>
        <w:rPr>
          <w:rFonts w:ascii="Calibri" w:hAnsi="Calibri"/>
          <w:b/>
          <w:color w:val="333333"/>
          <w:sz w:val="22"/>
        </w:rPr>
        <w:t xml:space="preserve">Administrator Persona: </w:t>
      </w:r>
      <w:r>
        <w:rPr>
          <w:rFonts w:ascii="Calibri" w:hAnsi="Calibri"/>
          <w:color w:val="333333"/>
          <w:sz w:val="22"/>
        </w:rPr>
        <w:t>3. Dean Dr. Sharma (Dean of Academics): Focuses on improving university results, maintaining security certifications, and securing high scores on accreditation evaluations (NAAC/NBA).</w:t>
      </w:r>
    </w:p>
    <w:p>
      <w:pPr>
        <w:pStyle w:val="Heading1"/>
        <w:keepNext/>
        <w:spacing w:before="360" w:after="120"/>
      </w:pPr>
      <w:r>
        <w:rPr>
          <w:rFonts w:ascii="Arial" w:hAnsi="Arial"/>
          <w:b/>
          <w:color w:val="0A2540"/>
          <w:sz w:val="36"/>
        </w:rPr>
        <w:t>4. MoSCoW Feature Matrix &amp; Prioritization</w:t>
      </w:r>
    </w:p>
    <w:tbl>
      <w:tblPr>
        <w:tblW w:type="auto" w:w="0"/>
        <w:jc w:val="center"/>
        <w:tblLayout w:type="fixed"/>
        <w:tblLook w:firstColumn="1" w:firstRow="1" w:lastColumn="0" w:lastRow="0" w:noHBand="0" w:noVBand="1" w:val="04A0"/>
      </w:tblPr>
      <w:tblGrid>
        <w:gridCol w:w="2592"/>
        <w:gridCol w:w="3888"/>
        <w:gridCol w:w="1584"/>
        <w:gridCol w:w="1296"/>
      </w:tblGrid>
      <w:tr>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Feature Module</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Functional Specifications &amp; Core Capabilities</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Target Persona</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MoSCoW Category</w:t>
            </w:r>
          </w:p>
        </w:tc>
      </w:tr>
      <w:tr>
        <w:tc>
          <w:tcPr>
            <w:tcW w:type="dxa" w:w="2340"/>
            <w:tcMar>
              <w:top w:w="100" w:type="dxa"/>
              <w:bottom w:w="100" w:type="dxa"/>
              <w:left w:w="150" w:type="dxa"/>
              <w:right w:w="150" w:type="dxa"/>
            </w:tcMar>
            <w:tcBorders>
              <w:bottom w:val="single" w:sz="4" w:color="E2E8F0"/>
              <w:left w:val="nil"/>
              <w:right w:val="nil"/>
              <w:top w:val="nil"/>
            </w:tcBorders>
          </w:tcPr>
          <w:p>
            <w:r>
              <w:t>Monaco Editor Integration</w:t>
            </w:r>
          </w:p>
        </w:tc>
        <w:tc>
          <w:tcPr>
            <w:tcW w:type="dxa" w:w="2340"/>
            <w:tcMar>
              <w:top w:w="100" w:type="dxa"/>
              <w:bottom w:w="100" w:type="dxa"/>
              <w:left w:w="150" w:type="dxa"/>
              <w:right w:w="150" w:type="dxa"/>
            </w:tcMar>
            <w:tcBorders>
              <w:bottom w:val="single" w:sz="4" w:color="E2E8F0"/>
              <w:left w:val="nil"/>
              <w:right w:val="nil"/>
              <w:top w:val="nil"/>
            </w:tcBorders>
          </w:tcPr>
          <w:p>
            <w:r>
              <w:t>Embeds a robust code editor with syntax highlighting, autocomplete, and auto-indentation for C, C++, Python, and SQL.</w:t>
            </w:r>
          </w:p>
        </w:tc>
        <w:tc>
          <w:tcPr>
            <w:tcW w:type="dxa" w:w="2340"/>
            <w:tcMar>
              <w:top w:w="100" w:type="dxa"/>
              <w:bottom w:w="100" w:type="dxa"/>
              <w:left w:w="150" w:type="dxa"/>
              <w:right w:w="150" w:type="dxa"/>
            </w:tcMar>
            <w:tcBorders>
              <w:bottom w:val="single" w:sz="4" w:color="E2E8F0"/>
              <w:left w:val="nil"/>
              <w:right w:val="nil"/>
              <w:top w:val="nil"/>
            </w:tcBorders>
          </w:tcPr>
          <w:p>
            <w:r>
              <w:t>Student</w:t>
            </w:r>
          </w:p>
        </w:tc>
        <w:tc>
          <w:tcPr>
            <w:tcW w:type="dxa" w:w="2340"/>
            <w:tcMar>
              <w:top w:w="100" w:type="dxa"/>
              <w:bottom w:w="100" w:type="dxa"/>
              <w:left w:w="150" w:type="dxa"/>
              <w:right w:w="150" w:type="dxa"/>
            </w:tcMar>
            <w:tcBorders>
              <w:bottom w:val="single" w:sz="4" w:color="E2E8F0"/>
              <w:left w:val="nil"/>
              <w:right w:val="nil"/>
              <w:top w:val="nil"/>
            </w:tcBorders>
          </w:tcPr>
          <w:p>
            <w:r>
              <w:t>Must-Have</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AI-Simulated Visualizer Engine</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FastAPI backend packages code and queries Groq's llama-3.3-70b-versatile model. Returns structured JSON containing step-by-step program states, preventing dangerous server-side execution of student scripts.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Student</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Must-Have</w:t>
            </w:r>
          </w:p>
        </w:tc>
      </w:tr>
      <w:tr>
        <w:tc>
          <w:tcPr>
            <w:tcW w:type="dxa" w:w="2340"/>
            <w:tcMar>
              <w:top w:w="100" w:type="dxa"/>
              <w:bottom w:w="100" w:type="dxa"/>
              <w:left w:w="150" w:type="dxa"/>
              <w:right w:w="150" w:type="dxa"/>
            </w:tcMar>
            <w:tcBorders>
              <w:bottom w:val="single" w:sz="4" w:color="E2E8F0"/>
              <w:left w:val="nil"/>
              <w:right w:val="nil"/>
              <w:top w:val="nil"/>
            </w:tcBorders>
          </w:tcPr>
          <w:p>
            <w:r>
              <w:t>10 Animated Visualizer Canvases</w:t>
            </w:r>
          </w:p>
        </w:tc>
        <w:tc>
          <w:tcPr>
            <w:tcW w:type="dxa" w:w="2340"/>
            <w:tcMar>
              <w:top w:w="100" w:type="dxa"/>
              <w:bottom w:w="100" w:type="dxa"/>
              <w:left w:w="150" w:type="dxa"/>
              <w:right w:w="150" w:type="dxa"/>
            </w:tcMar>
            <w:tcBorders>
              <w:bottom w:val="single" w:sz="4" w:color="E2E8F0"/>
              <w:left w:val="nil"/>
              <w:right w:val="nil"/>
              <w:top w:val="nil"/>
            </w:tcBorders>
          </w:tcPr>
          <w:p>
            <w:r>
              <w:t>React-based custom visualizers animating states for: Arrays, Sorting, Stacks, Queues, Linked Lists, Binary Trees, Graphs, Recursion, SQL tables, and general Variable Boards.</w:t>
            </w:r>
          </w:p>
        </w:tc>
        <w:tc>
          <w:tcPr>
            <w:tcW w:type="dxa" w:w="2340"/>
            <w:tcMar>
              <w:top w:w="100" w:type="dxa"/>
              <w:bottom w:w="100" w:type="dxa"/>
              <w:left w:w="150" w:type="dxa"/>
              <w:right w:w="150" w:type="dxa"/>
            </w:tcMar>
            <w:tcBorders>
              <w:bottom w:val="single" w:sz="4" w:color="E2E8F0"/>
              <w:left w:val="nil"/>
              <w:right w:val="nil"/>
              <w:top w:val="nil"/>
            </w:tcBorders>
          </w:tcPr>
          <w:p>
            <w:r>
              <w:t>Student</w:t>
            </w:r>
          </w:p>
        </w:tc>
        <w:tc>
          <w:tcPr>
            <w:tcW w:type="dxa" w:w="2340"/>
            <w:tcMar>
              <w:top w:w="100" w:type="dxa"/>
              <w:bottom w:w="100" w:type="dxa"/>
              <w:left w:w="150" w:type="dxa"/>
              <w:right w:w="150" w:type="dxa"/>
            </w:tcMar>
            <w:tcBorders>
              <w:bottom w:val="single" w:sz="4" w:color="E2E8F0"/>
              <w:left w:val="nil"/>
              <w:right w:val="nil"/>
              <w:top w:val="nil"/>
            </w:tcBorders>
          </w:tcPr>
          <w:p>
            <w:r>
              <w:t>Must-Have</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Interactive Graph Creator</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Canvas layout enabling students to click to spawn vertices and drag connections to draw custom graphs. Automatically compiles Python graph adjacency lists.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Student</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Must-Have</w:t>
            </w:r>
          </w:p>
        </w:tc>
      </w:tr>
      <w:tr>
        <w:tc>
          <w:tcPr>
            <w:tcW w:type="dxa" w:w="2340"/>
            <w:tcMar>
              <w:top w:w="100" w:type="dxa"/>
              <w:bottom w:w="100" w:type="dxa"/>
              <w:left w:w="150" w:type="dxa"/>
              <w:right w:w="150" w:type="dxa"/>
            </w:tcMar>
            <w:tcBorders>
              <w:bottom w:val="single" w:sz="4" w:color="E2E8F0"/>
              <w:left w:val="nil"/>
              <w:right w:val="nil"/>
              <w:top w:val="nil"/>
            </w:tcBorders>
          </w:tcPr>
          <w:p>
            <w:r>
              <w:t>Contextual AI Tutor Sidebar</w:t>
            </w:r>
          </w:p>
        </w:tc>
        <w:tc>
          <w:tcPr>
            <w:tcW w:type="dxa" w:w="2340"/>
            <w:tcMar>
              <w:top w:w="100" w:type="dxa"/>
              <w:bottom w:w="100" w:type="dxa"/>
              <w:left w:w="150" w:type="dxa"/>
              <w:right w:w="150" w:type="dxa"/>
            </w:tcMar>
            <w:tcBorders>
              <w:bottom w:val="single" w:sz="4" w:color="E2E8F0"/>
              <w:left w:val="nil"/>
              <w:right w:val="nil"/>
              <w:top w:val="nil"/>
            </w:tcBorders>
          </w:tcPr>
          <w:p>
            <w:r>
              <w:t>Slide-out AI Chatbot matching student query against their specific code and exact execution step, pointing out mistakes without giving direct answers.</w:t>
            </w:r>
          </w:p>
        </w:tc>
        <w:tc>
          <w:tcPr>
            <w:tcW w:type="dxa" w:w="2340"/>
            <w:tcMar>
              <w:top w:w="100" w:type="dxa"/>
              <w:bottom w:w="100" w:type="dxa"/>
              <w:left w:w="150" w:type="dxa"/>
              <w:right w:w="150" w:type="dxa"/>
            </w:tcMar>
            <w:tcBorders>
              <w:bottom w:val="single" w:sz="4" w:color="E2E8F0"/>
              <w:left w:val="nil"/>
              <w:right w:val="nil"/>
              <w:top w:val="nil"/>
            </w:tcBorders>
          </w:tcPr>
          <w:p>
            <w:r>
              <w:t>Student</w:t>
            </w:r>
          </w:p>
        </w:tc>
        <w:tc>
          <w:tcPr>
            <w:tcW w:type="dxa" w:w="2340"/>
            <w:tcMar>
              <w:top w:w="100" w:type="dxa"/>
              <w:bottom w:w="100" w:type="dxa"/>
              <w:left w:w="150" w:type="dxa"/>
              <w:right w:w="150" w:type="dxa"/>
            </w:tcMar>
            <w:tcBorders>
              <w:bottom w:val="single" w:sz="4" w:color="E2E8F0"/>
              <w:left w:val="nil"/>
              <w:right w:val="nil"/>
              <w:top w:val="nil"/>
            </w:tcBorders>
          </w:tcPr>
          <w:p>
            <w:r>
              <w:t>Must-Have</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One-Click Shareable Links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Encodes code/visualizer state into a base64 string or unique DB slug, facilitating instant link sharing among students and professors.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Student / Teacher</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Must-Have</w:t>
            </w:r>
          </w:p>
        </w:tc>
      </w:tr>
      <w:tr>
        <w:tc>
          <w:tcPr>
            <w:tcW w:type="dxa" w:w="2340"/>
            <w:tcMar>
              <w:top w:w="100" w:type="dxa"/>
              <w:bottom w:w="100" w:type="dxa"/>
              <w:left w:w="150" w:type="dxa"/>
              <w:right w:w="150" w:type="dxa"/>
            </w:tcMar>
            <w:tcBorders>
              <w:bottom w:val="single" w:sz="4" w:color="E2E8F0"/>
              <w:left w:val="nil"/>
              <w:right w:val="nil"/>
              <w:top w:val="nil"/>
            </w:tcBorders>
          </w:tcPr>
          <w:p>
            <w:r>
              <w:t>Multi-Tenant Classrooms</w:t>
            </w:r>
          </w:p>
        </w:tc>
        <w:tc>
          <w:tcPr>
            <w:tcW w:type="dxa" w:w="2340"/>
            <w:tcMar>
              <w:top w:w="100" w:type="dxa"/>
              <w:bottom w:w="100" w:type="dxa"/>
              <w:left w:w="150" w:type="dxa"/>
              <w:right w:w="150" w:type="dxa"/>
            </w:tcMar>
            <w:tcBorders>
              <w:bottom w:val="single" w:sz="4" w:color="E2E8F0"/>
              <w:left w:val="nil"/>
              <w:right w:val="nil"/>
              <w:top w:val="nil"/>
            </w:tcBorders>
          </w:tcPr>
          <w:p>
            <w:r>
              <w:t>Enables teachers to spawn unique classrooms with individual invite codes. Students input invite codes to enroll, populating a roster index.</w:t>
            </w:r>
          </w:p>
        </w:tc>
        <w:tc>
          <w:tcPr>
            <w:tcW w:type="dxa" w:w="2340"/>
            <w:tcMar>
              <w:top w:w="100" w:type="dxa"/>
              <w:bottom w:w="100" w:type="dxa"/>
              <w:left w:w="150" w:type="dxa"/>
              <w:right w:w="150" w:type="dxa"/>
            </w:tcMar>
            <w:tcBorders>
              <w:bottom w:val="single" w:sz="4" w:color="E2E8F0"/>
              <w:left w:val="nil"/>
              <w:right w:val="nil"/>
              <w:top w:val="nil"/>
            </w:tcBorders>
          </w:tcPr>
          <w:p>
            <w:r>
              <w:t>Teacher / Student</w:t>
            </w:r>
          </w:p>
        </w:tc>
        <w:tc>
          <w:tcPr>
            <w:tcW w:type="dxa" w:w="2340"/>
            <w:tcMar>
              <w:top w:w="100" w:type="dxa"/>
              <w:bottom w:w="100" w:type="dxa"/>
              <w:left w:w="150" w:type="dxa"/>
              <w:right w:w="150" w:type="dxa"/>
            </w:tcMar>
            <w:tcBorders>
              <w:bottom w:val="single" w:sz="4" w:color="E2E8F0"/>
              <w:left w:val="nil"/>
              <w:right w:val="nil"/>
              <w:top w:val="nil"/>
            </w:tcBorders>
          </w:tcPr>
          <w:p>
            <w:r>
              <w:t>Should-Have</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Assignments &amp; Deadlines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Enables professors to publish template code assignments with specific deadlines, maximum XP values, and course code links.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Teacher / Student</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Should-Have</w:t>
            </w:r>
          </w:p>
        </w:tc>
      </w:tr>
      <w:tr>
        <w:tc>
          <w:tcPr>
            <w:tcW w:type="dxa" w:w="2340"/>
            <w:tcMar>
              <w:top w:w="100" w:type="dxa"/>
              <w:bottom w:w="100" w:type="dxa"/>
              <w:left w:w="150" w:type="dxa"/>
              <w:right w:w="150" w:type="dxa"/>
            </w:tcMar>
            <w:tcBorders>
              <w:bottom w:val="single" w:sz="4" w:color="E2E8F0"/>
              <w:left w:val="nil"/>
              <w:right w:val="nil"/>
              <w:top w:val="nil"/>
            </w:tcBorders>
          </w:tcPr>
          <w:p>
            <w:r>
              <w:t>Accreditation Export Engine</w:t>
            </w:r>
          </w:p>
        </w:tc>
        <w:tc>
          <w:tcPr>
            <w:tcW w:type="dxa" w:w="2340"/>
            <w:tcMar>
              <w:top w:w="100" w:type="dxa"/>
              <w:bottom w:w="100" w:type="dxa"/>
              <w:left w:w="150" w:type="dxa"/>
              <w:right w:w="150" w:type="dxa"/>
            </w:tcMar>
            <w:tcBorders>
              <w:bottom w:val="single" w:sz="4" w:color="E2E8F0"/>
              <w:left w:val="nil"/>
              <w:right w:val="nil"/>
              <w:top w:val="nil"/>
            </w:tcBorders>
          </w:tcPr>
          <w:p>
            <w:r>
              <w:t>One-click CSV/PDF generator that prints student enrollment rosters, cumulative grades, streak days, and syllabus completion mapped to NAAC criteria.</w:t>
            </w:r>
          </w:p>
        </w:tc>
        <w:tc>
          <w:tcPr>
            <w:tcW w:type="dxa" w:w="2340"/>
            <w:tcMar>
              <w:top w:w="100" w:type="dxa"/>
              <w:bottom w:w="100" w:type="dxa"/>
              <w:left w:w="150" w:type="dxa"/>
              <w:right w:w="150" w:type="dxa"/>
            </w:tcMar>
            <w:tcBorders>
              <w:bottom w:val="single" w:sz="4" w:color="E2E8F0"/>
              <w:left w:val="nil"/>
              <w:right w:val="nil"/>
              <w:top w:val="nil"/>
            </w:tcBorders>
          </w:tcPr>
          <w:p>
            <w:r>
              <w:t>HOD / Dean</w:t>
            </w:r>
          </w:p>
        </w:tc>
        <w:tc>
          <w:tcPr>
            <w:tcW w:type="dxa" w:w="2340"/>
            <w:tcMar>
              <w:top w:w="100" w:type="dxa"/>
              <w:bottom w:w="100" w:type="dxa"/>
              <w:left w:w="150" w:type="dxa"/>
              <w:right w:w="150" w:type="dxa"/>
            </w:tcMar>
            <w:tcBorders>
              <w:bottom w:val="single" w:sz="4" w:color="E2E8F0"/>
              <w:left w:val="nil"/>
              <w:right w:val="nil"/>
              <w:top w:val="nil"/>
            </w:tcBorders>
          </w:tcPr>
          <w:p>
            <w:r>
              <w:t>Should-Have</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LTI 1.3 LMS Passback</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Integration with standard LMS providers (Canvas, Blackboard, Moodle) to automatically sync classroom rosters and send back assignment grades.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Teacher</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Could-Have</w:t>
            </w:r>
          </w:p>
        </w:tc>
      </w:tr>
      <w:tr>
        <w:tc>
          <w:tcPr>
            <w:tcW w:type="dxa" w:w="2340"/>
            <w:tcMar>
              <w:top w:w="100" w:type="dxa"/>
              <w:bottom w:w="100" w:type="dxa"/>
              <w:left w:w="150" w:type="dxa"/>
              <w:right w:w="150" w:type="dxa"/>
            </w:tcMar>
            <w:tcBorders>
              <w:bottom w:val="single" w:sz="4" w:color="E2E8F0"/>
              <w:left w:val="nil"/>
              <w:right w:val="nil"/>
              <w:top w:val="nil"/>
            </w:tcBorders>
          </w:tcPr>
          <w:p>
            <w:r>
              <w:t>Cryptographic Certificate Modal</w:t>
            </w:r>
          </w:p>
        </w:tc>
        <w:tc>
          <w:tcPr>
            <w:tcW w:type="dxa" w:w="2340"/>
            <w:tcMar>
              <w:top w:w="100" w:type="dxa"/>
              <w:bottom w:w="100" w:type="dxa"/>
              <w:left w:w="150" w:type="dxa"/>
              <w:right w:w="150" w:type="dxa"/>
            </w:tcMar>
            <w:tcBorders>
              <w:bottom w:val="single" w:sz="4" w:color="E2E8F0"/>
              <w:left w:val="nil"/>
              <w:right w:val="nil"/>
              <w:top w:val="nil"/>
            </w:tcBorders>
          </w:tcPr>
          <w:p>
            <w:r>
              <w:t>Generates NAAC-ready verified credentials and digital certifications for students showing topic completion, shareable on LinkedIn.</w:t>
            </w:r>
          </w:p>
        </w:tc>
        <w:tc>
          <w:tcPr>
            <w:tcW w:type="dxa" w:w="2340"/>
            <w:tcMar>
              <w:top w:w="100" w:type="dxa"/>
              <w:bottom w:w="100" w:type="dxa"/>
              <w:left w:w="150" w:type="dxa"/>
              <w:right w:w="150" w:type="dxa"/>
            </w:tcMar>
            <w:tcBorders>
              <w:bottom w:val="single" w:sz="4" w:color="E2E8F0"/>
              <w:left w:val="nil"/>
              <w:right w:val="nil"/>
              <w:top w:val="nil"/>
            </w:tcBorders>
          </w:tcPr>
          <w:p>
            <w:r>
              <w:t>Student</w:t>
            </w:r>
          </w:p>
        </w:tc>
        <w:tc>
          <w:tcPr>
            <w:tcW w:type="dxa" w:w="2340"/>
            <w:tcMar>
              <w:top w:w="100" w:type="dxa"/>
              <w:bottom w:w="100" w:type="dxa"/>
              <w:left w:w="150" w:type="dxa"/>
              <w:right w:w="150" w:type="dxa"/>
            </w:tcMar>
            <w:tcBorders>
              <w:bottom w:val="single" w:sz="4" w:color="E2E8F0"/>
              <w:left w:val="nil"/>
              <w:right w:val="nil"/>
              <w:top w:val="nil"/>
            </w:tcBorders>
          </w:tcPr>
          <w:p>
            <w:r>
              <w:t>Could-Have</w:t>
            </w:r>
          </w:p>
        </w:tc>
      </w:tr>
    </w:tbl>
    <w:p>
      <w:r>
        <w:br w:type="page"/>
      </w:r>
    </w:p>
    <w:p>
      <w:pPr>
        <w:pStyle w:val="Heading1"/>
        <w:keepNext/>
        <w:spacing w:before="360" w:after="120"/>
      </w:pPr>
      <w:r>
        <w:rPr>
          <w:rFonts w:ascii="Arial" w:hAnsi="Arial"/>
          <w:b/>
          <w:color w:val="0A2540"/>
          <w:sz w:val="36"/>
        </w:rPr>
        <w:t>5. Technical Stack &amp; API Request-Response Contracts</w:t>
      </w:r>
    </w:p>
    <w:p>
      <w:pPr>
        <w:spacing w:after="160" w:line="276" w:lineRule="auto"/>
      </w:pPr>
      <w:r>
        <w:rPr>
          <w:rFonts w:ascii="Calibri" w:hAnsi="Calibri"/>
          <w:color w:val="333333"/>
          <w:sz w:val="22"/>
        </w:rPr>
        <w:t>CodeCanvas utilizes a Next.js 14 frontend, a FastAPI backend, a Supabase PostgreSQL database, and llama-3.3-70b-versatile via Groq. Below are the precise JSON integration contracts for core operations.</w:t>
      </w:r>
    </w:p>
    <w:p>
      <w:pPr>
        <w:pStyle w:val="Heading2"/>
        <w:keepNext/>
        <w:spacing w:before="360" w:after="120"/>
      </w:pPr>
      <w:r>
        <w:rPr>
          <w:rFonts w:ascii="Arial" w:hAnsi="Arial"/>
          <w:b/>
          <w:color w:val="008080"/>
          <w:sz w:val="28"/>
        </w:rPr>
        <w:t>5.1 Visualizer Trace API (POST /api/trace)</w:t>
      </w:r>
    </w:p>
    <w:p>
      <w:pPr>
        <w:spacing w:after="160" w:line="276" w:lineRule="auto"/>
      </w:pPr>
      <w:r>
        <w:rPr>
          <w:rFonts w:ascii="Calibri" w:hAnsi="Calibri"/>
          <w:color w:val="333333"/>
          <w:sz w:val="22"/>
        </w:rPr>
        <w:t>Request Payload: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50" w:type="dxa"/>
              <w:right w:w="150" w:type="dxa"/>
            </w:tcMar>
            <w:tcBorders>
              <w:left w:val="single" w:sz="12" w:color="94A3B8"/>
              <w:top w:val="nil"/>
              <w:bottom w:val="nil"/>
              <w:right w:val="nil"/>
            </w:tcBorders>
          </w:tcPr>
          <w:p>
            <w:pPr>
              <w:spacing w:before="0" w:after="0" w:line="240" w:lineRule="auto"/>
            </w:pPr>
            <w:r>
              <w:rPr>
                <w:rFonts w:ascii="Consolas" w:hAnsi="Consolas"/>
                <w:color w:val="0F172A"/>
                <w:sz w:val="18"/>
              </w:rPr>
              <w:t>{</w:t>
              <w:br/>
              <w:t xml:space="preserve">  "code": "def search(arr, target):\n    for i in range(len(arr)):\n        if arr[i] == target:\n            return i\n    return -1\nsearch([10, 20, 30], 20)",</w:t>
              <w:br/>
              <w:t xml:space="preserve">  "lang": "python",</w:t>
              <w:br/>
              <w:t xml:space="preserve">  "data_structure": "sorting"</w:t>
              <w:br/>
              <w:t>}</w:t>
            </w:r>
          </w:p>
        </w:tc>
      </w:tr>
    </w:tbl>
    <w:p>
      <w:pPr>
        <w:spacing w:before="0" w:after="160"/>
      </w:pPr>
    </w:p>
    <w:p>
      <w:pPr>
        <w:spacing w:after="160" w:line="276" w:lineRule="auto"/>
      </w:pPr>
      <w:r>
        <w:rPr>
          <w:rFonts w:ascii="Calibri" w:hAnsi="Calibri"/>
          <w:color w:val="333333"/>
          <w:sz w:val="22"/>
        </w:rPr>
        <w:t>Response Payload: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50" w:type="dxa"/>
              <w:right w:w="150" w:type="dxa"/>
            </w:tcMar>
            <w:tcBorders>
              <w:left w:val="single" w:sz="12" w:color="94A3B8"/>
              <w:top w:val="nil"/>
              <w:bottom w:val="nil"/>
              <w:right w:val="nil"/>
            </w:tcBorders>
          </w:tcPr>
          <w:p>
            <w:pPr>
              <w:spacing w:before="0" w:after="0" w:line="240" w:lineRule="auto"/>
            </w:pPr>
            <w:r>
              <w:rPr>
                <w:rFonts w:ascii="Consolas" w:hAnsi="Consolas"/>
                <w:color w:val="0F172A"/>
                <w:sz w:val="18"/>
              </w:rPr>
              <w:t>{</w:t>
              <w:br/>
              <w:t xml:space="preserve">  "success": true,</w:t>
              <w:br/>
              <w:t xml:space="preserve">  "data_structure_type": "sorting",</w:t>
              <w:br/>
              <w:t xml:space="preserve">  "steps": [</w:t>
              <w:br/>
              <w:t xml:space="preserve">    {</w:t>
              <w:br/>
              <w:t xml:space="preserve">      "line_number": 1,</w:t>
              <w:br/>
              <w:t xml:space="preserve">      "explanation": "Function 'search' is defined. Arguments are mapped: arr=[10, 20, 30], target=20.",</w:t>
              <w:br/>
              <w:t xml:space="preserve">      "variables": {</w:t>
              <w:br/>
              <w:t xml:space="preserve">        "arr": [10, 20, 30],</w:t>
              <w:br/>
              <w:t xml:space="preserve">        "target": 20</w:t>
              <w:br/>
              <w:t xml:space="preserve">      },</w:t>
              <w:br/>
              <w:t xml:space="preserve">      "data_structure_state": {</w:t>
              <w:br/>
              <w:t xml:space="preserve">        "type": "sorting",</w:t>
              <w:br/>
              <w:t xml:space="preserve">        "array_state": [10, 20, 30],</w:t>
              <w:br/>
              <w:t xml:space="preserve">        "highlighted_indices": [],</w:t>
              <w:br/>
              <w:t xml:space="preserve">        "operation": "initialize"</w:t>
              <w:br/>
              <w:t xml:space="preserve">      }</w:t>
              <w:br/>
              <w:t xml:space="preserve">    },</w:t>
              <w:br/>
              <w:t xml:space="preserve">    {</w:t>
              <w:br/>
              <w:t xml:space="preserve">      "line_number": 4,</w:t>
              <w:br/>
              <w:t xml:space="preserve">      "explanation": "Checking condition: arr[1] (20) == target (20). This evaluates to True. Returning index 1.",</w:t>
              <w:br/>
              <w:t xml:space="preserve">      "variables": {</w:t>
              <w:br/>
              <w:t xml:space="preserve">        "arr": [10, 20, 30],</w:t>
              <w:br/>
              <w:t xml:space="preserve">        "target": 20,</w:t>
              <w:br/>
              <w:t xml:space="preserve">        "i": 1</w:t>
              <w:br/>
              <w:t xml:space="preserve">      },</w:t>
              <w:br/>
              <w:t xml:space="preserve">      "data_structure_state": {</w:t>
              <w:br/>
              <w:t xml:space="preserve">        "type": "sorting",</w:t>
              <w:br/>
              <w:t xml:space="preserve">        "array_state": [10, 20, 30],</w:t>
              <w:br/>
              <w:t xml:space="preserve">        "highlighted_indices": [1],</w:t>
              <w:br/>
              <w:t xml:space="preserve">        "operation": "return"</w:t>
              <w:br/>
              <w:t xml:space="preserve">      }</w:t>
              <w:br/>
              <w:t xml:space="preserve">    }</w:t>
              <w:br/>
              <w:t xml:space="preserve">  ]</w:t>
              <w:br/>
              <w:t>}</w:t>
            </w:r>
          </w:p>
        </w:tc>
      </w:tr>
    </w:tbl>
    <w:p>
      <w:pPr>
        <w:spacing w:before="0" w:after="160"/>
      </w:pPr>
    </w:p>
    <w:p>
      <w:pPr>
        <w:pStyle w:val="Heading2"/>
        <w:keepNext/>
        <w:spacing w:before="360" w:after="120"/>
      </w:pPr>
      <w:r>
        <w:rPr>
          <w:rFonts w:ascii="Arial" w:hAnsi="Arial"/>
          <w:b/>
          <w:color w:val="008080"/>
          <w:sz w:val="28"/>
        </w:rPr>
        <w:t>5.2 AI Tutor Chat API (POST /api/tutor/chat)</w:t>
      </w:r>
    </w:p>
    <w:p>
      <w:pPr>
        <w:spacing w:after="160" w:line="276" w:lineRule="auto"/>
      </w:pPr>
      <w:r>
        <w:rPr>
          <w:rFonts w:ascii="Calibri" w:hAnsi="Calibri"/>
          <w:color w:val="333333"/>
          <w:sz w:val="22"/>
        </w:rPr>
        <w:t>Request Payload: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50" w:type="dxa"/>
              <w:right w:w="150" w:type="dxa"/>
            </w:tcMar>
            <w:tcBorders>
              <w:left w:val="single" w:sz="12" w:color="94A3B8"/>
              <w:top w:val="nil"/>
              <w:bottom w:val="nil"/>
              <w:right w:val="nil"/>
            </w:tcBorders>
          </w:tcPr>
          <w:p>
            <w:pPr>
              <w:spacing w:before="0" w:after="0" w:line="240" w:lineRule="auto"/>
            </w:pPr>
            <w:r>
              <w:rPr>
                <w:rFonts w:ascii="Consolas" w:hAnsi="Consolas"/>
                <w:color w:val="0F172A"/>
                <w:sz w:val="18"/>
              </w:rPr>
              <w:t>{</w:t>
              <w:br/>
              <w:t xml:space="preserve">  "code": "def search(arr, target):\n    for i in range(len(arr)):\n        if arr[i] == target:\n            return i\n    return -1",</w:t>
              <w:br/>
              <w:t xml:space="preserve">  "current_line": 3,</w:t>
              <w:br/>
              <w:t xml:space="preserve">  "data_structure": "sorting",</w:t>
              <w:br/>
              <w:t xml:space="preserve">  "variables": {</w:t>
              <w:br/>
              <w:t xml:space="preserve">    "arr": [10, 20, 30],</w:t>
              <w:br/>
              <w:t xml:space="preserve">    "target": 20,</w:t>
              <w:br/>
              <w:t xml:space="preserve">    "i": 0</w:t>
              <w:br/>
              <w:t xml:space="preserve">  },</w:t>
              <w:br/>
              <w:t xml:space="preserve">  "user_message": "Why does the loop check arr[0] first?"</w:t>
              <w:br/>
              <w:t>}</w:t>
            </w:r>
          </w:p>
        </w:tc>
      </w:tr>
    </w:tbl>
    <w:p>
      <w:pPr>
        <w:spacing w:before="0" w:after="160"/>
      </w:pPr>
    </w:p>
    <w:p>
      <w:pPr>
        <w:spacing w:after="160" w:line="276" w:lineRule="auto"/>
      </w:pPr>
      <w:r>
        <w:rPr>
          <w:rFonts w:ascii="Calibri" w:hAnsi="Calibri"/>
          <w:color w:val="333333"/>
          <w:sz w:val="22"/>
        </w:rPr>
        <w:t>Response Payload: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Mar>
              <w:top w:w="100" w:type="dxa"/>
              <w:bottom w:w="100" w:type="dxa"/>
              <w:left w:w="150" w:type="dxa"/>
              <w:right w:w="150" w:type="dxa"/>
            </w:tcMar>
            <w:tcBorders>
              <w:left w:val="single" w:sz="12" w:color="94A3B8"/>
              <w:top w:val="nil"/>
              <w:bottom w:val="nil"/>
              <w:right w:val="nil"/>
            </w:tcBorders>
          </w:tcPr>
          <w:p>
            <w:pPr>
              <w:spacing w:before="0" w:after="0" w:line="240" w:lineRule="auto"/>
            </w:pPr>
            <w:r>
              <w:rPr>
                <w:rFonts w:ascii="Consolas" w:hAnsi="Consolas"/>
                <w:color w:val="0F172A"/>
                <w:sz w:val="18"/>
              </w:rPr>
              <w:t>{</w:t>
              <w:br/>
              <w:t xml:space="preserve">  "response": "In Python, arrays and lists are 0-indexed. This means range(len(arr)) starts checking from index 0. Look at your variables sidebar: what is the current value of i?",</w:t>
              <w:br/>
              <w:t xml:space="preserve">  "hint_type": "conceptual",</w:t>
              <w:br/>
              <w:t xml:space="preserve">  "suggested_actions": ["check_variables_sidebar", "step_next"]</w:t>
              <w:br/>
              <w:t>}</w:t>
            </w:r>
          </w:p>
        </w:tc>
      </w:tr>
    </w:tbl>
    <w:p>
      <w:pPr>
        <w:spacing w:before="0" w:after="160"/>
      </w:pPr>
    </w:p>
    <w:p>
      <w:r>
        <w:br w:type="page"/>
      </w:r>
    </w:p>
    <w:p>
      <w:pPr>
        <w:pStyle w:val="Heading1"/>
        <w:keepNext/>
        <w:spacing w:before="360" w:after="120"/>
      </w:pPr>
      <w:r>
        <w:rPr>
          <w:rFonts w:ascii="Arial" w:hAnsi="Arial"/>
          <w:b/>
          <w:color w:val="0A2540"/>
          <w:sz w:val="36"/>
        </w:rPr>
        <w:t>6. Relational Database Schema Specifications</w:t>
      </w:r>
    </w:p>
    <w:p>
      <w:pPr>
        <w:spacing w:after="160" w:line="276" w:lineRule="auto"/>
      </w:pPr>
      <w:r>
        <w:rPr>
          <w:rFonts w:ascii="Calibri" w:hAnsi="Calibri"/>
          <w:color w:val="333333"/>
          <w:sz w:val="22"/>
        </w:rPr>
        <w:t>The relational database schema is configured in PostgreSQL on Supabase. Row Level Security (RLS) is enabled on all tables, restricting students to their own data while allowing teachers to view enrollments and progress telemetry under their specific classes.</w:t>
      </w:r>
    </w:p>
    <w:tbl>
      <w:tblPr>
        <w:tblW w:type="auto" w:w="0"/>
        <w:jc w:val="center"/>
        <w:tblLayout w:type="fixed"/>
        <w:tblLook w:firstColumn="1" w:firstRow="1" w:lastColumn="0" w:lastRow="0" w:noHBand="0" w:noVBand="1" w:val="04A0"/>
      </w:tblPr>
      <w:tblGrid>
        <w:gridCol w:w="1728"/>
        <w:gridCol w:w="3168"/>
        <w:gridCol w:w="4464"/>
      </w:tblGrid>
      <w:tr>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Table Name</w:t>
            </w:r>
          </w:p>
        </w:tc>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Role &amp; Description</w:t>
            </w:r>
          </w:p>
        </w:tc>
        <w:tc>
          <w:tcPr>
            <w:tcW w:type="dxa" w:w="3120"/>
            <w:shd w:val="clear" w:color="auto" w:fill="0A2540"/>
            <w:tcMar>
              <w:top w:w="140" w:type="dxa"/>
              <w:bottom w:w="140" w:type="dxa"/>
              <w:left w:w="180" w:type="dxa"/>
              <w:right w:w="180" w:type="dxa"/>
            </w:tcMar>
          </w:tcPr>
          <w:p>
            <w:pPr>
              <w:jc w:val="left"/>
            </w:pPr>
            <w:r>
              <w:rPr>
                <w:rFonts w:ascii="Arial" w:hAnsi="Arial"/>
                <w:b/>
                <w:color w:val="FFFFFF"/>
                <w:sz w:val="20"/>
              </w:rPr>
              <w:t>Key Schema Attributes &amp; Types</w:t>
            </w:r>
          </w:p>
        </w:tc>
      </w:tr>
      <w:tr>
        <w:tc>
          <w:tcPr>
            <w:tcW w:type="dxa" w:w="3120"/>
            <w:tcMar>
              <w:top w:w="100" w:type="dxa"/>
              <w:bottom w:w="100" w:type="dxa"/>
              <w:left w:w="150" w:type="dxa"/>
              <w:right w:w="150" w:type="dxa"/>
            </w:tcMar>
            <w:tcBorders>
              <w:bottom w:val="single" w:sz="4" w:color="E2E8F0"/>
              <w:left w:val="nil"/>
              <w:right w:val="nil"/>
              <w:top w:val="nil"/>
            </w:tcBorders>
          </w:tcPr>
          <w:p>
            <w:r>
              <w:t>profiles</w:t>
            </w:r>
          </w:p>
        </w:tc>
        <w:tc>
          <w:tcPr>
            <w:tcW w:type="dxa" w:w="3120"/>
            <w:tcMar>
              <w:top w:w="100" w:type="dxa"/>
              <w:bottom w:w="100" w:type="dxa"/>
              <w:left w:w="150" w:type="dxa"/>
              <w:right w:w="150" w:type="dxa"/>
            </w:tcMar>
            <w:tcBorders>
              <w:bottom w:val="single" w:sz="4" w:color="E2E8F0"/>
              <w:left w:val="nil"/>
              <w:right w:val="nil"/>
              <w:top w:val="nil"/>
            </w:tcBorders>
          </w:tcPr>
          <w:p>
            <w:r>
              <w:t>Extends auth.users to store student/teacher profile data, XP, and active streaks.</w:t>
            </w:r>
          </w:p>
        </w:tc>
        <w:tc>
          <w:tcPr>
            <w:tcW w:type="dxa" w:w="3120"/>
            <w:tcMar>
              <w:top w:w="100" w:type="dxa"/>
              <w:bottom w:w="100" w:type="dxa"/>
              <w:left w:w="150" w:type="dxa"/>
              <w:right w:w="150" w:type="dxa"/>
            </w:tcMar>
            <w:tcBorders>
              <w:bottom w:val="single" w:sz="4" w:color="E2E8F0"/>
              <w:left w:val="nil"/>
              <w:right w:val="nil"/>
              <w:top w:val="nil"/>
            </w:tcBorders>
          </w:tcPr>
          <w:p>
            <w:r>
              <w:t>id (UUID, PK), full_name (TEXT), avatar_url (TEXT), role (TEXT: student/teacher/hod/admin), school_id (TEXT, default 'cse'), xp (INT), streak_days (INT), last_active (DATE), created_at (TIMESTAMPTZ)</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classrooms</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Stores classroom details created by teachers, generating invite codes for student enrollment.</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id (UUID, PK), teacher_id (UUID, FK -&gt; profiles.id), name (TEXT), course_code (TEXT), school_id (TEXT), invite_code (TEXT, UNIQUE), description (TEXT), created_at (TIMESTAMPTZ)</w:t>
            </w:r>
          </w:p>
        </w:tc>
      </w:tr>
      <w:tr>
        <w:tc>
          <w:tcPr>
            <w:tcW w:type="dxa" w:w="3120"/>
            <w:tcMar>
              <w:top w:w="100" w:type="dxa"/>
              <w:bottom w:w="100" w:type="dxa"/>
              <w:left w:w="150" w:type="dxa"/>
              <w:right w:w="150" w:type="dxa"/>
            </w:tcMar>
            <w:tcBorders>
              <w:bottom w:val="single" w:sz="4" w:color="E2E8F0"/>
              <w:left w:val="nil"/>
              <w:right w:val="nil"/>
              <w:top w:val="nil"/>
            </w:tcBorders>
          </w:tcPr>
          <w:p>
            <w:r>
              <w:t>enrollments</w:t>
            </w:r>
          </w:p>
        </w:tc>
        <w:tc>
          <w:tcPr>
            <w:tcW w:type="dxa" w:w="3120"/>
            <w:tcMar>
              <w:top w:w="100" w:type="dxa"/>
              <w:bottom w:w="100" w:type="dxa"/>
              <w:left w:w="150" w:type="dxa"/>
              <w:right w:w="150" w:type="dxa"/>
            </w:tcMar>
            <w:tcBorders>
              <w:bottom w:val="single" w:sz="4" w:color="E2E8F0"/>
              <w:left w:val="nil"/>
              <w:right w:val="nil"/>
              <w:top w:val="nil"/>
            </w:tcBorders>
          </w:tcPr>
          <w:p>
            <w:r>
              <w:t>Links students to classrooms. Enforces unique student enrollment per class.</w:t>
            </w:r>
          </w:p>
        </w:tc>
        <w:tc>
          <w:tcPr>
            <w:tcW w:type="dxa" w:w="3120"/>
            <w:tcMar>
              <w:top w:w="100" w:type="dxa"/>
              <w:bottom w:w="100" w:type="dxa"/>
              <w:left w:w="150" w:type="dxa"/>
              <w:right w:w="150" w:type="dxa"/>
            </w:tcMar>
            <w:tcBorders>
              <w:bottom w:val="single" w:sz="4" w:color="E2E8F0"/>
              <w:left w:val="nil"/>
              <w:right w:val="nil"/>
              <w:top w:val="nil"/>
            </w:tcBorders>
          </w:tcPr>
          <w:p>
            <w:r>
              <w:t>id (UUID, PK), classroom_id (UUID, FK -&gt; classrooms.id), student_id (UUID, FK -&gt; profiles.id), enrolled_at (TIMESTAMPTZ)</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assignments</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Stores assignments published by teachers for specific classrooms.</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id (UUID, PK), classroom_id (UUID, FK -&gt; classrooms.id), title (TEXT), description (TEXT), algorithm (TEXT), sample_code (TEXT), lang (TEXT), deadline (TIMESTAMPTZ), max_xp (INT), created_at (TIMESTAMPTZ)</w:t>
            </w:r>
          </w:p>
        </w:tc>
      </w:tr>
      <w:tr>
        <w:tc>
          <w:tcPr>
            <w:tcW w:type="dxa" w:w="3120"/>
            <w:tcMar>
              <w:top w:w="100" w:type="dxa"/>
              <w:bottom w:w="100" w:type="dxa"/>
              <w:left w:w="150" w:type="dxa"/>
              <w:right w:w="150" w:type="dxa"/>
            </w:tcMar>
            <w:tcBorders>
              <w:bottom w:val="single" w:sz="4" w:color="E2E8F0"/>
              <w:left w:val="nil"/>
              <w:right w:val="nil"/>
              <w:top w:val="nil"/>
            </w:tcBorders>
          </w:tcPr>
          <w:p>
            <w:r>
              <w:t>submissions</w:t>
            </w:r>
          </w:p>
        </w:tc>
        <w:tc>
          <w:tcPr>
            <w:tcW w:type="dxa" w:w="3120"/>
            <w:tcMar>
              <w:top w:w="100" w:type="dxa"/>
              <w:bottom w:w="100" w:type="dxa"/>
              <w:left w:w="150" w:type="dxa"/>
              <w:right w:w="150" w:type="dxa"/>
            </w:tcMar>
            <w:tcBorders>
              <w:bottom w:val="single" w:sz="4" w:color="E2E8F0"/>
              <w:left w:val="nil"/>
              <w:right w:val="nil"/>
              <w:top w:val="nil"/>
            </w:tcBorders>
          </w:tcPr>
          <w:p>
            <w:r>
              <w:t>Contains student code submissions, full execution trace states JSON, AI grades, and teacher grade overrides.</w:t>
            </w:r>
          </w:p>
        </w:tc>
        <w:tc>
          <w:tcPr>
            <w:tcW w:type="dxa" w:w="3120"/>
            <w:tcMar>
              <w:top w:w="100" w:type="dxa"/>
              <w:bottom w:w="100" w:type="dxa"/>
              <w:left w:w="150" w:type="dxa"/>
              <w:right w:w="150" w:type="dxa"/>
            </w:tcMar>
            <w:tcBorders>
              <w:bottom w:val="single" w:sz="4" w:color="E2E8F0"/>
              <w:left w:val="nil"/>
              <w:right w:val="nil"/>
              <w:top w:val="nil"/>
            </w:tcBorders>
          </w:tcPr>
          <w:p>
            <w:r>
              <w:t>id (UUID, PK), assignment_id (UUID, FK -&gt; assignments.id), student_id (UUID, FK -&gt; profiles.id), code (TEXT), steps_json (JSONB), explanation (TEXT), ai_grade (INT), ai_feedback (TEXT), teacher_grade (INT), submitted_at (TIMESTAMPTZ)</w:t>
            </w:r>
          </w:p>
        </w:tc>
      </w:tr>
      <w:tr>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trace_history</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Logs telemetry of every code tracing event to construct student learning curves.</w:t>
            </w:r>
          </w:p>
        </w:tc>
        <w:tc>
          <w:tcPr>
            <w:tcW w:type="dxa" w:w="3120"/>
            <w:shd w:val="clear" w:color="auto" w:fill="F5F7FA"/>
            <w:tcMar>
              <w:top w:w="100" w:type="dxa"/>
              <w:bottom w:w="100" w:type="dxa"/>
              <w:left w:w="150" w:type="dxa"/>
              <w:right w:w="150" w:type="dxa"/>
            </w:tcMar>
            <w:tcBorders>
              <w:bottom w:val="single" w:sz="4" w:color="E2E8F0"/>
              <w:left w:val="nil"/>
              <w:right w:val="nil"/>
              <w:top w:val="nil"/>
            </w:tcBorders>
          </w:tcPr>
          <w:p>
            <w:r>
              <w:t>id (UUID, PK), user_id (UUID, FK -&gt; profiles.id), lang (TEXT), code (TEXT), steps_json (JSONB), data_structure (TEXT), school_id (TEXT), step_count (INT), created_at (TIMESTAMPTZ)</w:t>
            </w:r>
          </w:p>
        </w:tc>
      </w:tr>
    </w:tbl>
    <w:p>
      <w:r>
        <w:br w:type="page"/>
      </w:r>
    </w:p>
    <w:p>
      <w:pPr>
        <w:pStyle w:val="Heading1"/>
        <w:keepNext/>
        <w:spacing w:before="360" w:after="120"/>
      </w:pPr>
      <w:r>
        <w:rPr>
          <w:rFonts w:ascii="Arial" w:hAnsi="Arial"/>
          <w:b/>
          <w:color w:val="0A2540"/>
          <w:sz w:val="36"/>
        </w:rPr>
        <w:t>7. Educational Accreditation &amp; Legal Compliance</w:t>
      </w:r>
    </w:p>
    <w:p>
      <w:pPr>
        <w:pStyle w:val="Heading2"/>
        <w:keepNext/>
        <w:spacing w:before="360" w:after="120"/>
      </w:pPr>
      <w:r>
        <w:rPr>
          <w:rFonts w:ascii="Arial" w:hAnsi="Arial"/>
          <w:b/>
          <w:color w:val="008080"/>
          <w:sz w:val="28"/>
        </w:rPr>
        <w:t>7.1 NAAC / NBA Accreditation Alignment</w:t>
      </w:r>
    </w:p>
    <w:p>
      <w:pPr>
        <w:spacing w:after="160" w:line="276" w:lineRule="auto"/>
      </w:pPr>
      <w:r>
        <w:rPr>
          <w:rFonts w:ascii="Calibri" w:hAnsi="Calibri"/>
          <w:b/>
          <w:color w:val="333333"/>
          <w:sz w:val="22"/>
        </w:rPr>
        <w:t xml:space="preserve">Accreditation Features: </w:t>
      </w:r>
      <w:r>
        <w:rPr>
          <w:rFonts w:ascii="Calibri" w:hAnsi="Calibri"/>
          <w:color w:val="333333"/>
          <w:sz w:val="22"/>
        </w:rPr>
        <w:t>Accreditation boards (NAAC and NBA) audit universities based on structured quality metrics. CodeCanvas serves as a data collector, automatically gathering student telemetry and outputting CSV/PDF audit documents:</w:t>
      </w:r>
    </w:p>
    <w:p>
      <w:pPr>
        <w:pStyle w:val="ListBullet"/>
        <w:spacing w:after="160" w:line="276" w:lineRule="auto"/>
      </w:pPr>
      <w:r>
        <w:rPr>
          <w:rFonts w:ascii="Calibri" w:hAnsi="Calibri"/>
          <w:color w:val="333333"/>
          <w:sz w:val="22"/>
        </w:rPr>
        <w:t>1. Experiential ICT Integration (NAAC Criterion 2.3.1): CodeCanvas satisfies this requirement by replacing traditional blackboard explanations with an interactive software visualizer that promotes active coding.</w:t>
      </w:r>
    </w:p>
    <w:p>
      <w:pPr>
        <w:pStyle w:val="ListBullet"/>
        <w:spacing w:after="160" w:line="276" w:lineRule="auto"/>
      </w:pPr>
      <w:r>
        <w:rPr>
          <w:rFonts w:ascii="Calibri" w:hAnsi="Calibri"/>
          <w:color w:val="333333"/>
          <w:sz w:val="22"/>
        </w:rPr>
        <w:t>2. Slow vs. Fast Learners Identification (NAAC Criterion 2.2.1): The analytics panel plots user progress, identifying students who complete assignments quickly (fast learners) versus students who take many tracing steps on basic loops (slow learners), enabling faculty to provide targeted support.</w:t>
      </w:r>
    </w:p>
    <w:p>
      <w:pPr>
        <w:pStyle w:val="ListBullet"/>
        <w:spacing w:after="160" w:line="276" w:lineRule="auto"/>
      </w:pPr>
      <w:r>
        <w:rPr>
          <w:rFonts w:ascii="Calibri" w:hAnsi="Calibri"/>
          <w:color w:val="333333"/>
          <w:sz w:val="22"/>
        </w:rPr>
        <w:t>3. CO-PO Attainment Analysis (NBA Criteria): Lab assessments can be linked directly to specific Course Outcomes (COs) and Program Outcomes (POs). Telemetry reports trace actual student grading data, proving outcomes achievement to auditors.</w:t>
      </w:r>
    </w:p>
    <w:p>
      <w:pPr>
        <w:pStyle w:val="Heading2"/>
        <w:keepNext/>
        <w:spacing w:before="360" w:after="120"/>
      </w:pPr>
      <w:r>
        <w:rPr>
          <w:rFonts w:ascii="Arial" w:hAnsi="Arial"/>
          <w:b/>
          <w:color w:val="008080"/>
          <w:sz w:val="28"/>
        </w:rPr>
        <w:t>7.2 Legal Compliance: Indian DPDP Act 2023</w:t>
      </w:r>
    </w:p>
    <w:p>
      <w:pPr>
        <w:spacing w:after="160" w:line="276" w:lineRule="auto"/>
      </w:pPr>
      <w:r>
        <w:rPr>
          <w:rFonts w:ascii="Calibri" w:hAnsi="Calibri"/>
          <w:b/>
          <w:color w:val="333333"/>
          <w:sz w:val="22"/>
        </w:rPr>
        <w:t xml:space="preserve">Privacy Control: </w:t>
      </w:r>
      <w:r>
        <w:rPr>
          <w:rFonts w:ascii="Calibri" w:hAnsi="Calibri"/>
          <w:color w:val="333333"/>
          <w:sz w:val="22"/>
        </w:rPr>
        <w:t>Under the Digital Personal Data Protection (DPDP) Act of 2023, universities must guarantee privacy protections for student data. CodeCanvas incorporates three core compliance mechanisms:</w:t>
      </w:r>
    </w:p>
    <w:p>
      <w:pPr>
        <w:pStyle w:val="ListBullet"/>
        <w:spacing w:after="160" w:line="276" w:lineRule="auto"/>
      </w:pPr>
      <w:r>
        <w:rPr>
          <w:rFonts w:ascii="Calibri" w:hAnsi="Calibri"/>
          <w:color w:val="333333"/>
          <w:sz w:val="22"/>
        </w:rPr>
        <w:t>1. Notice &amp; Explicit Consent (Section 5): On student onboarding, a mandatory consent window details what data is collected (profile name, email, lab submissions) and how it is used (class grading and institutional accreditation reports).</w:t>
      </w:r>
    </w:p>
    <w:p>
      <w:pPr>
        <w:pStyle w:val="ListBullet"/>
        <w:spacing w:after="160" w:line="276" w:lineRule="auto"/>
      </w:pPr>
      <w:r>
        <w:rPr>
          <w:rFonts w:ascii="Calibri" w:hAnsi="Calibri"/>
          <w:color w:val="333333"/>
          <w:sz w:val="22"/>
        </w:rPr>
        <w:t>2. Right to Correction and Erasure (Section 6): Students are provided with a self-service 'Erasure Portal' under their profile settings, allowing them to delete their profile and wipe all trace logs permanently.</w:t>
      </w:r>
    </w:p>
    <w:p>
      <w:pPr>
        <w:pStyle w:val="Heading1"/>
        <w:keepNext/>
        <w:spacing w:before="360" w:after="120"/>
      </w:pPr>
      <w:r>
        <w:rPr>
          <w:rFonts w:ascii="Arial" w:hAnsi="Arial"/>
          <w:b/>
          <w:color w:val="0A2540"/>
          <w:sz w:val="36"/>
        </w:rPr>
        <w:t>8. Commercial Model, Billing &amp; Razorpay Integration</w:t>
      </w:r>
    </w:p>
    <w:p>
      <w:pPr>
        <w:pStyle w:val="Heading2"/>
        <w:keepNext/>
        <w:spacing w:before="360" w:after="120"/>
      </w:pPr>
      <w:r>
        <w:rPr>
          <w:rFonts w:ascii="Arial" w:hAnsi="Arial"/>
          <w:b/>
          <w:color w:val="008080"/>
          <w:sz w:val="28"/>
        </w:rPr>
        <w:t>8.1 Institutional Pricing &amp; GST Structure</w:t>
      </w:r>
    </w:p>
    <w:p>
      <w:pPr>
        <w:spacing w:after="160" w:line="276" w:lineRule="auto"/>
      </w:pPr>
      <w:r>
        <w:rPr>
          <w:rFonts w:ascii="Calibri" w:hAnsi="Calibri"/>
          <w:b/>
          <w:color w:val="333333"/>
          <w:sz w:val="22"/>
        </w:rPr>
        <w:t xml:space="preserve">Pricing Model: </w:t>
      </w:r>
      <w:r>
        <w:rPr>
          <w:rFonts w:ascii="Calibri" w:hAnsi="Calibri"/>
          <w:color w:val="333333"/>
          <w:sz w:val="22"/>
        </w:rPr>
        <w:t>CodeCanvas operates under a SaaS licensing framework with billing tiers for individual subscriptions and institutional site licenses. All transactions within the Indian market include an 18% Goods and Services Tax (GST) (under SAC Code 997331: Licensing services for the right to use computer software).</w:t>
      </w:r>
    </w:p>
    <w:tbl>
      <w:tblPr>
        <w:tblW w:type="auto" w:w="0"/>
        <w:jc w:val="center"/>
        <w:tblLayout w:type="fixed"/>
        <w:tblLook w:firstColumn="1" w:firstRow="1" w:lastColumn="0" w:lastRow="0" w:noHBand="0" w:noVBand="1" w:val="04A0"/>
      </w:tblPr>
      <w:tblGrid>
        <w:gridCol w:w="1872"/>
        <w:gridCol w:w="2160"/>
        <w:gridCol w:w="2160"/>
        <w:gridCol w:w="3168"/>
      </w:tblGrid>
      <w:tr>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License Tier</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Base Price (INR)</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GST (18%)</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SaaS Capabilities Included</w:t>
            </w:r>
          </w:p>
        </w:tc>
      </w:tr>
      <w:tr>
        <w:tc>
          <w:tcPr>
            <w:tcW w:type="dxa" w:w="2340"/>
            <w:tcMar>
              <w:top w:w="100" w:type="dxa"/>
              <w:bottom w:w="100" w:type="dxa"/>
              <w:left w:w="150" w:type="dxa"/>
              <w:right w:w="150" w:type="dxa"/>
            </w:tcMar>
            <w:tcBorders>
              <w:bottom w:val="single" w:sz="4" w:color="E2E8F0"/>
              <w:left w:val="nil"/>
              <w:right w:val="nil"/>
              <w:top w:val="nil"/>
            </w:tcBorders>
          </w:tcPr>
          <w:p>
            <w:r>
              <w:t>Individual Student Monthly</w:t>
            </w:r>
          </w:p>
        </w:tc>
        <w:tc>
          <w:tcPr>
            <w:tcW w:type="dxa" w:w="2340"/>
            <w:tcMar>
              <w:top w:w="100" w:type="dxa"/>
              <w:bottom w:w="100" w:type="dxa"/>
              <w:left w:w="150" w:type="dxa"/>
              <w:right w:w="150" w:type="dxa"/>
            </w:tcMar>
            <w:tcBorders>
              <w:bottom w:val="single" w:sz="4" w:color="E2E8F0"/>
              <w:left w:val="nil"/>
              <w:right w:val="nil"/>
              <w:top w:val="nil"/>
            </w:tcBorders>
          </w:tcPr>
          <w:p>
            <w:r>
              <w:t>Rs. 254 / month</w:t>
            </w:r>
          </w:p>
        </w:tc>
        <w:tc>
          <w:tcPr>
            <w:tcW w:type="dxa" w:w="2340"/>
            <w:tcMar>
              <w:top w:w="100" w:type="dxa"/>
              <w:bottom w:w="100" w:type="dxa"/>
              <w:left w:w="150" w:type="dxa"/>
              <w:right w:w="150" w:type="dxa"/>
            </w:tcMar>
            <w:tcBorders>
              <w:bottom w:val="single" w:sz="4" w:color="E2E8F0"/>
              <w:left w:val="nil"/>
              <w:right w:val="nil"/>
              <w:top w:val="nil"/>
            </w:tcBorders>
          </w:tcPr>
          <w:p>
            <w:r>
              <w:t>Rs. 46 (Total: Rs. 300)</w:t>
            </w:r>
          </w:p>
        </w:tc>
        <w:tc>
          <w:tcPr>
            <w:tcW w:type="dxa" w:w="2340"/>
            <w:tcMar>
              <w:top w:w="100" w:type="dxa"/>
              <w:bottom w:w="100" w:type="dxa"/>
              <w:left w:w="150" w:type="dxa"/>
              <w:right w:w="150" w:type="dxa"/>
            </w:tcMar>
            <w:tcBorders>
              <w:bottom w:val="single" w:sz="4" w:color="E2E8F0"/>
              <w:left w:val="nil"/>
              <w:right w:val="nil"/>
              <w:top w:val="nil"/>
            </w:tcBorders>
          </w:tcPr>
          <w:p>
            <w:r>
              <w:t>Access to visualizer sandbox, AI Tutor chatbot, history logging, and share links.</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Standard Departmental Annual</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Rs. 84,745 / year</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Rs. 15,255 (Total: Rs. 1,00,000)</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Up to 500 students, 10 teacher licenses, classroom boards, assignment grading, and progress dashboards.</w:t>
            </w:r>
          </w:p>
        </w:tc>
      </w:tr>
      <w:tr>
        <w:tc>
          <w:tcPr>
            <w:tcW w:type="dxa" w:w="2340"/>
            <w:tcMar>
              <w:top w:w="100" w:type="dxa"/>
              <w:bottom w:w="100" w:type="dxa"/>
              <w:left w:w="150" w:type="dxa"/>
              <w:right w:w="150" w:type="dxa"/>
            </w:tcMar>
            <w:tcBorders>
              <w:bottom w:val="single" w:sz="4" w:color="E2E8F0"/>
              <w:left w:val="nil"/>
              <w:right w:val="nil"/>
              <w:top w:val="nil"/>
            </w:tcBorders>
          </w:tcPr>
          <w:p>
            <w:r>
              <w:t>Institutional Enterprise Unlimited</w:t>
            </w:r>
          </w:p>
        </w:tc>
        <w:tc>
          <w:tcPr>
            <w:tcW w:type="dxa" w:w="2340"/>
            <w:tcMar>
              <w:top w:w="100" w:type="dxa"/>
              <w:bottom w:w="100" w:type="dxa"/>
              <w:left w:w="150" w:type="dxa"/>
              <w:right w:w="150" w:type="dxa"/>
            </w:tcMar>
            <w:tcBorders>
              <w:bottom w:val="single" w:sz="4" w:color="E2E8F0"/>
              <w:left w:val="nil"/>
              <w:right w:val="nil"/>
              <w:top w:val="nil"/>
            </w:tcBorders>
          </w:tcPr>
          <w:p>
            <w:r>
              <w:t>Rs. 2,54,237 / year</w:t>
            </w:r>
          </w:p>
        </w:tc>
        <w:tc>
          <w:tcPr>
            <w:tcW w:type="dxa" w:w="2340"/>
            <w:tcMar>
              <w:top w:w="100" w:type="dxa"/>
              <w:bottom w:w="100" w:type="dxa"/>
              <w:left w:w="150" w:type="dxa"/>
              <w:right w:w="150" w:type="dxa"/>
            </w:tcMar>
            <w:tcBorders>
              <w:bottom w:val="single" w:sz="4" w:color="E2E8F0"/>
              <w:left w:val="nil"/>
              <w:right w:val="nil"/>
              <w:top w:val="nil"/>
            </w:tcBorders>
          </w:tcPr>
          <w:p>
            <w:r>
              <w:t>Rs. 45,763 (Total: Rs. 3,00,000)</w:t>
            </w:r>
          </w:p>
        </w:tc>
        <w:tc>
          <w:tcPr>
            <w:tcW w:type="dxa" w:w="2340"/>
            <w:tcMar>
              <w:top w:w="100" w:type="dxa"/>
              <w:bottom w:w="100" w:type="dxa"/>
              <w:left w:w="150" w:type="dxa"/>
              <w:right w:w="150" w:type="dxa"/>
            </w:tcMar>
            <w:tcBorders>
              <w:bottom w:val="single" w:sz="4" w:color="E2E8F0"/>
              <w:left w:val="nil"/>
              <w:right w:val="nil"/>
              <w:top w:val="nil"/>
            </w:tcBorders>
          </w:tcPr>
          <w:p>
            <w:r>
              <w:t>Unlimited students/faculty, SSO integrations, custom campus portal, custom database backups, and NAAC telemetry export modules.</w:t>
            </w:r>
          </w:p>
        </w:tc>
      </w:tr>
    </w:tbl>
    <w:p>
      <w:pPr>
        <w:pStyle w:val="Heading2"/>
        <w:keepNext/>
        <w:spacing w:before="360" w:after="120"/>
      </w:pPr>
      <w:r>
        <w:rPr>
          <w:rFonts w:ascii="Arial" w:hAnsi="Arial"/>
          <w:b/>
          <w:color w:val="008080"/>
          <w:sz w:val="28"/>
        </w:rPr>
        <w:t>8.2 Payment Flow &amp; Automated Billing</w:t>
      </w:r>
    </w:p>
    <w:p>
      <w:pPr>
        <w:spacing w:after="160" w:line="276" w:lineRule="auto"/>
      </w:pPr>
      <w:r>
        <w:rPr>
          <w:rFonts w:ascii="Calibri" w:hAnsi="Calibri"/>
          <w:color w:val="333333"/>
          <w:sz w:val="22"/>
        </w:rPr>
        <w:t>Subscriptions are processed via a Razorpay checkout integration, accepting UPI, Credit/Debit cards, and Netbanking. Upon successful webhook execution: (1) Supabase unlocks the user's role capabilities, (2) an automated PDF invoice is generated containing the customer's GSTIN, State Code (e.g., 03 for Punjab if billing LPU), and HSN/SAC code, and (3) the invoice is emailed to the payer, logging the record into the database.</w:t>
      </w:r>
    </w:p>
    <w:p>
      <w:r>
        <w:br w:type="page"/>
      </w:r>
    </w:p>
    <w:p>
      <w:pPr>
        <w:pStyle w:val="Heading1"/>
        <w:keepNext/>
        <w:spacing w:before="360" w:after="120"/>
      </w:pPr>
      <w:r>
        <w:rPr>
          <w:rFonts w:ascii="Arial" w:hAnsi="Arial"/>
          <w:b/>
          <w:color w:val="0A2540"/>
          <w:sz w:val="36"/>
        </w:rPr>
        <w:t>9. MVP Implementation Roadmap &amp; Phased Rollout</w:t>
      </w:r>
    </w:p>
    <w:p>
      <w:pPr>
        <w:spacing w:after="160" w:line="276" w:lineRule="auto"/>
      </w:pPr>
      <w:r>
        <w:rPr>
          <w:rFonts w:ascii="Calibri" w:hAnsi="Calibri"/>
          <w:color w:val="333333"/>
          <w:sz w:val="22"/>
        </w:rPr>
        <w:t>CodeCanvas development is structured across four release phases. The MVP core focuses on code visualization, while subsequent institutional rollouts introduce multi-tenancy and audit export capabilities.</w:t>
      </w:r>
    </w:p>
    <w:tbl>
      <w:tblPr>
        <w:tblW w:type="auto" w:w="0"/>
        <w:jc w:val="center"/>
        <w:tblLayout w:type="fixed"/>
        <w:tblLook w:firstColumn="1" w:firstRow="1" w:lastColumn="0" w:lastRow="0" w:noHBand="0" w:noVBand="1" w:val="04A0"/>
      </w:tblPr>
      <w:tblGrid>
        <w:gridCol w:w="1152"/>
        <w:gridCol w:w="2160"/>
        <w:gridCol w:w="1728"/>
        <w:gridCol w:w="4320"/>
      </w:tblGrid>
      <w:tr>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Phase</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Focus Area</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Target Timeline</w:t>
            </w:r>
          </w:p>
        </w:tc>
        <w:tc>
          <w:tcPr>
            <w:tcW w:type="dxa" w:w="2340"/>
            <w:shd w:val="clear" w:color="auto" w:fill="0A2540"/>
            <w:tcMar>
              <w:top w:w="140" w:type="dxa"/>
              <w:bottom w:w="140" w:type="dxa"/>
              <w:left w:w="180" w:type="dxa"/>
              <w:right w:w="180" w:type="dxa"/>
            </w:tcMar>
          </w:tcPr>
          <w:p>
            <w:pPr>
              <w:jc w:val="left"/>
            </w:pPr>
            <w:r>
              <w:rPr>
                <w:rFonts w:ascii="Arial" w:hAnsi="Arial"/>
                <w:b/>
                <w:color w:val="FFFFFF"/>
                <w:sz w:val="20"/>
              </w:rPr>
              <w:t>Deliverables &amp; Key Milestones</w:t>
            </w:r>
          </w:p>
        </w:tc>
      </w:tr>
      <w:tr>
        <w:tc>
          <w:tcPr>
            <w:tcW w:type="dxa" w:w="2340"/>
            <w:tcMar>
              <w:top w:w="100" w:type="dxa"/>
              <w:bottom w:w="100" w:type="dxa"/>
              <w:left w:w="150" w:type="dxa"/>
              <w:right w:w="150" w:type="dxa"/>
            </w:tcMar>
            <w:tcBorders>
              <w:bottom w:val="single" w:sz="4" w:color="E2E8F0"/>
              <w:left w:val="nil"/>
              <w:right w:val="nil"/>
              <w:top w:val="nil"/>
            </w:tcBorders>
          </w:tcPr>
          <w:p>
            <w:r>
              <w:t>Phase 1</w:t>
            </w:r>
          </w:p>
        </w:tc>
        <w:tc>
          <w:tcPr>
            <w:tcW w:type="dxa" w:w="2340"/>
            <w:tcMar>
              <w:top w:w="100" w:type="dxa"/>
              <w:bottom w:w="100" w:type="dxa"/>
              <w:left w:w="150" w:type="dxa"/>
              <w:right w:w="150" w:type="dxa"/>
            </w:tcMar>
            <w:tcBorders>
              <w:bottom w:val="single" w:sz="4" w:color="E2E8F0"/>
              <w:left w:val="nil"/>
              <w:right w:val="nil"/>
              <w:top w:val="nil"/>
            </w:tcBorders>
          </w:tcPr>
          <w:p>
            <w:r>
              <w:t>Core Engine &amp; Visualizers</w:t>
            </w:r>
          </w:p>
        </w:tc>
        <w:tc>
          <w:tcPr>
            <w:tcW w:type="dxa" w:w="2340"/>
            <w:tcMar>
              <w:top w:w="100" w:type="dxa"/>
              <w:bottom w:w="100" w:type="dxa"/>
              <w:left w:w="150" w:type="dxa"/>
              <w:right w:w="150" w:type="dxa"/>
            </w:tcMar>
            <w:tcBorders>
              <w:bottom w:val="single" w:sz="4" w:color="E2E8F0"/>
              <w:left w:val="nil"/>
              <w:right w:val="nil"/>
              <w:top w:val="nil"/>
            </w:tcBorders>
          </w:tcPr>
          <w:p>
            <w:r>
              <w:t>Months 1 - 2 (Completed)</w:t>
            </w:r>
          </w:p>
        </w:tc>
        <w:tc>
          <w:tcPr>
            <w:tcW w:type="dxa" w:w="2340"/>
            <w:tcMar>
              <w:top w:w="100" w:type="dxa"/>
              <w:bottom w:w="100" w:type="dxa"/>
              <w:left w:w="150" w:type="dxa"/>
              <w:right w:w="150" w:type="dxa"/>
            </w:tcMar>
            <w:tcBorders>
              <w:bottom w:val="single" w:sz="4" w:color="E2E8F0"/>
              <w:left w:val="nil"/>
              <w:right w:val="nil"/>
              <w:top w:val="nil"/>
            </w:tcBorders>
          </w:tcPr>
          <w:p>
            <w:r>
              <w:t>Monaco Editor, Groq llama-3.3-70b simulation tracer, 10 animated canvases, variable boards, and live complexity profiling charts.</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Phase 2</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Multi-Tenant Classroom</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Months 3 - 4 (Completed)</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Supabase DB schemas, student enrollment via invite codes, classroom rosters, assignment publishing, and student trace history tracking.</w:t>
            </w:r>
          </w:p>
        </w:tc>
      </w:tr>
      <w:tr>
        <w:tc>
          <w:tcPr>
            <w:tcW w:type="dxa" w:w="2340"/>
            <w:tcMar>
              <w:top w:w="100" w:type="dxa"/>
              <w:bottom w:w="100" w:type="dxa"/>
              <w:left w:w="150" w:type="dxa"/>
              <w:right w:w="150" w:type="dxa"/>
            </w:tcMar>
            <w:tcBorders>
              <w:bottom w:val="single" w:sz="4" w:color="E2E8F0"/>
              <w:left w:val="nil"/>
              <w:right w:val="nil"/>
              <w:top w:val="nil"/>
            </w:tcBorders>
          </w:tcPr>
          <w:p>
            <w:r>
              <w:t>Phase 3</w:t>
            </w:r>
          </w:p>
        </w:tc>
        <w:tc>
          <w:tcPr>
            <w:tcW w:type="dxa" w:w="2340"/>
            <w:tcMar>
              <w:top w:w="100" w:type="dxa"/>
              <w:bottom w:w="100" w:type="dxa"/>
              <w:left w:w="150" w:type="dxa"/>
              <w:right w:w="150" w:type="dxa"/>
            </w:tcMar>
            <w:tcBorders>
              <w:bottom w:val="single" w:sz="4" w:color="E2E8F0"/>
              <w:left w:val="nil"/>
              <w:right w:val="nil"/>
              <w:top w:val="nil"/>
            </w:tcBorders>
          </w:tcPr>
          <w:p>
            <w:r>
              <w:t>AI Grading &amp; Analytics</w:t>
            </w:r>
          </w:p>
        </w:tc>
        <w:tc>
          <w:tcPr>
            <w:tcW w:type="dxa" w:w="2340"/>
            <w:tcMar>
              <w:top w:w="100" w:type="dxa"/>
              <w:bottom w:w="100" w:type="dxa"/>
              <w:left w:w="150" w:type="dxa"/>
              <w:right w:w="150" w:type="dxa"/>
            </w:tcMar>
            <w:tcBorders>
              <w:bottom w:val="single" w:sz="4" w:color="E2E8F0"/>
              <w:left w:val="nil"/>
              <w:right w:val="nil"/>
              <w:top w:val="nil"/>
            </w:tcBorders>
          </w:tcPr>
          <w:p>
            <w:r>
              <w:t>Months 5 - 6 (Completed)</w:t>
            </w:r>
          </w:p>
        </w:tc>
        <w:tc>
          <w:tcPr>
            <w:tcW w:type="dxa" w:w="2340"/>
            <w:tcMar>
              <w:top w:w="100" w:type="dxa"/>
              <w:bottom w:w="100" w:type="dxa"/>
              <w:left w:w="150" w:type="dxa"/>
              <w:right w:w="150" w:type="dxa"/>
            </w:tcMar>
            <w:tcBorders>
              <w:bottom w:val="single" w:sz="4" w:color="E2E8F0"/>
              <w:left w:val="nil"/>
              <w:right w:val="nil"/>
              <w:top w:val="nil"/>
            </w:tcBorders>
          </w:tcPr>
          <w:p>
            <w:r>
              <w:t>AI-assisted grading feedback, teacher manual grade overrides, HOD dashboard panels, and NAAC telemetry export capabilities.</w:t>
            </w:r>
          </w:p>
        </w:tc>
      </w:tr>
      <w:tr>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Phase 4</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Commerce &amp; Compliance</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Months 7 - 8 (In Progress)</w:t>
            </w:r>
          </w:p>
        </w:tc>
        <w:tc>
          <w:tcPr>
            <w:tcW w:type="dxa" w:w="2340"/>
            <w:shd w:val="clear" w:color="auto" w:fill="F5F7FA"/>
            <w:tcMar>
              <w:top w:w="100" w:type="dxa"/>
              <w:bottom w:w="100" w:type="dxa"/>
              <w:left w:w="150" w:type="dxa"/>
              <w:right w:w="150" w:type="dxa"/>
            </w:tcMar>
            <w:tcBorders>
              <w:bottom w:val="single" w:sz="4" w:color="E2E8F0"/>
              <w:left w:val="nil"/>
              <w:right w:val="nil"/>
              <w:top w:val="nil"/>
            </w:tcBorders>
          </w:tcPr>
          <w:p>
            <w:r>
              <w:t>Razorpay integration, automated 18% GST invoices, DPDP consent mechanisms, data deletion settings, and public SEO domain mapping.</w:t>
            </w:r>
          </w:p>
        </w:tc>
      </w:tr>
    </w:tbl>
    <w:p>
      <w:pPr>
        <w:pStyle w:val="Heading1"/>
        <w:keepNext/>
        <w:spacing w:before="360" w:after="120"/>
      </w:pPr>
      <w:r>
        <w:rPr>
          <w:rFonts w:ascii="Arial" w:hAnsi="Arial"/>
          <w:b/>
          <w:color w:val="0A2540"/>
          <w:sz w:val="36"/>
        </w:rPr>
        <w:t>10. Appendix &amp; Glossary</w:t>
      </w:r>
    </w:p>
    <w:p>
      <w:pPr>
        <w:spacing w:after="80" w:line="276" w:lineRule="auto"/>
      </w:pPr>
      <w:r>
        <w:rPr>
          <w:rFonts w:ascii="Calibri" w:hAnsi="Calibri"/>
          <w:b/>
          <w:color w:val="333333"/>
          <w:sz w:val="22"/>
        </w:rPr>
        <w:t xml:space="preserve">• </w:t>
      </w:r>
      <w:r>
        <w:rPr>
          <w:rFonts w:ascii="Calibri" w:hAnsi="Calibri"/>
          <w:color w:val="333333"/>
          <w:sz w:val="22"/>
        </w:rPr>
        <w:t>DSA: Data Structures and Algorithms — the core theoretical computer science concepts taught in university labs.</w:t>
      </w:r>
    </w:p>
    <w:p>
      <w:pPr>
        <w:spacing w:after="80" w:line="276" w:lineRule="auto"/>
      </w:pPr>
      <w:r>
        <w:rPr>
          <w:rFonts w:ascii="Calibri" w:hAnsi="Calibri"/>
          <w:b/>
          <w:color w:val="333333"/>
          <w:sz w:val="22"/>
        </w:rPr>
        <w:t xml:space="preserve">• </w:t>
      </w:r>
      <w:r>
        <w:rPr>
          <w:rFonts w:ascii="Calibri" w:hAnsi="Calibri"/>
          <w:color w:val="333333"/>
          <w:sz w:val="22"/>
        </w:rPr>
        <w:t>NAAC: National Assessment and Accreditation Council — an autonomous body that assesses and accredits higher education institutions in India.</w:t>
      </w:r>
    </w:p>
    <w:p>
      <w:pPr>
        <w:spacing w:after="80" w:line="276" w:lineRule="auto"/>
      </w:pPr>
      <w:r>
        <w:rPr>
          <w:rFonts w:ascii="Calibri" w:hAnsi="Calibri"/>
          <w:b/>
          <w:color w:val="333333"/>
          <w:sz w:val="22"/>
        </w:rPr>
        <w:t xml:space="preserve">• </w:t>
      </w:r>
      <w:r>
        <w:rPr>
          <w:rFonts w:ascii="Calibri" w:hAnsi="Calibri"/>
          <w:color w:val="333333"/>
          <w:sz w:val="22"/>
        </w:rPr>
        <w:t>NBA: National Board of Accreditation — accredits engineering and technical education programs based on outcome achievements.</w:t>
      </w:r>
    </w:p>
    <w:p>
      <w:pPr>
        <w:spacing w:after="80" w:line="276" w:lineRule="auto"/>
      </w:pPr>
      <w:r>
        <w:rPr>
          <w:rFonts w:ascii="Calibri" w:hAnsi="Calibri"/>
          <w:b/>
          <w:color w:val="333333"/>
          <w:sz w:val="22"/>
        </w:rPr>
        <w:t xml:space="preserve">• </w:t>
      </w:r>
      <w:r>
        <w:rPr>
          <w:rFonts w:ascii="Calibri" w:hAnsi="Calibri"/>
          <w:color w:val="333333"/>
          <w:sz w:val="22"/>
        </w:rPr>
        <w:t>DPDP Act 2023: Digital Personal Data Protection Act, 2023 — the comprehensive data privacy and protection law enacted by the Government of India.</w:t>
      </w:r>
    </w:p>
    <w:p>
      <w:pPr>
        <w:spacing w:after="80" w:line="276" w:lineRule="auto"/>
      </w:pPr>
      <w:r>
        <w:rPr>
          <w:rFonts w:ascii="Calibri" w:hAnsi="Calibri"/>
          <w:b/>
          <w:color w:val="333333"/>
          <w:sz w:val="22"/>
        </w:rPr>
        <w:t xml:space="preserve">• </w:t>
      </w:r>
      <w:r>
        <w:rPr>
          <w:rFonts w:ascii="Calibri" w:hAnsi="Calibri"/>
          <w:color w:val="333333"/>
          <w:sz w:val="22"/>
        </w:rPr>
        <w:t>LLM: Large Language Model — deep learning algorithms (such as llama-3.3-70b) used to read, trace, and annotate programs.</w:t>
      </w:r>
    </w:p>
    <w:p>
      <w:pPr>
        <w:spacing w:after="80" w:line="276" w:lineRule="auto"/>
      </w:pPr>
      <w:r>
        <w:rPr>
          <w:rFonts w:ascii="Calibri" w:hAnsi="Calibri"/>
          <w:b/>
          <w:color w:val="333333"/>
          <w:sz w:val="22"/>
        </w:rPr>
        <w:t xml:space="preserve">• </w:t>
      </w:r>
      <w:r>
        <w:rPr>
          <w:rFonts w:ascii="Calibri" w:hAnsi="Calibri"/>
          <w:color w:val="333333"/>
          <w:sz w:val="22"/>
        </w:rPr>
        <w:t>Execution Trace: The detailed record of line-by-line program state changes during execution.</w:t>
      </w:r>
    </w:p>
    <w:p>
      <w:pPr>
        <w:spacing w:after="240" w:line="276" w:lineRule="auto"/>
      </w:pPr>
      <w:r>
        <w:rPr>
          <w:rFonts w:ascii="Calibri" w:hAnsi="Calibri"/>
          <w:b/>
          <w:color w:val="333333"/>
          <w:sz w:val="22"/>
        </w:rPr>
        <w:t xml:space="preserve">• </w:t>
      </w:r>
      <w:r>
        <w:rPr>
          <w:rFonts w:ascii="Calibri" w:hAnsi="Calibri"/>
          <w:color w:val="333333"/>
          <w:sz w:val="22"/>
        </w:rPr>
        <w:t>RLS: Row Level Security — database-level policies restricting data access based on authenticated user IDs.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828C"/>
        <w:sz w:val="18"/>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828C"/>
        <w:sz w:val="17"/>
      </w:rPr>
      <w:t>CodeCanvas (LPU CodeViz) — 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