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Arial" w:hAnsi="Arial"/>
          <w:b/>
          <w:color w:val="0A2540"/>
          <w:sz w:val="52"/>
        </w:rPr>
        <w:t>TECHNICAL PITCH DECK</w:t>
        <w:br/>
        <w:t>FOR JUDGES</w:t>
      </w:r>
    </w:p>
    <w:p>
      <w:pPr>
        <w:spacing w:after="1600"/>
        <w:jc w:val="center"/>
      </w:pPr>
      <w:r>
        <w:rPr>
          <w:rFonts w:ascii="Arial" w:hAnsi="Arial"/>
          <w:b/>
          <w:color w:val="008080"/>
          <w:sz w:val="24"/>
        </w:rPr>
        <w:t>CodeCanvas: Dynamic Code Visualization &amp; Simulated Execution Engine</w:t>
      </w:r>
    </w:p>
    <w:p>
      <w:pPr>
        <w:spacing w:after="400"/>
        <w:jc w:val="center"/>
      </w:pPr>
      <w:r>
        <w:rPr>
          <w:rFonts w:ascii="Calibri" w:hAnsi="Calibri"/>
          <w:color w:val="646E78"/>
          <w:sz w:val="21"/>
        </w:rPr>
        <w:t>Author: Prathamesh Sawarkar (Registration ID: 12509401)</w:t>
        <w:br/>
        <w:t>Scope: LPU Computer Science Department</w:t>
        <w:br/>
        <w:t>Stack: Next.js + FastAPI + Supabase PostgreSQL + Groq AI Tracing</w:t>
        <w:br/>
        <w:t>Contact: prathameshsawarkar1@gmail.com</w:t>
      </w:r>
    </w:p>
    <w:p>
      <w:r>
        <w:br w:type="page"/>
      </w:r>
    </w:p>
    <w:p>
      <w:pPr>
        <w:pStyle w:val="Heading1"/>
        <w:keepNext/>
        <w:spacing w:before="360" w:after="120"/>
      </w:pPr>
      <w:r>
        <w:rPr>
          <w:rFonts w:ascii="Arial" w:hAnsi="Arial"/>
          <w:b/>
          <w:color w:val="0A2540"/>
          <w:sz w:val="32"/>
        </w:rPr>
        <w:t>Slide 1: Title &amp; Technical Overview</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Showcase a dark-themed visual block tracing code inputs to a graphical data structures map.</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Title: CodeCanvas: Visualizing Code State</w:t>
      </w:r>
    </w:p>
    <w:p>
      <w:pPr>
        <w:pStyle w:val="ListBullet"/>
        <w:spacing w:after="160" w:line="276" w:lineRule="auto"/>
      </w:pPr>
      <w:r>
        <w:rPr>
          <w:rFonts w:ascii="Calibri" w:hAnsi="Calibri"/>
          <w:color w:val="333333"/>
          <w:sz w:val="22"/>
        </w:rPr>
        <w:t>• Subtitle: An AI-Simulated Code Tracing and Interactive Tutoring Architecture</w:t>
      </w:r>
    </w:p>
    <w:p>
      <w:pPr>
        <w:pStyle w:val="ListBullet"/>
        <w:spacing w:after="160" w:line="276" w:lineRule="auto"/>
      </w:pPr>
      <w:r>
        <w:rPr>
          <w:rFonts w:ascii="Calibri" w:hAnsi="Calibri"/>
          <w:color w:val="333333"/>
          <w:sz w:val="22"/>
        </w:rPr>
        <w:t>• Stack: Next.js App Router | FastAPI | Supabase PostgreSQL | Groq Llama-3.3</w:t>
      </w:r>
    </w:p>
    <w:p>
      <w:pPr>
        <w:pStyle w:val="ListBullet"/>
        <w:spacing w:after="160" w:line="276" w:lineRule="auto"/>
      </w:pPr>
      <w:r>
        <w:rPr>
          <w:rFonts w:ascii="Calibri" w:hAnsi="Calibri"/>
          <w:color w:val="333333"/>
          <w:sz w:val="22"/>
        </w:rPr>
        <w:t>• Scope: Lovely Professional University Computer Science Department</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Hello, judges. Today, I am presenting the technical architecture of CodeCanvas—an interactive code tracing platform designed to solve the visualization gap in computer science labs. Instead of running expensive, risky sandboxes to execute student code, CodeCanvas uses a dual-layer client-server architecture powered by high-throughput AI inference models to trace execution state dynamically in under two seconds.</w:t>
            </w:r>
          </w:p>
        </w:tc>
      </w:tr>
    </w:tbl>
    <w:p>
      <w:pPr>
        <w:spacing w:before="0" w:after="280"/>
      </w:pPr>
    </w:p>
    <w:p>
      <w:r>
        <w:br w:type="page"/>
      </w:r>
    </w:p>
    <w:p>
      <w:pPr>
        <w:pStyle w:val="Heading1"/>
        <w:keepNext/>
        <w:spacing w:before="360" w:after="120"/>
      </w:pPr>
      <w:r>
        <w:rPr>
          <w:rFonts w:ascii="Arial" w:hAnsi="Arial"/>
          <w:b/>
          <w:color w:val="0A2540"/>
          <w:sz w:val="32"/>
        </w:rPr>
        <w:t>Slide 2: Technical Architecture</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System flowchart: Monaco Editor UI -&gt; FastAPI (Railway) -&gt; Groq API (Llama 3.3 70B) -&gt; Steps JSON -&gt; Visual Canvas.</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Client-Server Division: Frontend handles visual layers; backend manages AI-simulated execution compilation.</w:t>
      </w:r>
    </w:p>
    <w:p>
      <w:pPr>
        <w:pStyle w:val="ListBullet"/>
        <w:spacing w:after="160" w:line="276" w:lineRule="auto"/>
      </w:pPr>
      <w:r>
        <w:rPr>
          <w:rFonts w:ascii="Calibri" w:hAnsi="Calibri"/>
          <w:color w:val="333333"/>
          <w:sz w:val="22"/>
        </w:rPr>
        <w:t>• Serverless Middlewares: FastAPI functions as API broker; Supabase handles authentications &amp; SQL variables.</w:t>
      </w:r>
    </w:p>
    <w:p>
      <w:pPr>
        <w:pStyle w:val="ListBullet"/>
        <w:spacing w:after="160" w:line="276" w:lineRule="auto"/>
      </w:pPr>
      <w:r>
        <w:rPr>
          <w:rFonts w:ascii="Calibri" w:hAnsi="Calibri"/>
          <w:color w:val="333333"/>
          <w:sz w:val="22"/>
        </w:rPr>
        <w:t>• Speed Goals: Render loops compile client-side using Framer Motion to bypass browser layout bottlenecks.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The standard way to build a code execution platform like LeetCode is to run student code in isolated, virtualized Docker containers on your servers. However, this is expensive and poses serious security risks. CodeCanvas bypasses this by introducing AI-Simulated Tracing. Let's look at the flow: the student writes code, our FastAPI server packages the file, Groq evaluates it, and the frontend renders the state transition snapshots.</w:t>
            </w:r>
          </w:p>
        </w:tc>
      </w:tr>
    </w:tbl>
    <w:p>
      <w:pPr>
        <w:spacing w:before="0" w:after="280"/>
      </w:pPr>
    </w:p>
    <w:p>
      <w:r>
        <w:br w:type="page"/>
      </w:r>
    </w:p>
    <w:p>
      <w:pPr>
        <w:pStyle w:val="Heading1"/>
        <w:keepNext/>
        <w:spacing w:before="360" w:after="120"/>
      </w:pPr>
      <w:r>
        <w:rPr>
          <w:rFonts w:ascii="Arial" w:hAnsi="Arial"/>
          <w:b/>
          <w:color w:val="0A2540"/>
          <w:sz w:val="32"/>
        </w:rPr>
        <w:t>Slide 3: The AI-Simulated Tracing Engine</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Illustration showing source code passing through a filtration layer to a virtual execution AI model, yielding strict JSON arrays.</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Core Model: Llama-3.3-70b-versatile hosted on Groq for sub-2.0s generation times.</w:t>
      </w:r>
    </w:p>
    <w:p>
      <w:pPr>
        <w:pStyle w:val="ListBullet"/>
        <w:spacing w:after="160" w:line="276" w:lineRule="auto"/>
      </w:pPr>
      <w:r>
        <w:rPr>
          <w:rFonts w:ascii="Calibri" w:hAnsi="Calibri"/>
          <w:color w:val="333333"/>
          <w:sz w:val="22"/>
        </w:rPr>
        <w:t>• Prompt Construction: System directives force strict JSON snapshots detailing lines, scopes, variables, and explanations.</w:t>
      </w:r>
    </w:p>
    <w:p>
      <w:pPr>
        <w:pStyle w:val="ListBullet"/>
        <w:spacing w:after="160" w:line="276" w:lineRule="auto"/>
      </w:pPr>
      <w:r>
        <w:rPr>
          <w:rFonts w:ascii="Calibri" w:hAnsi="Calibri"/>
          <w:color w:val="333333"/>
          <w:sz w:val="22"/>
        </w:rPr>
        <w:t>• Safety Parameters: Interprets infinite loops and exceptions safely without execution halts.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Our tracing backend does not execute the student's code on a physical processor. Instead, the code is sent to the Llama-3.3 model via Groq. The model acts as a virtual execution engine, outputting a strict JSON array representing every execution step. This is fast, secure, and generates natural-language explanations for every variable mutation.</w:t>
            </w:r>
          </w:p>
        </w:tc>
      </w:tr>
    </w:tbl>
    <w:p>
      <w:pPr>
        <w:spacing w:before="0" w:after="280"/>
      </w:pPr>
    </w:p>
    <w:p>
      <w:r>
        <w:br w:type="page"/>
      </w:r>
    </w:p>
    <w:p>
      <w:pPr>
        <w:pStyle w:val="Heading1"/>
        <w:keepNext/>
        <w:spacing w:before="360" w:after="120"/>
      </w:pPr>
      <w:r>
        <w:rPr>
          <w:rFonts w:ascii="Arial" w:hAnsi="Arial"/>
          <w:b/>
          <w:color w:val="0A2540"/>
          <w:sz w:val="32"/>
        </w:rPr>
        <w:t>Slide 4: Frontend State Rendering &amp; Monaco Integration</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Mockup of Monaco Editor with highlighted code line next to a visual canvas with elements (e.g. array bars sorting).</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Code Input: Embeds Monaco Editor for autocomplete, formatting, and standard theme overrides.</w:t>
      </w:r>
    </w:p>
    <w:p>
      <w:pPr>
        <w:pStyle w:val="ListBullet"/>
        <w:spacing w:after="160" w:line="276" w:lineRule="auto"/>
      </w:pPr>
      <w:r>
        <w:rPr>
          <w:rFonts w:ascii="Calibri" w:hAnsi="Calibri"/>
          <w:color w:val="333333"/>
          <w:sz w:val="22"/>
        </w:rPr>
        <w:t>• Animations: Framer Motion hooks transition elements smoothly at 60 fps.</w:t>
      </w:r>
    </w:p>
    <w:p>
      <w:pPr>
        <w:pStyle w:val="ListBullet"/>
        <w:spacing w:after="160" w:line="276" w:lineRule="auto"/>
      </w:pPr>
      <w:r>
        <w:rPr>
          <w:rFonts w:ascii="Calibri" w:hAnsi="Calibri"/>
          <w:color w:val="333333"/>
          <w:sz w:val="22"/>
        </w:rPr>
        <w:t>• Player Interface: Video-style playback controls (Next, Prev, Play, Pause, Speed slider) drive the state indexes.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On the client side, we embed the Monaco Editor, giving students a professional development environment. The visualizer dashboard reads the trace JSON and passes it to Framer Motion components. As the student clicks 'Next', the variables and canvas states transition smoothly at 60 frames per second, matching the exact line highlight in the editor.</w:t>
            </w:r>
          </w:p>
        </w:tc>
      </w:tr>
    </w:tbl>
    <w:p>
      <w:pPr>
        <w:spacing w:before="0" w:after="280"/>
      </w:pPr>
    </w:p>
    <w:p>
      <w:r>
        <w:br w:type="page"/>
      </w:r>
    </w:p>
    <w:p>
      <w:pPr>
        <w:pStyle w:val="Heading1"/>
        <w:keepNext/>
        <w:spacing w:before="360" w:after="120"/>
      </w:pPr>
      <w:r>
        <w:rPr>
          <w:rFonts w:ascii="Arial" w:hAnsi="Arial"/>
          <w:b/>
          <w:color w:val="0A2540"/>
          <w:sz w:val="32"/>
        </w:rPr>
        <w:t>Slide 5: Database Models &amp; Row-Level Security (RLS)</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Relational schema chart linking user profiles to classrooms, enrollments, assignments, and submissions.</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Engine: Supabase PostgreSQL with automated trigger bindings.</w:t>
      </w:r>
    </w:p>
    <w:p>
      <w:pPr>
        <w:pStyle w:val="ListBullet"/>
        <w:spacing w:after="160" w:line="276" w:lineRule="auto"/>
      </w:pPr>
      <w:r>
        <w:rPr>
          <w:rFonts w:ascii="Calibri" w:hAnsi="Calibri"/>
          <w:color w:val="333333"/>
          <w:sz w:val="22"/>
        </w:rPr>
        <w:t>• Row-Level Security (RLS): Strict policies isolate student data; teachers query rosters using invite keys.</w:t>
      </w:r>
    </w:p>
    <w:p>
      <w:pPr>
        <w:pStyle w:val="ListBullet"/>
        <w:spacing w:after="160" w:line="276" w:lineRule="auto"/>
      </w:pPr>
      <w:r>
        <w:rPr>
          <w:rFonts w:ascii="Calibri" w:hAnsi="Calibri"/>
          <w:color w:val="333333"/>
          <w:sz w:val="22"/>
        </w:rPr>
        <w:t>• Logging Index: Logs telemetry of trace history and streaks, driving institutional dashboards.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Our database is hosted on Supabase PostgreSQL. To protect student data and support B2B multi-tenancy, we enabled Row-Level Security on all tables. Students can only query their own submissions and profiles, while professors can view enrollments and progress logs linked to their class invite codes.</w:t>
            </w:r>
          </w:p>
        </w:tc>
      </w:tr>
    </w:tbl>
    <w:p>
      <w:pPr>
        <w:spacing w:before="0" w:after="280"/>
      </w:pPr>
    </w:p>
    <w:p>
      <w:r>
        <w:br w:type="page"/>
      </w:r>
    </w:p>
    <w:p>
      <w:pPr>
        <w:pStyle w:val="Heading1"/>
        <w:keepNext/>
        <w:spacing w:before="360" w:after="120"/>
      </w:pPr>
      <w:r>
        <w:rPr>
          <w:rFonts w:ascii="Arial" w:hAnsi="Arial"/>
          <w:b/>
          <w:color w:val="0A2540"/>
          <w:sz w:val="32"/>
        </w:rPr>
        <w:t>Slide 6: Core API Contract (POST /api/trace)</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Side-by-side payload view showing request parameters and step variables JSON output.</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Request: code (string), lang (string), data_structure (string).</w:t>
      </w:r>
    </w:p>
    <w:p>
      <w:pPr>
        <w:pStyle w:val="ListBullet"/>
        <w:spacing w:after="160" w:line="276" w:lineRule="auto"/>
      </w:pPr>
      <w:r>
        <w:rPr>
          <w:rFonts w:ascii="Calibri" w:hAnsi="Calibri"/>
          <w:color w:val="333333"/>
          <w:sz w:val="22"/>
        </w:rPr>
        <w:t>• State Snapshots: Contains line_number (integer), explanation (string), variables (key-value object), and data_structure_state (custom visualization highlights).</w:t>
      </w:r>
    </w:p>
    <w:p>
      <w:pPr>
        <w:pStyle w:val="ListBullet"/>
        <w:spacing w:after="160" w:line="276" w:lineRule="auto"/>
      </w:pPr>
      <w:r>
        <w:rPr>
          <w:rFonts w:ascii="Calibri" w:hAnsi="Calibri"/>
          <w:color w:val="333333"/>
          <w:sz w:val="22"/>
        </w:rPr>
        <w:t>• Schema Compliance: Fails gracefully if output lacks required snapshot parameters.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This is our primary API contract. When calling /api/trace, the payload contains the code string and target topic. The engine returns a step snapshot with the line number, natural-language explanation, variable states, and data structure mutations—such as array states and indices to swap—allowing the UI to animate transitions.</w:t>
            </w:r>
          </w:p>
        </w:tc>
      </w:tr>
    </w:tbl>
    <w:p>
      <w:pPr>
        <w:spacing w:before="0" w:after="280"/>
      </w:pPr>
    </w:p>
    <w:p>
      <w:r>
        <w:br w:type="page"/>
      </w:r>
    </w:p>
    <w:p>
      <w:pPr>
        <w:pStyle w:val="Heading1"/>
        <w:keepNext/>
        <w:spacing w:before="360" w:after="120"/>
      </w:pPr>
      <w:r>
        <w:rPr>
          <w:rFonts w:ascii="Arial" w:hAnsi="Arial"/>
          <w:b/>
          <w:color w:val="0A2540"/>
          <w:sz w:val="32"/>
        </w:rPr>
        <w:t>Slide 7: Security Posture: RCE Defense</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Diagram contrasting Docker server execution vulnerabilities (CPU attacks, kernel breaks) with safe AI-Simulated tracing.</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Server Hazard: Standard IDEs compile student scripts natively, exposing servers to remote command runs.</w:t>
      </w:r>
    </w:p>
    <w:p>
      <w:pPr>
        <w:pStyle w:val="ListBullet"/>
        <w:spacing w:after="160" w:line="276" w:lineRule="auto"/>
      </w:pPr>
      <w:r>
        <w:rPr>
          <w:rFonts w:ascii="Calibri" w:hAnsi="Calibri"/>
          <w:color w:val="333333"/>
          <w:sz w:val="22"/>
        </w:rPr>
        <w:t>• AI Shielding: Malicious loops, system access attempts, and memory leaks are parsed and reported conceptually by the model, never hitting server hardware.</w:t>
      </w:r>
    </w:p>
    <w:p>
      <w:pPr>
        <w:pStyle w:val="ListBullet"/>
        <w:spacing w:after="160" w:line="276" w:lineRule="auto"/>
      </w:pPr>
      <w:r>
        <w:rPr>
          <w:rFonts w:ascii="Calibri" w:hAnsi="Calibri"/>
          <w:color w:val="333333"/>
          <w:sz w:val="22"/>
        </w:rPr>
        <w:t>• Zero Footprint: Minimizes Docker micro-virtualization maintenance costs to zero.</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Because we don't compile student code natively, we are secure against Remote Code Execution (RCE) attacks. If a student submits an infinite loop, system command execution, or a fork-bomb script, the AI model detects and describes the behavior in the JSON trace rather than compiling it on the server hardware. This saves system resources and eliminates sandbox vulnerabilities.</w:t>
            </w:r>
          </w:p>
        </w:tc>
      </w:tr>
    </w:tbl>
    <w:p>
      <w:pPr>
        <w:spacing w:before="0" w:after="280"/>
      </w:pPr>
    </w:p>
    <w:p>
      <w:r>
        <w:br w:type="page"/>
      </w:r>
    </w:p>
    <w:p>
      <w:pPr>
        <w:pStyle w:val="Heading1"/>
        <w:keepNext/>
        <w:spacing w:before="360" w:after="120"/>
      </w:pPr>
      <w:r>
        <w:rPr>
          <w:rFonts w:ascii="Arial" w:hAnsi="Arial"/>
          <w:b/>
          <w:color w:val="0A2540"/>
          <w:sz w:val="32"/>
        </w:rPr>
        <w:t>Slide 8: Technical Performance &amp; Latency SLAs</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Latency stats graph showing average response speed distributions and cache hit benefits.</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Response Speed: Trace generation resolves in &lt;= 2.0s at the 95th percentile.</w:t>
      </w:r>
    </w:p>
    <w:p>
      <w:pPr>
        <w:pStyle w:val="ListBullet"/>
        <w:spacing w:after="160" w:line="276" w:lineRule="auto"/>
      </w:pPr>
      <w:r>
        <w:rPr>
          <w:rFonts w:ascii="Calibri" w:hAnsi="Calibri"/>
          <w:color w:val="333333"/>
          <w:sz w:val="22"/>
        </w:rPr>
        <w:t>• Caching Layer: Database caching of pre-loaded syllabus templates yields &gt;= 45% hit ratio with sub-100ms response.</w:t>
      </w:r>
    </w:p>
    <w:p>
      <w:pPr>
        <w:pStyle w:val="ListBullet"/>
        <w:spacing w:after="160" w:line="276" w:lineRule="auto"/>
      </w:pPr>
      <w:r>
        <w:rPr>
          <w:rFonts w:ascii="Calibri" w:hAnsi="Calibri"/>
          <w:color w:val="333333"/>
          <w:sz w:val="22"/>
        </w:rPr>
        <w:t>• Session Scale: Serverless hosting scales automatically to support &gt;= 5,000 concurrent student connections.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Performance is key in lab environments. Our AI tracing calls average under 1.5 seconds. For standard templates pre-loaded into our syllabus module, we use a database caching layer. When a student visualizes a template example, the system retrieves it from cache instantly, delivering a sub-100ms response.</w:t>
            </w:r>
          </w:p>
        </w:tc>
      </w:tr>
    </w:tbl>
    <w:p>
      <w:pPr>
        <w:spacing w:before="0" w:after="280"/>
      </w:pPr>
    </w:p>
    <w:p>
      <w:r>
        <w:br w:type="page"/>
      </w:r>
    </w:p>
    <w:p>
      <w:pPr>
        <w:pStyle w:val="Heading1"/>
        <w:keepNext/>
        <w:spacing w:before="360" w:after="120"/>
      </w:pPr>
      <w:r>
        <w:rPr>
          <w:rFonts w:ascii="Arial" w:hAnsi="Arial"/>
          <w:b/>
          <w:color w:val="0A2540"/>
          <w:sz w:val="32"/>
        </w:rPr>
        <w:t>Slide 9: Gamification &amp; Certification Architecture</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Workflow chart: Daily activity -&gt; Streak validation -&gt; XP triggers -&gt; Cryptographic verify link.</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Streak Engine: Postgres SQL trigger functions recalculate streak values on active days.</w:t>
      </w:r>
    </w:p>
    <w:p>
      <w:pPr>
        <w:pStyle w:val="ListBullet"/>
        <w:spacing w:after="160" w:line="276" w:lineRule="auto"/>
      </w:pPr>
      <w:r>
        <w:rPr>
          <w:rFonts w:ascii="Calibri" w:hAnsi="Calibri"/>
          <w:color w:val="333333"/>
          <w:sz w:val="22"/>
        </w:rPr>
        <w:t>• Certification: Automated PDF generator compiles signed certifications with verify slugs (/verify/[id]).</w:t>
      </w:r>
    </w:p>
    <w:p>
      <w:pPr>
        <w:pStyle w:val="ListBullet"/>
        <w:spacing w:after="160" w:line="276" w:lineRule="auto"/>
      </w:pPr>
      <w:r>
        <w:rPr>
          <w:rFonts w:ascii="Calibri" w:hAnsi="Calibri"/>
          <w:color w:val="333333"/>
          <w:sz w:val="22"/>
        </w:rPr>
        <w:t>• Outcomes Evidence: Aggregated trace telemetry forms proof of lab participation for audits.</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To keep students motivated, we integrated a database-driven gamification engine. Tracing code triggers database RPC functions to update XP and streaks. Once a topic is complete, the platform generates a cryptographically signed PDF certificate. The certificate carries a unique ID verify route, providing proof of outcome attainment for university files.</w:t>
            </w:r>
          </w:p>
        </w:tc>
      </w:tr>
    </w:tbl>
    <w:p>
      <w:pPr>
        <w:spacing w:before="0" w:after="280"/>
      </w:pPr>
    </w:p>
    <w:p>
      <w:r>
        <w:br w:type="page"/>
      </w:r>
    </w:p>
    <w:p>
      <w:pPr>
        <w:pStyle w:val="Heading1"/>
        <w:keepNext/>
        <w:spacing w:before="360" w:after="120"/>
      </w:pPr>
      <w:r>
        <w:rPr>
          <w:rFonts w:ascii="Arial" w:hAnsi="Arial"/>
          <w:b/>
          <w:color w:val="0A2540"/>
          <w:sz w:val="32"/>
        </w:rPr>
        <w:t>Slide 10: Future Roadmap &amp; Integrations</w:t>
      </w:r>
    </w:p>
    <w:tbl>
      <w:tblPr>
        <w:tblW w:type="auto" w:w="0"/>
        <w:jc w:val="center"/>
        <w:tblLayout w:type="fixed"/>
        <w:tblLook w:firstColumn="1" w:firstRow="1" w:lastColumn="0" w:lastRow="0" w:noHBand="0" w:noVBand="1" w:val="04A0"/>
      </w:tblPr>
      <w:tblGrid>
        <w:gridCol w:w="9360"/>
      </w:tblGrid>
      <w:tr>
        <w:tc>
          <w:tcPr>
            <w:tcW w:type="dxa" w:w="9360"/>
            <w:shd w:val="clear" w:color="auto" w:fill="F4FBFB"/>
            <w:tcBorders>
              <w:left w:val="single" w:sz="36" w:space="0" w:color="008080"/>
              <w:top w:val="nil"/>
              <w:bottom w:val="nil"/>
              <w:right w:val="nil"/>
            </w:tcBorders>
            <w:tcMar>
              <w:top w:w="120" w:type="dxa"/>
              <w:bottom w:w="120" w:type="dxa"/>
              <w:left w:w="180" w:type="dxa"/>
              <w:right w:w="150" w:type="dxa"/>
            </w:tcMar>
          </w:tcPr>
          <w:p>
            <w:pPr>
              <w:spacing w:before="0" w:after="80"/>
            </w:pPr>
            <w:r>
              <w:rPr>
                <w:rFonts w:ascii="Arial" w:hAnsi="Arial"/>
                <w:b/>
                <w:color w:val="008080"/>
                <w:sz w:val="19"/>
              </w:rPr>
              <w:t>SLIDE VISUAL LAYOUT SUGGESTION</w:t>
              <w:br/>
            </w:r>
            <w:r>
              <w:rPr>
                <w:rFonts w:ascii="Calibri" w:hAnsi="Calibri"/>
                <w:color w:val="333333"/>
                <w:sz w:val="20"/>
              </w:rPr>
              <w:t>Timeline mapping LTI 1.3 LMS sync -&gt; Pyodide WASM client offline execution -&gt; ABC Portal link.</w:t>
            </w:r>
          </w:p>
        </w:tc>
      </w:tr>
    </w:tbl>
    <w:p>
      <w:pPr>
        <w:spacing w:before="0" w:after="200"/>
      </w:pPr>
    </w:p>
    <w:p>
      <w:pPr>
        <w:pStyle w:val="Heading2"/>
        <w:keepNext/>
        <w:spacing w:before="360" w:after="120"/>
      </w:pPr>
      <w:r>
        <w:rPr>
          <w:rFonts w:ascii="Arial" w:hAnsi="Arial"/>
          <w:b/>
          <w:color w:val="008080"/>
          <w:sz w:val="26"/>
        </w:rPr>
        <w:t>Slide Text Content:</w:t>
      </w:r>
    </w:p>
    <w:p>
      <w:pPr>
        <w:pStyle w:val="ListBullet"/>
        <w:spacing w:after="160" w:line="276" w:lineRule="auto"/>
      </w:pPr>
      <w:r>
        <w:rPr>
          <w:rFonts w:ascii="Calibri" w:hAnsi="Calibri"/>
          <w:color w:val="333333"/>
          <w:sz w:val="22"/>
        </w:rPr>
        <w:t>• LTI 1.3 Compliance: Roster syncing and gradebook passback to Canvas, Blackboard, and Moodle.</w:t>
      </w:r>
    </w:p>
    <w:p>
      <w:pPr>
        <w:pStyle w:val="ListBullet"/>
        <w:spacing w:after="160" w:line="276" w:lineRule="auto"/>
      </w:pPr>
      <w:r>
        <w:rPr>
          <w:rFonts w:ascii="Calibri" w:hAnsi="Calibri"/>
          <w:color w:val="333333"/>
          <w:sz w:val="22"/>
        </w:rPr>
        <w:t>• WASM Client Engine: Integrating Pyodide directly in-browser to trace basic scripts offline.</w:t>
      </w:r>
    </w:p>
    <w:p>
      <w:pPr>
        <w:pStyle w:val="ListBullet"/>
        <w:spacing w:after="160" w:line="276" w:lineRule="auto"/>
      </w:pPr>
      <w:r>
        <w:rPr>
          <w:rFonts w:ascii="Calibri" w:hAnsi="Calibri"/>
          <w:color w:val="333333"/>
          <w:sz w:val="22"/>
        </w:rPr>
        <w:t>• ABC Integration: Sync student progress with the national Academic Bank of Credits (ABC) portal.</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left w:val="single" w:sz="24" w:space="0" w:color="64748B"/>
              <w:top w:val="nil"/>
              <w:bottom w:val="nil"/>
              <w:right w:val="nil"/>
            </w:tcBorders>
            <w:tcMar>
              <w:top w:w="100" w:type="dxa"/>
              <w:bottom w:w="100" w:type="dxa"/>
              <w:left w:w="150" w:type="dxa"/>
              <w:right w:w="150" w:type="dxa"/>
            </w:tcMar>
          </w:tcPr>
          <w:p>
            <w:pPr>
              <w:spacing w:before="0" w:after="80"/>
            </w:pPr>
            <w:r>
              <w:rPr>
                <w:rFonts w:ascii="Arial" w:hAnsi="Arial"/>
                <w:b/>
                <w:color w:val="64748B"/>
                <w:sz w:val="18"/>
              </w:rPr>
              <w:t>SPEAKER TALKING POINTS</w:t>
              <w:br/>
            </w:r>
            <w:r>
              <w:rPr>
                <w:rFonts w:ascii="Calibri" w:hAnsi="Calibri"/>
                <w:i/>
                <w:color w:val="475569"/>
                <w:sz w:val="20"/>
              </w:rPr>
              <w:t>Looking ahead, we are expanding our integrations. We are implementing LTI 1.3 standards to link rosters and gradebooks with Canvas and Moodle. We are also integrating Pyodide for WebAssembly client-side tracing and syncing progress files directly with the national Academic Bank of Credits (ABC) portal.</w:t>
            </w:r>
          </w:p>
        </w:tc>
      </w:tr>
    </w:tbl>
    <w:p>
      <w:pPr>
        <w:spacing w:before="0" w:after="280"/>
      </w:pP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828C"/>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828C"/>
        <w:sz w:val="17"/>
      </w:rPr>
      <w:t>CodeCanvas — Technical Pitch Deck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