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ing1"/>
      </w:pPr>
      <w:r>
        <w:t>4. Experiments</w:t>
      </w:r>
    </w:p>
    <w:p>
      <w:r>
        <w:t>To comprehensively evaluate the efficacy, accuracy, and generalizability of our proposed Fourier Neural Operator with Residual Correction (FNO-RC), we conducted a series of systematic comparisons against the standard Fourier Neural Operator (FNO) baseline across a range of complex physical systems in one, two, and three dimensions. This section details the datasets, implementation specifics, and the quantitative and qualitative results of our experiments.</w:t>
      </w:r>
    </w:p>
    <w:p>
      <w:pPr>
        <w:pStyle w:val="CustomHeading2"/>
      </w:pPr>
      <w:r>
        <w:t>4.1 FNO-RC Architecture</w:t>
      </w:r>
    </w:p>
    <w:p>
      <w:r>
        <w:t>Our primary contribution is the FNO-RC architecture, designed to enhance long-term prediction stability by integrating a parallel correction pathway into the standard FNO framework. The architecture is depicted in Figure 1.</w:t>
      </w:r>
      <w:r>
        <w:rPr>
          <w:i/>
        </w:rPr>
        <w:br/>
        <w:br/>
        <w:t>[Insert Figure 1: The FNO-RC architecture diagram, showing both the overall structure and the detailed layer design. This should be the 'fno_rc_publication_diagram_v6.svg' figure we created.]</w:t>
        <w:br/>
      </w:r>
    </w:p>
    <w:p>
      <w:r>
        <w:t xml:space="preserve">The FNO-RC layer, our core innovation, processes an input function </w:t>
      </w:r>
      <w:r>
        <w:rPr>
          <w:i/>
        </w:rPr>
        <w:t>v</w:t>
      </w:r>
      <w:r>
        <w:rPr>
          <w:vertAlign w:val="subscript"/>
        </w:rPr>
        <w:t>t</w:t>
      </w:r>
      <w:r>
        <w:t>(x)</w:t>
      </w:r>
      <w:r>
        <w:t xml:space="preserve"> via two parallel branches:</w:t>
      </w:r>
    </w:p>
    <w:p>
      <w:pPr>
        <w:pStyle w:val="ListBullet"/>
      </w:pPr>
      <w:r>
        <w:t xml:space="preserve">•   </w:t>
      </w:r>
      <w:r>
        <w:rPr>
          <w:b/>
        </w:rPr>
        <w:t xml:space="preserve">Main Prediction Path: </w:t>
      </w:r>
      <w:r>
        <w:t xml:space="preserve">A standard Fourier layer that generates an initial prediction </w:t>
      </w:r>
      <w:r>
        <w:rPr>
          <w:i/>
        </w:rPr>
        <w:t>v'</w:t>
      </w:r>
      <w:r>
        <w:rPr>
          <w:vertAlign w:val="subscript"/>
        </w:rPr>
        <w:t>t+1</w:t>
      </w:r>
      <w:r>
        <w:t>(x)</w:t>
      </w:r>
      <w:r>
        <w:t xml:space="preserve"> by combining a global spectral convolution with a local spatial transform.</w:t>
      </w:r>
    </w:p>
    <w:p>
      <w:pPr>
        <w:pStyle w:val="ListBullet"/>
      </w:pPr>
      <w:r>
        <w:t xml:space="preserve">•   </w:t>
      </w:r>
      <w:r>
        <w:rPr>
          <w:b/>
        </w:rPr>
        <w:t xml:space="preserve">Residual Correction Path: </w:t>
      </w:r>
      <w:r>
        <w:t xml:space="preserve">A novel pathway that leverages the Continuous Fourier Transform (CFT) to extract robust spectral features from </w:t>
      </w:r>
      <w:r>
        <w:rPr>
          <w:i/>
        </w:rPr>
        <w:t>v</w:t>
      </w:r>
      <w:r>
        <w:rPr>
          <w:vertAlign w:val="subscript"/>
        </w:rPr>
        <w:t>t</w:t>
      </w:r>
      <w:r>
        <w:t>(x)</w:t>
      </w:r>
      <w:r>
        <w:t xml:space="preserve">. These features are then decoded by a small, zero-initialized MLP into a spatial correction field </w:t>
      </w:r>
      <w:r>
        <w:rPr>
          <w:i/>
        </w:rPr>
        <w:t>c(x)</w:t>
      </w:r>
      <w:r>
        <w:t>. The zero-initialization strategy ensures that this path is only activated when it can effectively minimize the prediction error, guaranteeing that performance will be at least as good as the baseline FNO.</w:t>
      </w:r>
    </w:p>
    <w:p>
      <w:r>
        <w:t xml:space="preserve">The final output is the summation of the two paths: </w:t>
      </w:r>
      <w:r>
        <w:rPr>
          <w:i/>
        </w:rPr>
        <w:t>v</w:t>
      </w:r>
      <w:r>
        <w:rPr>
          <w:vertAlign w:val="subscript"/>
        </w:rPr>
        <w:t>t+1</w:t>
      </w:r>
      <w:r>
        <w:t xml:space="preserve">(x) = </w:t>
      </w:r>
      <w:r>
        <w:rPr>
          <w:i/>
        </w:rPr>
        <w:t>v'</w:t>
      </w:r>
      <w:r>
        <w:rPr>
          <w:vertAlign w:val="subscript"/>
        </w:rPr>
        <w:t>t+1</w:t>
      </w:r>
      <w:r>
        <w:t xml:space="preserve">(x) + </w:t>
      </w:r>
      <w:r>
        <w:rPr>
          <w:i/>
        </w:rPr>
        <w:t>c(x)</w:t>
      </w:r>
      <w:r>
        <w:t>.</w:t>
      </w:r>
    </w:p>
    <w:p>
      <w:pPr>
        <w:pStyle w:val="CustomHeading2"/>
      </w:pPr>
      <w:r>
        <w:br/>
        <w:t>4.2 Datasets</w:t>
      </w:r>
    </w:p>
    <w:p>
      <w:pPr>
        <w:pStyle w:val="ListBullet"/>
      </w:pPr>
      <w:r>
        <w:t xml:space="preserve">•   </w:t>
      </w:r>
      <w:r>
        <w:rPr>
          <w:b/>
        </w:rPr>
        <w:t xml:space="preserve">1D Burgers' Equation: </w:t>
      </w:r>
      <w:r>
        <w:t>We use a dataset generated from the viscous Burgers' equation with periodic boundary conditions. The dataset consists of a single long simulation with a spatial resolution of 8192 points and 1001 time steps. From this sequence, we generate 981 training and testing samples using a sliding window approach, where each sample uses 10 time steps to predict the subsequent 10.</w:t>
      </w:r>
    </w:p>
    <w:p>
      <w:pPr>
        <w:pStyle w:val="ListBullet"/>
      </w:pPr>
      <w:r>
        <w:t xml:space="preserve">•   </w:t>
      </w:r>
      <w:r>
        <w:rPr>
          <w:b/>
        </w:rPr>
        <w:t xml:space="preserve">2D Navier-Stokes Equations: </w:t>
      </w:r>
      <w:r>
        <w:t>For the 2D case, we evaluate our model on the vorticity formulation of the Navier-Stokes equation for a viscous, incompressible fluid. The dataset contains 600 independent simulations with a viscosity of ν=1e-4, driven by a constant forcing term. Each simulation has a spatial resolution of 128x128 and 50 time steps. The task is to predict the vorticity field for the final 40 time steps given the initial 10.</w:t>
      </w:r>
    </w:p>
    <w:p>
      <w:pPr>
        <w:pStyle w:val="ListBullet"/>
      </w:pPr>
      <w:r>
        <w:t xml:space="preserve">•   </w:t>
      </w:r>
      <w:r>
        <w:rPr>
          <w:b/>
        </w:rPr>
        <w:t xml:space="preserve">3D Navier-Stokes Equations: </w:t>
      </w:r>
      <w:r>
        <w:t>To assess performance on high-dimensional problems, we use a 3D Navier-Stokes dataset with a viscosity of ν=1e-4. The dataset contains 50 simulations on a 64x64x64 periodic domain. The models are tasked with a challenging long-term sequence-to-sequence prediction: mapping the solution from the first 10 time steps to the subsequent 20 time steps.</w:t>
      </w:r>
    </w:p>
    <w:p>
      <w:pPr>
        <w:pStyle w:val="CustomHeading2"/>
      </w:pPr>
      <w:r>
        <w:br/>
        <w:t>4.3 Implementation Details</w:t>
      </w:r>
    </w:p>
    <w:p>
      <w:r>
        <w:t>All models were implemented in PyTorch. For a fair comparison, both the FNO baseline and our FNO-RC model were trained end-to-end for the same number of epochs using the Adam optimizer and a Cosine Annealing learning rate scheduler. The training objective for all experiments was to minimize the relative L2 norm (LpLoss). Key hyperparameters are summarized in Table 1.</w:t>
      </w:r>
    </w:p>
    <w:p>
      <w:r>
        <w:br/>
        <w:t>[Insert Table 1: Hyperparameter settings for all experiments.]</w:t>
        <w:br/>
      </w:r>
      <w:r>
        <w:rPr>
          <w:i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Problem</w:t>
            </w:r>
          </w:p>
        </w:tc>
        <w:tc>
          <w:tcPr>
            <w:tcW w:type="dxa" w:w="1234"/>
          </w:tcPr>
          <w:p>
            <w:r>
              <w:t>Dimension</w:t>
            </w:r>
          </w:p>
        </w:tc>
        <w:tc>
          <w:tcPr>
            <w:tcW w:type="dxa" w:w="1234"/>
          </w:tcPr>
          <w:p>
            <w:r>
              <w:t>Modes</w:t>
            </w:r>
          </w:p>
        </w:tc>
        <w:tc>
          <w:tcPr>
            <w:tcW w:type="dxa" w:w="1234"/>
          </w:tcPr>
          <w:p>
            <w:r>
              <w:t>Width</w:t>
            </w:r>
          </w:p>
        </w:tc>
        <w:tc>
          <w:tcPr>
            <w:tcW w:type="dxa" w:w="1234"/>
          </w:tcPr>
          <w:p>
            <w:r>
              <w:t>Batch Size</w:t>
            </w:r>
          </w:p>
        </w:tc>
        <w:tc>
          <w:tcPr>
            <w:tcW w:type="dxa" w:w="1234"/>
          </w:tcPr>
          <w:p>
            <w:r>
              <w:t>Learning Rate</w:t>
            </w:r>
          </w:p>
        </w:tc>
        <w:tc>
          <w:tcPr>
            <w:tcW w:type="dxa" w:w="1234"/>
          </w:tcPr>
          <w:p>
            <w:r>
              <w:t>Epochs</w:t>
            </w:r>
          </w:p>
        </w:tc>
      </w:tr>
      <w:tr>
        <w:tc>
          <w:tcPr>
            <w:tcW w:type="dxa" w:w="1234"/>
          </w:tcPr>
          <w:p>
            <w:r>
              <w:t>Burgers</w:t>
            </w:r>
          </w:p>
        </w:tc>
        <w:tc>
          <w:tcPr>
            <w:tcW w:type="dxa" w:w="1234"/>
          </w:tcPr>
          <w:p>
            <w:r>
              <w:t>1D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1e-3</w:t>
            </w:r>
          </w:p>
        </w:tc>
        <w:tc>
          <w:tcPr>
            <w:tcW w:type="dxa" w:w="1234"/>
          </w:tcPr>
          <w:p>
            <w:r>
              <w:t>500</w:t>
            </w:r>
          </w:p>
        </w:tc>
      </w:tr>
      <w:tr>
        <w:tc>
          <w:tcPr>
            <w:tcW w:type="dxa" w:w="1234"/>
          </w:tcPr>
          <w:p>
            <w:r>
              <w:t>Navier-Stokes</w:t>
            </w:r>
          </w:p>
        </w:tc>
        <w:tc>
          <w:tcPr>
            <w:tcW w:type="dxa" w:w="1234"/>
          </w:tcPr>
          <w:p>
            <w:r>
              <w:t>2D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1e-3</w:t>
            </w:r>
          </w:p>
        </w:tc>
        <w:tc>
          <w:tcPr>
            <w:tcW w:type="dxa" w:w="1234"/>
          </w:tcPr>
          <w:p>
            <w:r>
              <w:t>500</w:t>
            </w:r>
          </w:p>
        </w:tc>
      </w:tr>
      <w:tr>
        <w:tc>
          <w:tcPr>
            <w:tcW w:type="dxa" w:w="1234"/>
          </w:tcPr>
          <w:p>
            <w:r>
              <w:t>Navier-Stokes</w:t>
            </w:r>
          </w:p>
        </w:tc>
        <w:tc>
          <w:tcPr>
            <w:tcW w:type="dxa" w:w="1234"/>
          </w:tcPr>
          <w:p>
            <w:r>
              <w:t>3D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1e-3</w:t>
            </w:r>
          </w:p>
        </w:tc>
        <w:tc>
          <w:tcPr>
            <w:tcW w:type="dxa" w:w="1234"/>
          </w:tcPr>
          <w:p>
            <w:r>
              <w:t>500</w:t>
            </w:r>
          </w:p>
        </w:tc>
      </w:tr>
    </w:tbl>
    <w:p>
      <w:pPr>
        <w:pStyle w:val="CustomHeading2"/>
      </w:pPr>
      <w:r>
        <w:br/>
        <w:t>4.4 Results and Analysis</w:t>
      </w:r>
    </w:p>
    <w:p>
      <w:r>
        <w:t>We present a quantitative and qualitative analysis of our model's performance against the baseline.</w:t>
      </w:r>
    </w:p>
    <w:p>
      <w:pPr/>
      <w:r>
        <w:t>Quantitative Results</w:t>
      </w:r>
    </w:p>
    <w:p>
      <w:r>
        <w:t>Table 2 summarizes the final test errors for all experiments. Our FNO-RC model consistently outperforms the standard FNO baseline across all benchmarks. The most substantial improvement is observed in the 2D Navier-Stokes problem, where FNO-RC achieves a 73.68% relative reduction in error, highlighting its strength in long-term, chaotic system prediction. This demonstrates the effectiveness of the CFT-based residual correction mechanism in mitigating error accumulation.</w:t>
      </w:r>
    </w:p>
    <w:p>
      <w:r>
        <w:br/>
        <w:t>[Insert Table 2: Final relative L2 test errors and relative improvement.]</w:t>
        <w:br/>
      </w:r>
      <w:r>
        <w:rPr>
          <w:i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Problem</w:t>
            </w:r>
          </w:p>
        </w:tc>
        <w:tc>
          <w:tcPr>
            <w:tcW w:type="dxa" w:w="2160"/>
          </w:tcPr>
          <w:p>
            <w:r>
              <w:t>FNO Baseline Error</w:t>
            </w:r>
          </w:p>
        </w:tc>
        <w:tc>
          <w:tcPr>
            <w:tcW w:type="dxa" w:w="2160"/>
          </w:tcPr>
          <w:p>
            <w:r>
              <w:t>FNO-RC Error</w:t>
            </w:r>
          </w:p>
        </w:tc>
        <w:tc>
          <w:tcPr>
            <w:tcW w:type="dxa" w:w="2160"/>
          </w:tcPr>
          <w:p>
            <w:r>
              <w:t>Relative Improvement</w:t>
            </w:r>
          </w:p>
        </w:tc>
      </w:tr>
      <w:tr>
        <w:tc>
          <w:tcPr>
            <w:tcW w:type="dxa" w:w="2160"/>
          </w:tcPr>
          <w:p>
            <w:r>
              <w:t>1D Burgers</w:t>
            </w:r>
          </w:p>
        </w:tc>
        <w:tc>
          <w:tcPr>
            <w:tcW w:type="dxa" w:w="2160"/>
          </w:tcPr>
          <w:p>
            <w:r>
              <w:t>0.2211</w:t>
            </w:r>
          </w:p>
        </w:tc>
        <w:tc>
          <w:tcPr>
            <w:tcW w:type="dxa" w:w="2160"/>
          </w:tcPr>
          <w:p>
            <w:r>
              <w:t>0.2145</w:t>
            </w:r>
          </w:p>
        </w:tc>
        <w:tc>
          <w:tcPr>
            <w:tcW w:type="dxa" w:w="2160"/>
          </w:tcPr>
          <w:p>
            <w:r>
              <w:t>2.98%</w:t>
            </w:r>
          </w:p>
        </w:tc>
      </w:tr>
      <w:tr>
        <w:tc>
          <w:tcPr>
            <w:tcW w:type="dxa" w:w="2160"/>
          </w:tcPr>
          <w:p>
            <w:r>
              <w:t>2D Navier-Stokes</w:t>
            </w:r>
          </w:p>
        </w:tc>
        <w:tc>
          <w:tcPr>
            <w:tcW w:type="dxa" w:w="2160"/>
          </w:tcPr>
          <w:p>
            <w:r>
              <w:t>0.0218</w:t>
            </w:r>
          </w:p>
        </w:tc>
        <w:tc>
          <w:tcPr>
            <w:tcW w:type="dxa" w:w="2160"/>
          </w:tcPr>
          <w:p>
            <w:r>
              <w:t>0.0057</w:t>
            </w:r>
          </w:p>
        </w:tc>
        <w:tc>
          <w:tcPr>
            <w:tcW w:type="dxa" w:w="2160"/>
          </w:tcPr>
          <w:p>
            <w:r>
              <w:t>73.68%</w:t>
            </w:r>
          </w:p>
        </w:tc>
      </w:tr>
      <w:tr>
        <w:tc>
          <w:tcPr>
            <w:tcW w:type="dxa" w:w="2160"/>
          </w:tcPr>
          <w:p>
            <w:r>
              <w:t>3D Navier-Stokes</w:t>
            </w:r>
          </w:p>
        </w:tc>
        <w:tc>
          <w:tcPr>
            <w:tcW w:type="dxa" w:w="2160"/>
          </w:tcPr>
          <w:p>
            <w:r>
              <w:t>0.8820</w:t>
            </w:r>
          </w:p>
        </w:tc>
        <w:tc>
          <w:tcPr>
            <w:tcW w:type="dxa" w:w="2160"/>
          </w:tcPr>
          <w:p>
            <w:r>
              <w:t>0.4976</w:t>
            </w:r>
          </w:p>
        </w:tc>
        <w:tc>
          <w:tcPr>
            <w:tcW w:type="dxa" w:w="2160"/>
          </w:tcPr>
          <w:p>
            <w:r>
              <w:t>43.58%</w:t>
            </w:r>
          </w:p>
        </w:tc>
      </w:tr>
    </w:tbl>
    <w:p>
      <w:pPr/>
      <w:r>
        <w:br/>
        <w:t>Qualitative Results</w:t>
      </w:r>
    </w:p>
    <w:p>
      <w:r>
        <w:t>Beyond numerical metrics, visualizations of the model predictions provide crucial insight into performance. In Figures 2, 3, and 4, we present side-by-side comparisons of the ground truth, the baseline FNO prediction, and our FNO-RC prediction for representative test samples from each benchmark.</w:t>
      </w:r>
      <w:r>
        <w:br/>
        <w:br/>
        <w:t>[Insert Figure 2: Spatiotemporal plot for the 1D Burgers' equation. The FNO-RC model more accurately captures the shockwave propagation compared to the baseline.]</w:t>
      </w:r>
      <w:r>
        <w:br/>
        <w:br/>
        <w:t>[Insert Figure 3: Vorticity fields for the 2D Navier-Stokes equation at the final time step. The FNO-RC prediction shows significantly less numerical dissipation and maintains the fine-scale turbulent structures present in the ground truth.]</w:t>
      </w:r>
      <w:r>
        <w:br/>
        <w:br/>
        <w:t>[Insert Figure 4: 2D slices and 3D isosurfaces for the 3D Navier-Stokes problem. The FNO-RC model provides a qualitatively superior reconstruction of the complex 3D flow structures, whereas the baseline FNO suffers from visible error accumulation.]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rPr>
      <w:rFonts w:ascii="Times New Roman" w:hAnsi="Times New Roman"/>
      <w:b/>
      <w:sz w:val="32"/>
    </w:rPr>
  </w:style>
  <w:style w:type="paragraph" w:customStyle="1" w:styleId="CustomHeading2">
    <w:name w:val="CustomHeading2"/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