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</w:pPr>
      <w:r>
        <w:t>4. 实验 (Experiments)</w:t>
      </w:r>
    </w:p>
    <w:p>
      <w:pPr>
        <w:pStyle w:val="CustomHeading2"/>
      </w:pPr>
      <w:r>
        <w:t>4.1 理论背景</w:t>
      </w:r>
    </w:p>
    <w:p>
      <w:r>
        <w:t xml:space="preserve">神经算子（Neural Operator）旨在学习无限维函数空间之间的映射。给定输入函数 </w:t>
      </w:r>
      <w:r>
        <w:rPr>
          <w:i/>
        </w:rPr>
        <w:t>a(x) ∈ A</w:t>
      </w:r>
      <w:r>
        <w:t xml:space="preserve">，其中 </w:t>
      </w:r>
      <w:r>
        <w:rPr>
          <w:i/>
        </w:rPr>
        <w:t>x ∈ D</w:t>
      </w:r>
      <w:r>
        <w:t xml:space="preserve">，神经算子学习一个算子 </w:t>
      </w:r>
      <w:r>
        <w:rPr>
          <w:i/>
        </w:rPr>
        <w:t>G: A → U</w:t>
      </w:r>
      <w:r>
        <w:t xml:space="preserve">，以输出目标函数 </w:t>
      </w:r>
      <w:r>
        <w:rPr>
          <w:i/>
        </w:rPr>
        <w:t>u(x) ∈ U</w:t>
      </w:r>
      <w:r>
        <w:t>。傅里叶神经算子（FNO）是该框架的一种高效实现，它通过在傅里叶域中执行全局卷积来参数化该算子。一个傅里叶层可由下式表示：</w:t>
      </w:r>
    </w:p>
    <w:p>
      <w:pPr>
        <w:jc w:val="center"/>
      </w:pPr>
      <w:r>
        <w:t>v_t+1(x) = σ(Wv_t(x) + F⁻¹(R · (Fv_t))(x))    (1)</w:t>
      </w:r>
    </w:p>
    <w:p>
      <w:r>
        <w:t xml:space="preserve">其中 </w:t>
      </w:r>
      <w:r>
        <w:rPr>
          <w:i/>
        </w:rPr>
        <w:t>F</w:t>
      </w:r>
      <w:r>
        <w:t xml:space="preserve"> 表示快速傅里叶变换（FFT），</w:t>
      </w:r>
      <w:r>
        <w:rPr>
          <w:i/>
        </w:rPr>
        <w:t>F⁻¹</w:t>
      </w:r>
      <w:r>
        <w:t xml:space="preserve"> 表示其逆变换。</w:t>
      </w:r>
      <w:r>
        <w:rPr>
          <w:i/>
        </w:rPr>
        <w:t>R</w:t>
      </w:r>
      <w:r>
        <w:t xml:space="preserve"> 是频域中可学习的复数张量权重，</w:t>
      </w:r>
      <w:r>
        <w:rPr>
          <w:i/>
        </w:rPr>
        <w:t>W</w:t>
      </w:r>
      <w:r>
        <w:t xml:space="preserve"> 是空间域中的局部线性变换。然而，FFT的离散性使其对网格分辨率敏感且易受边界效应影响。</w:t>
      </w:r>
    </w:p>
    <w:p>
      <w:r>
        <w:t xml:space="preserve">为克服此限制，我们引入了连续傅里葉變換（CFT）。对于一个非周期函数 </w:t>
      </w:r>
      <w:r>
        <w:rPr>
          <w:i/>
        </w:rPr>
        <w:t>f(t)</w:t>
      </w:r>
      <w:r>
        <w:t xml:space="preserve">，其CFT系数 </w:t>
      </w:r>
      <w:r>
        <w:rPr>
          <w:i/>
        </w:rPr>
        <w:t>c(k)</w:t>
      </w:r>
      <w:r>
        <w:t xml:space="preserve"> 定义为：</w:t>
      </w:r>
    </w:p>
    <w:p>
      <w:pPr>
        <w:jc w:val="center"/>
      </w:pPr>
      <w:r>
        <w:t>c(k) = ∫ f(t)e⁻²πikt dt    (2)</w:t>
      </w:r>
    </w:p>
    <w:p>
      <w:r>
        <w:t>CFT通过积分变换，具备更高的动态范围和抗混叠能力，尤其在处理具有稳定低频成分的信号时表现出优越的鲁棒性。在我们的实现中，该积分通过切比雪夫多项式进行数值逼近。</w:t>
      </w:r>
    </w:p>
    <w:p>
      <w:pPr>
        <w:pStyle w:val="CustomHeading2"/>
      </w:pPr>
      <w:r>
        <w:br/>
        <w:t>4.2 FNO-RC 架构</w:t>
      </w:r>
    </w:p>
    <w:p>
      <w:r>
        <w:t xml:space="preserve">基于以上理论，我们设计了傅里叶神经算子残差修正（FNO-RC）模型（架构见图1）。其核心创新在于FNO-RC层，它将标准FNO的预测能力与CFT的信号分析优势相结合。对于输入 </w:t>
      </w:r>
      <w:r>
        <w:rPr>
          <w:i/>
        </w:rPr>
        <w:t>v_t(x)</w:t>
      </w:r>
      <w:r>
        <w:t>，该层通过两条并行路径进行处理：</w:t>
      </w:r>
    </w:p>
    <w:p>
      <w:pPr>
        <w:pStyle w:val="ListBullet"/>
      </w:pPr>
      <w:r>
        <w:t xml:space="preserve">•   </w:t>
      </w:r>
      <w:r>
        <w:rPr>
          <w:b/>
        </w:rPr>
        <w:t xml:space="preserve">主预测路径: </w:t>
      </w:r>
      <w:r>
        <w:t xml:space="preserve">该路径遵循公式(1)，生成初步预测 </w:t>
      </w:r>
      <w:r>
        <w:rPr>
          <w:i/>
        </w:rPr>
        <w:t>v'_t+1(x)</w:t>
      </w:r>
      <w:r>
        <w:t>。</w:t>
      </w:r>
    </w:p>
    <w:p>
      <w:pPr>
        <w:pStyle w:val="ListBullet"/>
      </w:pPr>
      <w:r>
        <w:t xml:space="preserve">•   </w:t>
      </w:r>
      <w:r>
        <w:rPr>
          <w:b/>
        </w:rPr>
        <w:t xml:space="preserve">残差修正路径: </w:t>
      </w:r>
      <w:r>
        <w:t xml:space="preserve">该路径旨在生成一个修正场 </w:t>
      </w:r>
      <w:r>
        <w:rPr>
          <w:i/>
        </w:rPr>
        <w:t>c(x)</w:t>
      </w:r>
      <w:r>
        <w:t xml:space="preserve"> 以补偿主路径的预测误差。其计算过程为：</w:t>
      </w:r>
    </w:p>
    <w:p>
      <w:pPr>
        <w:jc w:val="center"/>
      </w:pPr>
      <w:r>
        <w:t>c(x) = MLP_θ(CFT(v_t(x)))    (3)</w:t>
      </w:r>
    </w:p>
    <w:p>
      <w:r>
        <w:t>其中，</w:t>
      </w:r>
      <w:r>
        <w:rPr>
          <w:i/>
        </w:rPr>
        <w:t>MLP_θ</w:t>
      </w:r>
      <w:r>
        <w:t xml:space="preserve"> 是一个小型多层感知机。为保证训练的稳定性并为模型性能提供下界，</w:t>
      </w:r>
      <w:r>
        <w:rPr>
          <w:i/>
        </w:rPr>
        <w:t>MLP_θ</w:t>
      </w:r>
      <w:r>
        <w:t xml:space="preserve"> 的最后一层被零初始化。该策略确保模型在训练初期退化为标准FNO，仅当修正路径能够带来实质性性能提升时才被激活。</w:t>
      </w:r>
    </w:p>
    <w:p>
      <w:r>
        <w:t>最终，该层的输出由主预测与修正场叠加而成：</w:t>
      </w:r>
    </w:p>
    <w:p>
      <w:pPr>
        <w:jc w:val="center"/>
      </w:pPr>
      <w:r>
        <w:t>v_t+1(x) = v'_t+1(x) + c(x)    (4)</w:t>
      </w:r>
    </w:p>
    <w:p>
      <w:pPr>
        <w:pStyle w:val="CustomHeading2"/>
      </w:pPr>
      <w:r>
        <w:br/>
        <w:t>4.3 实验设置</w:t>
      </w:r>
    </w:p>
    <w:p>
      <w:r>
        <w:t>我们在三个基准问题上对模型进行了评估：</w:t>
      </w:r>
    </w:p>
    <w:p>
      <w:pPr>
        <w:pStyle w:val="ListNumber"/>
      </w:pPr>
      <w:r>
        <w:t xml:space="preserve">1.  </w:t>
      </w:r>
      <w:r>
        <w:rPr>
          <w:b/>
        </w:rPr>
        <w:t xml:space="preserve">一维伯格斯方程 (1D Burgers' Equation): </w:t>
      </w:r>
      <w:r>
        <w:t>一个包含激波传播的经典非线性问题。数据集由空间分辨率为8192、时间步为1001的单个长时程模拟组成。</w:t>
      </w:r>
    </w:p>
    <w:p>
      <w:pPr>
        <w:pStyle w:val="ListNumber"/>
      </w:pPr>
      <w:r>
        <w:t xml:space="preserve">2.  </w:t>
      </w:r>
      <w:r>
        <w:rPr>
          <w:b/>
        </w:rPr>
        <w:t xml:space="preserve">二维纳维-斯托克斯方程 (2D Navier-Stokes Equations): </w:t>
      </w:r>
      <w:r>
        <w:t>一个模拟不可压缩流体涡度演化的混沌系统。数据集包含600个独立模拟，空间分辨率为128×128，粘性系数ν=1e-4。</w:t>
      </w:r>
    </w:p>
    <w:p>
      <w:pPr>
        <w:pStyle w:val="ListNumber"/>
      </w:pPr>
      <w:r>
        <w:t xml:space="preserve">3.  </w:t>
      </w:r>
      <w:r>
        <w:rPr>
          <w:b/>
        </w:rPr>
        <w:t xml:space="preserve">三维纳维-斯托克斯方程 (3D Navier-Stokes Equations): </w:t>
      </w:r>
      <w:r>
        <w:t>一个高维湍流问题。数据集包含50个独立模拟，空间分辨率为64×64×64，粘性系数ν=1e-4。</w:t>
      </w:r>
    </w:p>
    <w:p>
      <w:r>
        <w:t>所有实验中，FNO-RC均与标准的FNO基线模型进行对比。两个模型均采用Adam优化器和余弦退火学习率调度器进行端到端训练，以最小化相对L2范数损失为目标。详细超参数设置见表1。</w:t>
      </w:r>
    </w:p>
    <w:p>
      <w:r>
        <w:br/>
        <w:t>[请在此处插入 表1：各实验的超参数设置]</w:t>
        <w:br/>
      </w:r>
      <w:r>
        <w:rPr>
          <w:i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问题</w:t>
            </w:r>
          </w:p>
        </w:tc>
        <w:tc>
          <w:tcPr>
            <w:tcW w:type="dxa" w:w="1234"/>
          </w:tcPr>
          <w:p>
            <w:r>
              <w:rPr>
                <w:b/>
              </w:rPr>
              <w:t>维度</w:t>
            </w:r>
          </w:p>
        </w:tc>
        <w:tc>
          <w:tcPr>
            <w:tcW w:type="dxa" w:w="1234"/>
          </w:tcPr>
          <w:p>
            <w:r>
              <w:rPr>
                <w:b/>
              </w:rPr>
              <w:t>傅里叶模态</w:t>
            </w:r>
          </w:p>
        </w:tc>
        <w:tc>
          <w:tcPr>
            <w:tcW w:type="dxa" w:w="1234"/>
          </w:tcPr>
          <w:p>
            <w:r>
              <w:rPr>
                <w:b/>
              </w:rPr>
              <w:t>宽度</w:t>
            </w:r>
          </w:p>
        </w:tc>
        <w:tc>
          <w:tcPr>
            <w:tcW w:type="dxa" w:w="1234"/>
          </w:tcPr>
          <w:p>
            <w:r>
              <w:rPr>
                <w:b/>
              </w:rPr>
              <w:t>批量大小</w:t>
            </w:r>
          </w:p>
        </w:tc>
        <w:tc>
          <w:tcPr>
            <w:tcW w:type="dxa" w:w="1234"/>
          </w:tcPr>
          <w:p>
            <w:r>
              <w:rPr>
                <w:b/>
              </w:rPr>
              <w:t>学习率</w:t>
            </w:r>
          </w:p>
        </w:tc>
        <w:tc>
          <w:tcPr>
            <w:tcW w:type="dxa" w:w="1234"/>
          </w:tcPr>
          <w:p>
            <w:r>
              <w:rPr>
                <w:b/>
              </w:rPr>
              <w:t>训练周期</w:t>
            </w:r>
          </w:p>
        </w:tc>
      </w:tr>
      <w:tr>
        <w:tc>
          <w:tcPr>
            <w:tcW w:type="dxa" w:w="1234"/>
          </w:tcPr>
          <w:p>
            <w:r>
              <w:t>伯格斯方程</w:t>
            </w:r>
          </w:p>
        </w:tc>
        <w:tc>
          <w:tcPr>
            <w:tcW w:type="dxa" w:w="1234"/>
          </w:tcPr>
          <w:p>
            <w:r>
              <w:t>1D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1e-3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</w:tr>
      <w:tr>
        <w:tc>
          <w:tcPr>
            <w:tcW w:type="dxa" w:w="1234"/>
          </w:tcPr>
          <w:p>
            <w:r>
              <w:t>纳维-斯托克斯</w:t>
            </w:r>
          </w:p>
        </w:tc>
        <w:tc>
          <w:tcPr>
            <w:tcW w:type="dxa" w:w="1234"/>
          </w:tcPr>
          <w:p>
            <w:r>
              <w:t>2D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1e-3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</w:tr>
      <w:tr>
        <w:tc>
          <w:tcPr>
            <w:tcW w:type="dxa" w:w="1234"/>
          </w:tcPr>
          <w:p>
            <w:r>
              <w:t>纳维-斯托克斯</w:t>
            </w:r>
          </w:p>
        </w:tc>
        <w:tc>
          <w:tcPr>
            <w:tcW w:type="dxa" w:w="1234"/>
          </w:tcPr>
          <w:p>
            <w:r>
              <w:t>3D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1e-3</w:t>
            </w:r>
          </w:p>
        </w:tc>
        <w:tc>
          <w:tcPr>
            <w:tcW w:type="dxa" w:w="1234"/>
          </w:tcPr>
          <w:p>
            <w:r>
              <w:t>500</w:t>
            </w:r>
          </w:p>
        </w:tc>
      </w:tr>
    </w:tbl>
    <w:p>
      <w:pPr>
        <w:pStyle w:val="CustomHeading2"/>
      </w:pPr>
      <w:r>
        <w:br/>
        <w:t>4.4 实验结果与分析</w:t>
      </w:r>
    </w:p>
    <w:p>
      <w:pPr/>
      <w:r>
        <w:rPr>
          <w:b/>
        </w:rPr>
        <w:t>4.4.1 定量分析</w:t>
      </w:r>
    </w:p>
    <w:p>
      <w:r>
        <w:t>表2汇总了所有基准测试的最终相对L2测试误差。数据显示，FNO-RC在所有维度的问题上均一致性地超越了FNO基线。尤其在二维纳维-斯托克斯这一长时程预测任务中，FNO-RC实现了73.68%的显著相对误差降低。我们认为，这一巨大优势源于CFT修正路径的有效性。在混沌系统中，长期预测的误差主要来源于低频全局模态的累积偏差。CFT路径通过其对信号的鲁棒分析能力，精确地捕捉并修正了这些累积误差，从而有效抑制了误差随时间增长的趋势，极大地提升了模型的长期保真度。</w:t>
      </w:r>
    </w:p>
    <w:p>
      <w:r>
        <w:br/>
        <w:t>[请在此处插入 表2：最终测试误差与相对性能提升]</w:t>
        <w:br/>
      </w:r>
      <w:r>
        <w:rPr>
          <w:i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问题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FNO 基线误差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FNO-RC 误差</w:t>
            </w:r>
          </w:p>
        </w:tc>
        <w:tc>
          <w:tcPr>
            <w:tcW w:type="dxa" w:w="2160"/>
          </w:tcPr>
          <w:p>
            <w:r>
              <w:rPr>
                <w:b/>
              </w:rPr>
              <w:t>相对性能提升</w:t>
            </w:r>
          </w:p>
        </w:tc>
      </w:tr>
      <w:tr>
        <w:tc>
          <w:tcPr>
            <w:tcW w:type="dxa" w:w="2160"/>
          </w:tcPr>
          <w:p>
            <w:r>
              <w:t>1D 伯格斯方程</w:t>
            </w:r>
          </w:p>
        </w:tc>
        <w:tc>
          <w:tcPr>
            <w:tcW w:type="dxa" w:w="2160"/>
          </w:tcPr>
          <w:p>
            <w:r>
              <w:t>0.2211</w:t>
            </w:r>
          </w:p>
        </w:tc>
        <w:tc>
          <w:tcPr>
            <w:tcW w:type="dxa" w:w="2160"/>
          </w:tcPr>
          <w:p>
            <w:r>
              <w:t>0.2145</w:t>
            </w:r>
          </w:p>
        </w:tc>
        <w:tc>
          <w:tcPr>
            <w:tcW w:type="dxa" w:w="2160"/>
          </w:tcPr>
          <w:p>
            <w:r>
              <w:t>2.98%</w:t>
            </w:r>
          </w:p>
        </w:tc>
      </w:tr>
      <w:tr>
        <w:tc>
          <w:tcPr>
            <w:tcW w:type="dxa" w:w="2160"/>
          </w:tcPr>
          <w:p>
            <w:r>
              <w:t>2D 纳维-斯托克斯</w:t>
            </w:r>
          </w:p>
        </w:tc>
        <w:tc>
          <w:tcPr>
            <w:tcW w:type="dxa" w:w="2160"/>
          </w:tcPr>
          <w:p>
            <w:r>
              <w:t>0.0218</w:t>
            </w:r>
          </w:p>
        </w:tc>
        <w:tc>
          <w:tcPr>
            <w:tcW w:type="dxa" w:w="2160"/>
          </w:tcPr>
          <w:p>
            <w:r>
              <w:t>0.0057</w:t>
            </w:r>
          </w:p>
        </w:tc>
        <w:tc>
          <w:tcPr>
            <w:tcW w:type="dxa" w:w="2160"/>
          </w:tcPr>
          <w:p>
            <w:r>
              <w:t>73.68%</w:t>
            </w:r>
          </w:p>
        </w:tc>
      </w:tr>
      <w:tr>
        <w:tc>
          <w:tcPr>
            <w:tcW w:type="dxa" w:w="2160"/>
          </w:tcPr>
          <w:p>
            <w:r>
              <w:t>3D 纳维-斯托克斯</w:t>
            </w:r>
          </w:p>
        </w:tc>
        <w:tc>
          <w:tcPr>
            <w:tcW w:type="dxa" w:w="2160"/>
          </w:tcPr>
          <w:p>
            <w:r>
              <w:t>0.8820</w:t>
            </w:r>
          </w:p>
        </w:tc>
        <w:tc>
          <w:tcPr>
            <w:tcW w:type="dxa" w:w="2160"/>
          </w:tcPr>
          <w:p>
            <w:r>
              <w:t>0.4976</w:t>
            </w:r>
          </w:p>
        </w:tc>
        <w:tc>
          <w:tcPr>
            <w:tcW w:type="dxa" w:w="2160"/>
          </w:tcPr>
          <w:p>
            <w:r>
              <w:t>43.58%</w:t>
            </w:r>
          </w:p>
        </w:tc>
      </w:tr>
    </w:tbl>
    <w:p>
      <w:pPr/>
      <w:r>
        <w:rPr>
          <w:b/>
        </w:rPr>
        <w:br/>
        <w:t>4.4.2 定性分析</w:t>
      </w:r>
    </w:p>
    <w:p>
      <w:r>
        <w:t>定性结果进一步证实了我们模型的优越性。对于一维伯格斯方程（图2），FNO-RC能够更精确地捕捉激波的锋面和传播速度，有效缓解了标准谱方法中常见的吉布斯振荡现象。在二维纳维-斯托克斯问题中（图3），FNO-RC的预测结果在视觉上展现出更少的数值耗散，保留了更多真实流场中的小尺度涡结构细节，而基线模型的预测则显得过于平滑。对于三维湍流（图4），FNO-RC同样生成了与真实解在拓扑结构上更为一致的等值面，证明了其在高维复杂系统建模中的潜力。</w:t>
      </w:r>
      <w:r>
        <w:br/>
        <w:br/>
        <w:t>[请在此处插入 图2、3、4：分别为1D、2D、3D问题的定性对比图，展示真实解、FNO基线和FNO-RC的预测结果。]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rFonts w:ascii="Times New Roman" w:hAnsi="Times New Roman" w:eastAsia="黑体"/>
      <w:b/>
      <w:sz w:val="32"/>
    </w:rPr>
  </w:style>
  <w:style w:type="paragraph" w:customStyle="1" w:styleId="CustomHeading2">
    <w:name w:val="CustomHeading2"/>
    <w:rPr>
      <w:rFonts w:ascii="Times New Roman" w:hAnsi="Times New Roman" w:eastAsia="黑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