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</w:pPr>
      <w:r>
        <w:t>3. 理论背景 (Theoretical Background)</w:t>
      </w:r>
    </w:p>
    <w:p>
      <w:pPr>
        <w:pStyle w:val="CustomHeading2"/>
      </w:pPr>
      <w:r>
        <w:t>3.1 神经算子 (Neural Operator)</w:t>
      </w:r>
    </w:p>
    <w:p>
      <w:r>
        <w:t xml:space="preserve">与学习有限维向量映射的传统神经网络不同，神经算子旨在学习无限维函数空间之间的映射。给定两个函数空间 </w:t>
      </w:r>
      <w:r>
        <w:rPr>
          <w:i/>
        </w:rPr>
        <w:t>A</w:t>
      </w:r>
      <w:r>
        <w:t xml:space="preserve"> 和 </w:t>
      </w:r>
      <w:r>
        <w:rPr>
          <w:i/>
        </w:rPr>
        <w:t>U</w:t>
      </w:r>
      <w:r>
        <w:t xml:space="preserve">，其定义在物理域 </w:t>
      </w:r>
      <w:r>
        <w:rPr>
          <w:i/>
        </w:rPr>
        <w:t>D ⊂ ℝᵈ</w:t>
      </w:r>
      <w:r>
        <w:t xml:space="preserve"> 之上，神经算子的目标是学习一个算子 </w:t>
      </w:r>
      <w:r>
        <w:rPr>
          <w:i/>
        </w:rPr>
        <w:t>G: A → U</w:t>
      </w:r>
      <w:r>
        <w:t xml:space="preserve">。对于任意输入函数 </w:t>
      </w:r>
      <w:r>
        <w:rPr>
          <w:i/>
        </w:rPr>
        <w:t>a ∈ A</w:t>
      </w:r>
      <w:r>
        <w:t xml:space="preserve">，算子 </w:t>
      </w:r>
      <w:r>
        <w:rPr>
          <w:i/>
        </w:rPr>
        <w:t>G</w:t>
      </w:r>
      <w:r>
        <w:t xml:space="preserve"> 能够输出对应的函数 </w:t>
      </w:r>
      <w:r>
        <w:rPr>
          <w:i/>
        </w:rPr>
        <w:t>u = G(a) ∈ U</w:t>
      </w:r>
      <w:r>
        <w:t>。</w:t>
      </w:r>
    </w:p>
    <w:p>
      <w:r>
        <w:t>傅里叶神经算子 (FNO) 是该框架的一种高效实现，它通过在傅里叶域中执行全局卷积来参数化该算子。一个傅里叶层可由下式表示：</w:t>
      </w:r>
    </w:p>
    <w:p>
      <w:pPr>
        <w:jc w:val="center"/>
      </w:pPr>
      <w:r>
        <w:t>v_t+1(x) = σ(Wv_t(x) + F⁻¹(R · (Fv_t))(x))    (1)</w:t>
      </w:r>
    </w:p>
    <w:p>
      <w:r>
        <w:t xml:space="preserve">其中 </w:t>
      </w:r>
      <w:r>
        <w:rPr>
          <w:i/>
        </w:rPr>
        <w:t>F</w:t>
      </w:r>
      <w:r>
        <w:t xml:space="preserve"> 与 </w:t>
      </w:r>
      <w:r>
        <w:rPr>
          <w:i/>
        </w:rPr>
        <w:t>F⁻¹</w:t>
      </w:r>
      <w:r>
        <w:t xml:space="preserve"> 分别表示快速傅里叶变换 (FFT) 及其逆变换，</w:t>
      </w:r>
      <w:r>
        <w:rPr>
          <w:i/>
        </w:rPr>
        <w:t>R</w:t>
      </w:r>
      <w:r>
        <w:t xml:space="preserve"> 是频域中可学习的权重，</w:t>
      </w:r>
      <w:r>
        <w:rPr>
          <w:i/>
        </w:rPr>
        <w:t>W</w:t>
      </w:r>
      <w:r>
        <w:t xml:space="preserve"> 是逐点的线性变换。FNO的成功源于其网格无关性（mesh-invariance）和高效的计算复杂度。然而，其核心依赖的FFT在处理具有不连续性或非周期边界的函数时，会因吉布斯现象（Gibbs phenomenon）和混叠失真（aliasing distortion）而面临精度瓶颈。</w:t>
      </w:r>
    </w:p>
    <w:p>
      <w:pPr>
        <w:pStyle w:val="CustomHeading2"/>
      </w:pPr>
      <w:r>
        <w:br/>
        <w:t>3.2 高精度不连续傅里叶变换</w:t>
      </w:r>
    </w:p>
    <w:p>
      <w:r>
        <w:t xml:space="preserve">为克服FFT的固有局限性，我们引入了一种高精度数值方法，即共形傅里叶变换（Conformal Fourier Transform, CFT），其理论基础源于 [Zhu et al., 2010]。该方法旨在精确计算定义在有界区间 </w:t>
      </w:r>
      <w:r>
        <w:rPr>
          <w:i/>
        </w:rPr>
        <w:t>[p₀, p₁]</w:t>
      </w:r>
      <w:r>
        <w:t xml:space="preserve"> 上的不连续函数的傅里叶积分：</w:t>
      </w:r>
    </w:p>
    <w:p>
      <w:pPr>
        <w:jc w:val="center"/>
      </w:pPr>
      <w:r>
        <w:t>F(u) = ∫_p₁^p₀ f(x)e⁻²πiux dx    (2)</w:t>
      </w:r>
    </w:p>
    <w:p>
      <w:r>
        <w:t xml:space="preserve">传统方法（如FFT）通过对被积函数整体（包括傅里叶核 </w:t>
      </w:r>
      <w:r>
        <w:rPr>
          <w:i/>
        </w:rPr>
        <w:t>e⁻²πiux</w:t>
      </w:r>
      <w:r>
        <w:t>）进行离散采样来近似该积分，这要求采样率必须满足奈奎斯特定理以避免混叠失真。然而，对于空间有界的函数，其频谱是无限宽的，这使得混叠成为一个无法回避的问题。</w:t>
      </w:r>
    </w:p>
    <w:p>
      <w:r>
        <w:t>CFT的核心思想是，不对振荡的傅里叶核进行离散化，而是对其进行解析处理。该方法通过以下步骤实现：</w:t>
      </w:r>
    </w:p>
    <w:p>
      <w:pPr>
        <w:pStyle w:val="ListNumber"/>
      </w:pPr>
      <w:r>
        <w:t xml:space="preserve">1.  </w:t>
      </w:r>
      <w:r>
        <w:rPr>
          <w:b/>
        </w:rPr>
        <w:t xml:space="preserve">分段高阶插值: </w:t>
      </w:r>
      <w:r>
        <w:t xml:space="preserve">将积分区间 [p₀, p₁] 分为L个子区间。在每个子区间 [xₗ, xₗ₊₁] 内，使用一个M阶拉格朗日（或切比雪夫）多项式 </w:t>
      </w:r>
      <w:r>
        <w:rPr>
          <w:i/>
        </w:rPr>
        <w:t>Pₗ⁽ᴹ⁾(x)</w:t>
      </w:r>
      <w:r>
        <w:t xml:space="preserve"> 来高精度地逼近函数 </w:t>
      </w:r>
      <w:r>
        <w:rPr>
          <w:i/>
        </w:rPr>
        <w:t>f(x)</w:t>
      </w:r>
      <w:r>
        <w:t>。</w:t>
      </w:r>
    </w:p>
    <w:p>
      <w:pPr>
        <w:pStyle w:val="ListNumber"/>
      </w:pPr>
      <w:r>
        <w:t xml:space="preserve">2.  </w:t>
      </w:r>
      <w:r>
        <w:rPr>
          <w:b/>
        </w:rPr>
        <w:t xml:space="preserve">解析积分求解: </w:t>
      </w:r>
      <w:r>
        <w:t xml:space="preserve">对于每个子区间上的多项式 </w:t>
      </w:r>
      <w:r>
        <w:rPr>
          <w:i/>
        </w:rPr>
        <w:t>Pₗ⁽ᴹ⁾(x)</w:t>
      </w:r>
      <w:r>
        <w:t xml:space="preserve">，其与傅里叶核的乘积的积分存在解析表达式。通过变量代换，可以将积分变换为对一系列单项式 </w:t>
      </w:r>
      <w:r>
        <w:rPr>
          <w:i/>
        </w:rPr>
        <w:t>tᵐ</w:t>
      </w:r>
      <w:r>
        <w:t xml:space="preserve"> 的傅里叶积分，而后者拥有封闭解。</w:t>
      </w:r>
    </w:p>
    <w:p>
      <w:pPr>
        <w:pStyle w:val="ListNumber"/>
      </w:pPr>
      <w:r>
        <w:t xml:space="preserve">3.  </w:t>
      </w:r>
      <w:r>
        <w:rPr>
          <w:b/>
        </w:rPr>
        <w:t xml:space="preserve">全域结果求和: </w:t>
      </w:r>
      <w:r>
        <w:t xml:space="preserve">将所有子区间上的积分结果求和，得到最终的傅里叶变换 </w:t>
      </w:r>
      <w:r>
        <w:rPr>
          <w:i/>
        </w:rPr>
        <w:t>F(u)</w:t>
      </w:r>
      <w:r>
        <w:t>。</w:t>
      </w:r>
    </w:p>
    <w:p>
      <w:r>
        <w:t xml:space="preserve">通过这种方式，CFT将数值近似的误差完全集中于对函数 </w:t>
      </w:r>
      <w:r>
        <w:rPr>
          <w:i/>
        </w:rPr>
        <w:t>f(x)</w:t>
      </w:r>
      <w:r>
        <w:t xml:space="preserve"> 的插值上，而完全避免了对傅里叶核的采样误差。这使其能够以远低于奈奎斯特频率的采样率获得高精度的频谱，并有效抑制混叠失真。这种从信号中提取高保真度、鲁棒频谱特征的能力，为我们修正FNO的预测误差提供了坚实的理论基础。</w:t>
      </w:r>
    </w:p>
    <w:p>
      <w:pPr>
        <w:pStyle w:val="CustomHeading1"/>
      </w:pPr>
      <w:r>
        <w:br/>
        <w:t>4. 实验 (Experiments)</w:t>
      </w:r>
    </w:p>
    <w:p>
      <w:pPr>
        <w:pStyle w:val="CustomHeading2"/>
      </w:pPr>
      <w:r>
        <w:t>4.1 FNO-RC 架构</w:t>
      </w:r>
    </w:p>
    <w:p>
      <w:r>
        <w:t xml:space="preserve">基于以上理论，我们设计了傅里叶神经算子残差修正 (FNO-RC) 模型，其架构如图1所示。核心创新在于FNO-RC层，它将标准FNO的预测能力与CFT的信号分析优势相结合。对于输入 </w:t>
      </w:r>
      <w:r>
        <w:rPr>
          <w:i/>
        </w:rPr>
        <w:t>v_t(x)</w:t>
      </w:r>
      <w:r>
        <w:t>，该层通过两条并行路径进行处理：</w:t>
      </w:r>
    </w:p>
    <w:p>
      <w:r>
        <w:br/>
        <w:t>[请在此处插入 图1：FNO-RC架构图]</w:t>
        <w:br/>
      </w:r>
      <w:r>
        <w:rPr>
          <w:i/>
        </w:rPr>
      </w:r>
    </w:p>
    <w:p>
      <w:pPr>
        <w:pStyle w:val="ListBullet"/>
      </w:pPr>
      <w:r>
        <w:t xml:space="preserve">•   </w:t>
      </w:r>
      <w:r>
        <w:rPr>
          <w:b/>
        </w:rPr>
        <w:t xml:space="preserve">主预测路径: </w:t>
      </w:r>
      <w:r>
        <w:t xml:space="preserve">该路径遵循公式(1)，生成初步预测 </w:t>
      </w:r>
      <w:r>
        <w:rPr>
          <w:i/>
        </w:rPr>
        <w:t>v'_t+1(x)</w:t>
      </w:r>
      <w:r>
        <w:t>。</w:t>
      </w:r>
    </w:p>
    <w:p>
      <w:pPr>
        <w:pStyle w:val="ListBullet"/>
      </w:pPr>
      <w:r>
        <w:t xml:space="preserve">•   </w:t>
      </w:r>
      <w:r>
        <w:rPr>
          <w:b/>
        </w:rPr>
        <w:t xml:space="preserve">残差修正路径: </w:t>
      </w:r>
      <w:r>
        <w:t xml:space="preserve">该路径旨在生成一个修正场 </w:t>
      </w:r>
      <w:r>
        <w:rPr>
          <w:i/>
        </w:rPr>
        <w:t>c(x)</w:t>
      </w:r>
      <w:r>
        <w:t xml:space="preserve"> 以补偿主路径的预测误差。其计算过程为：</w:t>
      </w:r>
    </w:p>
    <w:p>
      <w:pPr>
        <w:jc w:val="center"/>
      </w:pPr>
      <w:r>
        <w:t>c(x) = MLP_θ(CFT(v_t(x)))    (3)</w:t>
      </w:r>
    </w:p>
    <w:p>
      <w:r>
        <w:t>其中，</w:t>
      </w:r>
      <w:r>
        <w:rPr>
          <w:i/>
        </w:rPr>
        <w:t>MLP_θ</w:t>
      </w:r>
      <w:r>
        <w:t xml:space="preserve"> 的最后一层被零初始化，以确保训练稳定并为模型性能提供下界。</w:t>
      </w:r>
    </w:p>
    <w:p>
      <w:r>
        <w:t>最终，该层的输出由主预测与修正场叠加而成：</w:t>
      </w:r>
    </w:p>
    <w:p>
      <w:pPr>
        <w:jc w:val="center"/>
      </w:pPr>
      <w:r>
        <w:t>v_t+1(x) = v'_t+1(x) + c(x)    (4)</w:t>
      </w:r>
    </w:p>
    <w:p>
      <w:pPr>
        <w:pStyle w:val="CustomHeading2"/>
      </w:pPr>
      <w:r>
        <w:br/>
        <w:t>4.2 实验设置</w:t>
      </w:r>
    </w:p>
    <w:p>
      <w:r>
        <w:t>我们在三个基准问题上对模型进行了评估：</w:t>
      </w:r>
    </w:p>
    <w:p>
      <w:r>
        <w:t>所有实验中，FNO-RC均与标准的FNO基线模型进行对比。两个模型均采用Adam优化器和余弦退火学习率调度器进行端到端训练，以最小化相对L2范数损失为目标。详细超参数设置见表1。</w:t>
      </w:r>
    </w:p>
    <w:p>
      <w:r>
        <w:br/>
        <w:t>[请在此处插入 表1：各实验的超参数设置]</w:t>
        <w:br/>
      </w:r>
      <w:r>
        <w:rPr>
          <w:i/>
        </w:rPr>
      </w:r>
    </w:p>
    <w:p>
      <w:pPr>
        <w:pStyle w:val="CustomHeading2"/>
      </w:pPr>
      <w:r>
        <w:br/>
        <w:t>4.3 实验结果与分析</w:t>
      </w:r>
    </w:p>
    <w:p>
      <w:pPr/>
      <w:r>
        <w:rPr>
          <w:b/>
        </w:rPr>
        <w:t>4.3.1 定量分析</w:t>
      </w:r>
    </w:p>
    <w:p>
      <w:r>
        <w:br/>
        <w:t>[请在此处插入 表2：最终测试误差与相对性能提升]</w:t>
        <w:br/>
      </w:r>
      <w:r>
        <w:rPr>
          <w:i/>
        </w:rPr>
      </w:r>
    </w:p>
    <w:p>
      <w:pPr/>
      <w:r>
        <w:rPr>
          <w:b/>
        </w:rPr>
        <w:br/>
        <w:t>4.3.2 定性分析</w:t>
      </w:r>
      <w:r>
        <w:br/>
        <w:br/>
        <w:t>[请在此处插入 图2、3、4：分别为1D、2D、3D问题的定性对比图。]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rFonts w:ascii="Times New Roman" w:hAnsi="Times New Roman" w:eastAsia="黑体"/>
      <w:b/>
      <w:sz w:val="32"/>
    </w:rPr>
  </w:style>
  <w:style w:type="paragraph" w:customStyle="1" w:styleId="CustomHeading2">
    <w:name w:val="CustomHeading2"/>
    <w:rPr>
      <w:rFonts w:ascii="Times New Roman" w:hAnsi="Times New Roman" w:eastAsia="黑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