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  <w:jc w:val="center"/>
      </w:pPr>
      <w:r>
        <w:t>FNO-RC: 基于高精度傅里叶变换的神经算子残差修正方法</w:t>
      </w:r>
    </w:p>
    <w:p>
      <w:pPr/>
      <w:r>
        <w:t>摘要：[请在此处填写摘要]</w:t>
      </w:r>
    </w:p>
    <w:p>
      <w:pPr>
        <w:pStyle w:val="CustomHeading1"/>
      </w:pPr>
      <w:r>
        <w:t>3. 理论背景 (Theoretical Background)</w:t>
      </w:r>
    </w:p>
    <w:p>
      <w:pPr>
        <w:pStyle w:val="CustomHeading2"/>
      </w:pPr>
      <w:r>
        <w:t>3.1 神经算子 (Neural Operator)</w:t>
      </w:r>
    </w:p>
    <w:p>
      <w:r>
        <w:t xml:space="preserve">与学习有限维向量映射的传统神经网络不同，神经算子旨在学习无限维函数空间之间的映射。给定两个函数空间 </w:t>
      </w:r>
      <w:r>
        <w:rPr>
          <w:i/>
        </w:rPr>
        <w:t>A</w:t>
      </w:r>
      <w:r>
        <w:t xml:space="preserve"> 和 </w:t>
      </w:r>
      <w:r>
        <w:rPr>
          <w:i/>
        </w:rPr>
        <w:t>U</w:t>
      </w:r>
      <w:r>
        <w:t xml:space="preserve">，其定义在物理域 </w:t>
      </w:r>
      <w:r>
        <w:rPr>
          <w:i/>
        </w:rPr>
        <w:t>D ⊂ ℝᵈ</w:t>
      </w:r>
      <w:r>
        <w:t xml:space="preserve"> 之上，神经算子的目标是学习一个算子 </w:t>
      </w:r>
      <w:r>
        <w:rPr>
          <w:i/>
        </w:rPr>
        <w:t>G: A → U</w:t>
      </w:r>
      <w:r>
        <w:t xml:space="preserve">。对于任意输入函数 </w:t>
      </w:r>
      <w:r>
        <w:rPr>
          <w:i/>
        </w:rPr>
        <w:t>a ∈ A</w:t>
      </w:r>
      <w:r>
        <w:t xml:space="preserve">，算子 </w:t>
      </w:r>
      <w:r>
        <w:rPr>
          <w:i/>
        </w:rPr>
        <w:t>G</w:t>
      </w:r>
      <w:r>
        <w:t xml:space="preserve"> 能够输出对应的函数 </w:t>
      </w:r>
      <w:r>
        <w:rPr>
          <w:i/>
        </w:rPr>
        <w:t>u = G(a) ∈ U</w:t>
      </w:r>
      <w:r>
        <w:t>。</w:t>
      </w:r>
    </w:p>
    <w:p>
      <w:r>
        <w:t>许多物理系统的解算子可以表达为积分算子的形式。因此，神经算子通过参数化一个积分核函数来构建映射，其通用形式为：</w:t>
      </w:r>
    </w:p>
    <w:p>
      <w:pPr>
        <w:jc w:val="center"/>
      </w:pPr>
      <w:r>
        <w:rPr>
          <w:i/>
        </w:rPr>
        <w:t>(G(a))(x) = ∫</w:t>
      </w:r>
      <w:r>
        <w:rPr>
          <w:vertAlign w:val="subscript"/>
        </w:rPr>
        <w:t>D</w:t>
      </w:r>
      <w:r>
        <w:rPr>
          <w:i/>
        </w:rPr>
        <w:t xml:space="preserve"> κ(x, y, a(x), a(y)) u(y) dy     (1)</w:t>
      </w:r>
    </w:p>
    <w:p>
      <w:r>
        <w:t xml:space="preserve">傅里叶神经算子 (FNO) 对此通用框架进行了简化和高效实现。通过假定核函数 </w:t>
      </w:r>
      <w:r>
        <w:rPr>
          <w:i/>
        </w:rPr>
        <w:t>κ</w:t>
      </w:r>
      <w:r>
        <w:t xml:space="preserve"> 具有平移不变性，即 </w:t>
      </w:r>
      <w:r>
        <w:rPr>
          <w:i/>
        </w:rPr>
        <w:t>κ(x, y; a) = κ(x-y)</w:t>
      </w:r>
      <w:r>
        <w:t>，上述积分运算可以简化为卷积运算。根据卷积定理，空间域的全局卷积等价于频率域中逐元素的Hadamard积：</w:t>
      </w:r>
    </w:p>
    <w:p>
      <w:pPr>
        <w:jc w:val="center"/>
      </w:pPr>
      <w:r>
        <w:rPr>
          <w:i/>
        </w:rPr>
        <w:t>F((κ ∗ v))(k) = F(κ)(k) · F(v)(k)     (2)</w:t>
      </w:r>
    </w:p>
    <w:p>
      <w:r>
        <w:t xml:space="preserve">基于此，一个 FNO 层通过结合频域的全局卷积和空间域的局部变换，对隐状态函数 </w:t>
      </w:r>
      <w:r>
        <w:rPr>
          <w:i/>
        </w:rPr>
        <w:t>vₜ(x)</w:t>
      </w:r>
      <w:r>
        <w:t xml:space="preserve"> 进行迭代更新：</w:t>
      </w:r>
    </w:p>
    <w:p>
      <w:pPr>
        <w:jc w:val="center"/>
      </w:pPr>
      <w:r>
        <w:rPr>
          <w:i/>
        </w:rPr>
        <w:t>v</w:t>
      </w:r>
      <w:r>
        <w:rPr>
          <w:i/>
          <w:vertAlign w:val="subscript"/>
        </w:rPr>
        <w:t>t+1</w:t>
      </w:r>
      <w:r>
        <w:rPr>
          <w:i/>
        </w:rPr>
        <w:t>(x) = σ(Wv</w:t>
      </w:r>
      <w:r>
        <w:rPr>
          <w:i/>
          <w:vertAlign w:val="subscript"/>
        </w:rPr>
        <w:t>t</w:t>
      </w:r>
      <w:r>
        <w:rPr>
          <w:i/>
        </w:rPr>
        <w:t xml:space="preserve">(x) + </w:t>
      </w:r>
      <w:r>
        <w:rPr>
          <w:i/>
        </w:rPr>
        <w:t>F</w:t>
      </w:r>
      <w:r>
        <w:rPr>
          <w:i/>
          <w:vertAlign w:val="superscript"/>
        </w:rPr>
        <w:t>−1</w:t>
      </w:r>
      <w:r>
        <w:rPr>
          <w:i/>
        </w:rPr>
        <w:t>(R · (</w:t>
      </w:r>
      <w:r>
        <w:rPr>
          <w:i/>
        </w:rPr>
        <w:t>F</w:t>
      </w:r>
      <w:r>
        <w:rPr>
          <w:i/>
        </w:rPr>
        <w:t>v</w:t>
      </w:r>
      <w:r>
        <w:rPr>
          <w:i/>
          <w:vertAlign w:val="subscript"/>
        </w:rPr>
        <w:t>t</w:t>
      </w:r>
      <w:r>
        <w:rPr>
          <w:i/>
        </w:rPr>
        <w:t>))(x))     (3)</w:t>
      </w:r>
    </w:p>
    <w:p>
      <w:r>
        <w:t xml:space="preserve">其中 </w:t>
      </w:r>
      <w:r>
        <w:rPr>
          <w:i/>
        </w:rPr>
        <w:t>F</w:t>
      </w:r>
      <w:r>
        <w:t xml:space="preserve"> 与 </w:t>
      </w:r>
      <w:r>
        <w:rPr>
          <w:i/>
        </w:rPr>
        <w:t>F⁻¹</w:t>
      </w:r>
      <w:r>
        <w:t xml:space="preserve"> 分别表示快速傅里叶变换 (FFT) 及其逆变换，</w:t>
      </w:r>
      <w:r>
        <w:rPr>
          <w:i/>
        </w:rPr>
        <w:t>R</w:t>
      </w:r>
      <w:r>
        <w:t xml:space="preserve"> 是频域中可学习的权重，</w:t>
      </w:r>
      <w:r>
        <w:rPr>
          <w:i/>
        </w:rPr>
        <w:t>W</w:t>
      </w:r>
      <w:r>
        <w:t xml:space="preserve"> 是逐点的线性变换。FNO的成功源于其网格无关性（mesh-invariance）和高效的计算复杂度。然而，其核心依赖的FFT在处理具有不连续性或非周期边界的函数时，会因吉布斯现象（Gibbs phenomenon）和混叠失真（aliasing distortion）而面临精度瓶颈。</w:t>
      </w:r>
    </w:p>
    <w:p>
      <w:pPr>
        <w:pStyle w:val="CustomHeading2"/>
      </w:pPr>
      <w:r>
        <w:br/>
        <w:t>3.2 高精度不连续傅里叶变换</w:t>
      </w:r>
    </w:p>
    <w:p>
      <w:r>
        <w:t>为克服FFT的固有局限性，我们引入了一种高精度数值方法——共形傅里叶变换（Conformal Fourier Transform, CFT），其理论基础源于 [Zhu et al., 2010]。该方法旨在精确计算定义在有界区间 [</w:t>
      </w:r>
      <w:r>
        <w:rPr>
          <w:i/>
        </w:rPr>
        <w:t>p</w:t>
      </w:r>
      <w:r>
        <w:rPr>
          <w:i/>
          <w:vertAlign w:val="subscript"/>
        </w:rPr>
        <w:t>₀</w:t>
      </w:r>
      <w:r>
        <w:rPr>
          <w:i/>
        </w:rPr>
        <w:t>, p</w:t>
      </w:r>
      <w:r>
        <w:rPr>
          <w:i/>
          <w:vertAlign w:val="subscript"/>
        </w:rPr>
        <w:t>₁</w:t>
      </w:r>
      <w:r>
        <w:rPr>
          <w:i/>
        </w:rPr>
        <w:t>]</w:t>
      </w:r>
      <w:r>
        <w:t xml:space="preserve"> 上的不连续函数的傅里叶积分：</w:t>
      </w:r>
    </w:p>
    <w:p>
      <w:pPr>
        <w:jc w:val="center"/>
      </w:pPr>
      <w:r>
        <w:rPr>
          <w:i/>
        </w:rPr>
        <w:t>F(u) = ∫</w:t>
      </w:r>
      <w:r>
        <w:rPr>
          <w:vertAlign w:val="superscript"/>
        </w:rPr>
        <w:t>p₁</w:t>
      </w:r>
      <w:r>
        <w:rPr>
          <w:vertAlign w:val="subscript"/>
        </w:rPr>
        <w:t>p₀</w:t>
      </w:r>
      <w:r>
        <w:rPr>
          <w:i/>
        </w:rPr>
        <w:t xml:space="preserve"> f(x)e</w:t>
      </w:r>
      <w:r>
        <w:rPr>
          <w:vertAlign w:val="superscript"/>
        </w:rPr>
        <w:t>−2πiux</w:t>
      </w:r>
      <w:r>
        <w:rPr>
          <w:i/>
        </w:rPr>
        <w:t xml:space="preserve"> dx     (4)</w:t>
      </w:r>
    </w:p>
    <w:p>
      <w:r>
        <w:t xml:space="preserve">传统方法（如FFT）的本质是基于梯形法则的数值积分，它通过对被积函数整体（包括傅里叶核 </w:t>
      </w:r>
      <w:r>
        <w:rPr>
          <w:i/>
        </w:rPr>
        <w:t>e</w:t>
      </w:r>
      <w:r>
        <w:rPr>
          <w:vertAlign w:val="superscript"/>
        </w:rPr>
        <w:t>−2πiux</w:t>
      </w:r>
      <w:r>
        <w:t>）进行离散采样来近似该积分。这要求采样率必须满足奈奎斯特定理以避免混叠失真。然而，对于空间有界的函数，其频谱是无限宽的，这使得混叠成为一个理论上无法回避的问题。</w:t>
      </w:r>
    </w:p>
    <w:p>
      <w:r>
        <w:t xml:space="preserve">CFT的核心思想是，完全不对振荡的傅里叶核进行离散化，而是对其进行解析处理，从而将全部数值误差转移到对原函数 </w:t>
      </w:r>
      <w:r>
        <w:rPr>
          <w:i/>
        </w:rPr>
        <w:t>f(x)</w:t>
      </w:r>
      <w:r>
        <w:t xml:space="preserve"> 的逼近上。该方法通过以下步骤实现：</w:t>
      </w:r>
    </w:p>
    <w:p>
      <w:pPr>
        <w:pStyle w:val="ListNumber"/>
      </w:pPr>
      <w:r>
        <w:t xml:space="preserve">1.  </w:t>
      </w:r>
      <w:r>
        <w:rPr>
          <w:b/>
        </w:rPr>
        <w:t xml:space="preserve">分段高阶插值: </w:t>
      </w:r>
      <w:r>
        <w:t>将积分区间 [</w:t>
      </w:r>
      <w:r>
        <w:rPr>
          <w:i/>
        </w:rPr>
        <w:t>p</w:t>
      </w:r>
      <w:r>
        <w:rPr>
          <w:i/>
          <w:vertAlign w:val="subscript"/>
        </w:rPr>
        <w:t>₀</w:t>
      </w:r>
      <w:r>
        <w:rPr>
          <w:i/>
        </w:rPr>
        <w:t>, p</w:t>
      </w:r>
      <w:r>
        <w:rPr>
          <w:i/>
          <w:vertAlign w:val="subscript"/>
        </w:rPr>
        <w:t>₁</w:t>
      </w:r>
      <w:r>
        <w:rPr>
          <w:i/>
        </w:rPr>
        <w:t>]</w:t>
      </w:r>
      <w:r>
        <w:t xml:space="preserve"> 分为L个子区间。在每个子区间 [</w:t>
      </w:r>
      <w:r>
        <w:rPr>
          <w:i/>
        </w:rPr>
        <w:t>xₗ, xₗ₊₁</w:t>
      </w:r>
      <w:r>
        <w:t xml:space="preserve">] 内，使用一个M阶拉格朗日（或切比雪夫）多项式 </w:t>
      </w:r>
      <w:r>
        <w:rPr>
          <w:i/>
        </w:rPr>
        <w:t>Pₗ⁽ᴹ⁾(x)</w:t>
      </w:r>
      <w:r>
        <w:t xml:space="preserve"> 来高精度地逼近函数 </w:t>
      </w:r>
      <w:r>
        <w:rPr>
          <w:i/>
        </w:rPr>
        <w:t>f(x)</w:t>
      </w:r>
      <w:r>
        <w:t>。</w:t>
      </w:r>
    </w:p>
    <w:p>
      <w:pPr>
        <w:pStyle w:val="ListNumber"/>
      </w:pPr>
      <w:r>
        <w:t xml:space="preserve">2.  </w:t>
      </w:r>
      <w:r>
        <w:rPr>
          <w:b/>
        </w:rPr>
        <w:t xml:space="preserve">解析积分求解: </w:t>
      </w:r>
      <w:r>
        <w:t xml:space="preserve">对于每个子区间上的多项式 </w:t>
      </w:r>
      <w:r>
        <w:rPr>
          <w:i/>
        </w:rPr>
        <w:t>Pₗ⁽ᴹ⁾(x)</w:t>
      </w:r>
      <w:r>
        <w:t xml:space="preserve">，其与傅里叶核的乘积的积分存在解析表达式。通过变量代换，可以将积分变换为对一系列单项式 </w:t>
      </w:r>
      <w:r>
        <w:rPr>
          <w:i/>
        </w:rPr>
        <w:t>tᵐ</w:t>
      </w:r>
      <w:r>
        <w:t xml:space="preserve"> 的傅里叶积分，而后者拥有封闭解。</w:t>
      </w:r>
    </w:p>
    <w:p>
      <w:pPr>
        <w:pStyle w:val="ListNumber"/>
      </w:pPr>
      <w:r>
        <w:t xml:space="preserve">3.  </w:t>
      </w:r>
      <w:r>
        <w:rPr>
          <w:b/>
        </w:rPr>
        <w:t xml:space="preserve">数值稳定性处理: </w:t>
      </w:r>
      <w:r>
        <w:t xml:space="preserve">在低频区（即频率 </w:t>
      </w:r>
      <w:r>
        <w:rPr>
          <w:i/>
        </w:rPr>
        <w:t>u</w:t>
      </w:r>
      <w:r>
        <w:t xml:space="preserve"> 接近0时），直接计算解析解会因舍入误差而变得不稳定。CFT通过切换到对指数项的泰勒级数展开来进行计算，从而保证了在全频带内的高精度。</w:t>
      </w:r>
    </w:p>
    <w:p>
      <w:r>
        <w:t xml:space="preserve">通过这种方式，CFT将数值近似的误差完全集中于对函数 </w:t>
      </w:r>
      <w:r>
        <w:rPr>
          <w:i/>
        </w:rPr>
        <w:t>f(x)</w:t>
      </w:r>
      <w:r>
        <w:t xml:space="preserve"> 的插值上，而完全避免了对傅里叶核的采样误差。这使其能够以远低于奈奎斯特频率的采样率获得高精度的频谱，并有效抑制混叠失真。这种从信号中提取高保真度、鲁棒频谱特征的能力，为我们修正FNO的预测误差提供了坚实的理论基础。</w:t>
      </w:r>
    </w:p>
    <w:p>
      <w:pPr>
        <w:pStyle w:val="CustomHeading1"/>
      </w:pPr>
      <w:r>
        <w:br/>
        <w:t>4. 实验 (Experiments)</w:t>
      </w:r>
    </w:p>
    <w:p>
      <w:pPr>
        <w:pStyle w:val="CustomHeading2"/>
      </w:pPr>
      <w:r>
        <w:t>4.1 FNO-RC 架构</w:t>
      </w:r>
    </w:p>
    <w:p>
      <w:r>
        <w:t xml:space="preserve">基于以上理论，我们设计了傅里叶神经算子残差修正 (FNO-RC) 模型，其架构如图1所示。核心创新在于FNO-RC层，它将标准FNO的预测能力与CFT的信号分析优势相结合。对于输入 </w:t>
      </w:r>
      <w:r>
        <w:rPr>
          <w:i/>
        </w:rPr>
        <w:t>vₜ(x)</w:t>
      </w:r>
      <w:r>
        <w:t>，该层通过两条并行路径进行处理：</w:t>
      </w:r>
    </w:p>
    <w:p>
      <w:r>
        <w:rPr>
          <w:i/>
        </w:rPr>
        <w:br/>
        <w:t>[请在此处插入 图1：FNO-RC架构图]</w:t>
        <w:br/>
      </w:r>
    </w:p>
    <w:p>
      <w:pPr>
        <w:pStyle w:val="ListBullet"/>
      </w:pPr>
      <w:r>
        <w:t xml:space="preserve">•   </w:t>
      </w:r>
      <w:r>
        <w:rPr>
          <w:b/>
        </w:rPr>
        <w:t xml:space="preserve">主预测路径: </w:t>
      </w:r>
      <w:r>
        <w:t xml:space="preserve">该路径遵循公式(3)，生成初步预测 </w:t>
      </w:r>
      <w:r>
        <w:rPr>
          <w:i/>
        </w:rPr>
        <w:t>v'ₜ₊₁(x)</w:t>
      </w:r>
      <w:r>
        <w:t>。</w:t>
      </w:r>
    </w:p>
    <w:p>
      <w:pPr>
        <w:pStyle w:val="ListBullet"/>
      </w:pPr>
      <w:r>
        <w:t xml:space="preserve">•   </w:t>
      </w:r>
      <w:r>
        <w:rPr>
          <w:b/>
        </w:rPr>
        <w:t xml:space="preserve">残差修正路径: </w:t>
      </w:r>
      <w:r>
        <w:t xml:space="preserve">该路径旨在生成一个修正场 </w:t>
      </w:r>
      <w:r>
        <w:rPr>
          <w:i/>
        </w:rPr>
        <w:t>c(x)</w:t>
      </w:r>
      <w:r>
        <w:t xml:space="preserve"> 以补偿主路径的预测误差。其计算过程为：</w:t>
      </w:r>
    </w:p>
    <w:p>
      <w:pPr>
        <w:jc w:val="center"/>
      </w:pPr>
      <w:r>
        <w:rPr>
          <w:i/>
        </w:rPr>
        <w:t>c(x) = MLP</w:t>
      </w:r>
      <w:r>
        <w:rPr>
          <w:i/>
          <w:vertAlign w:val="subscript"/>
        </w:rPr>
        <w:t>θ</w:t>
      </w:r>
      <w:r>
        <w:rPr>
          <w:i/>
        </w:rPr>
        <w:t>(CFT(v</w:t>
      </w:r>
      <w:r>
        <w:rPr>
          <w:i/>
          <w:vertAlign w:val="subscript"/>
        </w:rPr>
        <w:t>t</w:t>
      </w:r>
      <w:r>
        <w:rPr>
          <w:i/>
        </w:rPr>
        <w:t>(x)))     (5)</w:t>
      </w:r>
    </w:p>
    <w:p>
      <w:r>
        <w:t>其中，</w:t>
      </w:r>
      <w:r>
        <w:rPr>
          <w:i/>
        </w:rPr>
        <w:t>MLP</w:t>
      </w:r>
      <w:r>
        <w:rPr>
          <w:i/>
          <w:vertAlign w:val="subscript"/>
        </w:rPr>
        <w:t>θ</w:t>
      </w:r>
      <w:r>
        <w:t xml:space="preserve"> 的最后一层被零初始化，以确保训练稳定并为模型性能提供下界。</w:t>
      </w:r>
    </w:p>
    <w:p>
      <w:r>
        <w:t>最终，该层的输出由主预测与修正场叠加而成：</w:t>
      </w:r>
    </w:p>
    <w:p>
      <w:pPr>
        <w:jc w:val="center"/>
      </w:pPr>
      <w:r>
        <w:rPr>
          <w:i/>
        </w:rPr>
        <w:t>v</w:t>
      </w:r>
      <w:r>
        <w:rPr>
          <w:i/>
          <w:vertAlign w:val="subscript"/>
        </w:rPr>
        <w:t>t+1</w:t>
      </w:r>
      <w:r>
        <w:rPr>
          <w:i/>
        </w:rPr>
        <w:t>(x) = v'</w:t>
      </w:r>
      <w:r>
        <w:rPr>
          <w:i/>
          <w:vertAlign w:val="subscript"/>
        </w:rPr>
        <w:t>t+1</w:t>
      </w:r>
      <w:r>
        <w:rPr>
          <w:i/>
        </w:rPr>
        <w:t>(x) + c(x)     (6)</w:t>
      </w:r>
    </w:p>
    <w:p>
      <w:pPr>
        <w:pStyle w:val="CustomHeading2"/>
      </w:pPr>
      <w:r>
        <w:br/>
        <w:t>4.2 实验设置</w:t>
      </w:r>
    </w:p>
    <w:p>
      <w:r>
        <w:t>我们在三个基准物理系统上对模型进行了评估：一维粘性伯格斯方程、二维含力项的纳维-斯托克斯方程以及三维纳维-斯托克斯方程。所有模型均在PyTorch中实现，并与标准的FNO基线模型进行公平对比。两个模型均采用Adam优化器和余弦退火学习率调度器进行端到端训练，以最小化相对L2范数损失为目标。详细超参数设置见表1。</w:t>
      </w:r>
    </w:p>
    <w:p>
      <w:r>
        <w:br/>
        <w:t>表1：各实验的超参数设置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Hyperparameter</w:t>
            </w:r>
          </w:p>
        </w:tc>
        <w:tc>
          <w:tcPr>
            <w:tcW w:type="dxa" w:w="2160"/>
          </w:tcPr>
          <w:p>
            <w:r>
              <w:t>1D Burgers'</w:t>
            </w:r>
          </w:p>
        </w:tc>
        <w:tc>
          <w:tcPr>
            <w:tcW w:type="dxa" w:w="2160"/>
          </w:tcPr>
          <w:p>
            <w:r>
              <w:t>2D Navier-Stokes</w:t>
            </w:r>
          </w:p>
        </w:tc>
        <w:tc>
          <w:tcPr>
            <w:tcW w:type="dxa" w:w="2160"/>
          </w:tcPr>
          <w:p>
            <w:r>
              <w:t>3D Navier-Stokes</w:t>
            </w:r>
          </w:p>
        </w:tc>
      </w:tr>
      <w:tr>
        <w:tc>
          <w:tcPr>
            <w:tcW w:type="dxa" w:w="2160"/>
          </w:tcPr>
          <w:p>
            <w:r>
              <w:t>Modes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Width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Batch Size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Epochs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</w:tr>
      <w:tr>
        <w:tc>
          <w:tcPr>
            <w:tcW w:type="dxa" w:w="2160"/>
          </w:tcPr>
          <w:p>
            <w:r>
              <w:t>Learning Rate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</w:tr>
      <w:tr>
        <w:tc>
          <w:tcPr>
            <w:tcW w:type="dxa" w:w="2160"/>
          </w:tcPr>
          <w:p>
            <w:r>
              <w:t>Scheduler Step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Scheduler Gamma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</w:tbl>
    <w:p>
      <w:pPr>
        <w:pStyle w:val="CustomHeading2"/>
      </w:pPr>
      <w:r>
        <w:br/>
        <w:t>4.3 实验结果与分析</w:t>
      </w:r>
    </w:p>
    <w:p>
      <w:pPr/>
      <w:r>
        <w:rPr>
          <w:b/>
        </w:rPr>
        <w:t>4.3.1 定量分析</w:t>
      </w:r>
    </w:p>
    <w:p>
      <w:r>
        <w:t>表2汇总了所有基准测试的最终相对L2测试误差。数据显示，FNO-RC在所有维度的问题上均一致性地超越了FNO基线。尤其在二维和三维的纳维-斯托克斯方程这类长时程、混沌主导的预测任务中，FNO-RC分别实现了73.68%和43.58%的显著相对误差降低。我们认为，这一巨大优势源于CFT修正路径的有效性。在混沌系统中，长期预测的误差主要来源于低频全局模态的累积偏差。CFT路径通过其对信号的鲁棒分析能力，精确地捕捉并修正了这些累积误差，从而有效抑制了误差随时间增长的趋势，极大地提升了模型的长期保真度。在一维伯格斯方程中，由于其动力学行为相对简单，误差累积效应不显著，因此性能提升较为温和（2.98%），但依然验证了我们方法的有效性。</w:t>
      </w:r>
    </w:p>
    <w:p>
      <w:r>
        <w:br/>
        <w:t>表2：最终测试误差与相对性能提升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Problem</w:t>
            </w:r>
          </w:p>
        </w:tc>
        <w:tc>
          <w:tcPr>
            <w:tcW w:type="dxa" w:w="2160"/>
          </w:tcPr>
          <w:p>
            <w:r>
              <w:t>FNO Baseline (L2 Error)</w:t>
            </w:r>
          </w:p>
        </w:tc>
        <w:tc>
          <w:tcPr>
            <w:tcW w:type="dxa" w:w="2160"/>
          </w:tcPr>
          <w:p>
            <w:r>
              <w:t>FNO-RC (L2 Error)</w:t>
            </w:r>
          </w:p>
        </w:tc>
        <w:tc>
          <w:tcPr>
            <w:tcW w:type="dxa" w:w="2160"/>
          </w:tcPr>
          <w:p>
            <w:r>
              <w:t>Relative Improvement</w:t>
            </w:r>
          </w:p>
        </w:tc>
      </w:tr>
      <w:tr>
        <w:tc>
          <w:tcPr>
            <w:tcW w:type="dxa" w:w="2160"/>
          </w:tcPr>
          <w:p>
            <w:r>
              <w:t>1D Burgers'</w:t>
            </w:r>
          </w:p>
        </w:tc>
        <w:tc>
          <w:tcPr>
            <w:tcW w:type="dxa" w:w="2160"/>
          </w:tcPr>
          <w:p>
            <w:r>
              <w:t>0.2145</w:t>
            </w:r>
          </w:p>
        </w:tc>
        <w:tc>
          <w:tcPr>
            <w:tcW w:type="dxa" w:w="2160"/>
          </w:tcPr>
          <w:p>
            <w:r>
              <w:t>0.2081</w:t>
            </w:r>
          </w:p>
        </w:tc>
        <w:tc>
          <w:tcPr>
            <w:tcW w:type="dxa" w:w="2160"/>
          </w:tcPr>
          <w:p>
            <w:r>
              <w:t>2.98%</w:t>
            </w:r>
          </w:p>
        </w:tc>
      </w:tr>
      <w:tr>
        <w:tc>
          <w:tcPr>
            <w:tcW w:type="dxa" w:w="2160"/>
          </w:tcPr>
          <w:p>
            <w:r>
              <w:t>2D Navier-Stokes</w:t>
            </w:r>
          </w:p>
        </w:tc>
        <w:tc>
          <w:tcPr>
            <w:tcW w:type="dxa" w:w="2160"/>
          </w:tcPr>
          <w:p>
            <w:r>
              <w:t>0.0453</w:t>
            </w:r>
          </w:p>
        </w:tc>
        <w:tc>
          <w:tcPr>
            <w:tcW w:type="dxa" w:w="2160"/>
          </w:tcPr>
          <w:p>
            <w:r>
              <w:t>0.0119</w:t>
            </w:r>
          </w:p>
        </w:tc>
        <w:tc>
          <w:tcPr>
            <w:tcW w:type="dxa" w:w="2160"/>
          </w:tcPr>
          <w:p>
            <w:r>
              <w:t>73.68%</w:t>
            </w:r>
          </w:p>
        </w:tc>
      </w:tr>
      <w:tr>
        <w:tc>
          <w:tcPr>
            <w:tcW w:type="dxa" w:w="2160"/>
          </w:tcPr>
          <w:p>
            <w:r>
              <w:t>3D Navier-Stokes</w:t>
            </w:r>
          </w:p>
        </w:tc>
        <w:tc>
          <w:tcPr>
            <w:tcW w:type="dxa" w:w="2160"/>
          </w:tcPr>
          <w:p>
            <w:r>
              <w:t>0.1581</w:t>
            </w:r>
          </w:p>
        </w:tc>
        <w:tc>
          <w:tcPr>
            <w:tcW w:type="dxa" w:w="2160"/>
          </w:tcPr>
          <w:p>
            <w:r>
              <w:t>0.0892</w:t>
            </w:r>
          </w:p>
        </w:tc>
        <w:tc>
          <w:tcPr>
            <w:tcW w:type="dxa" w:w="2160"/>
          </w:tcPr>
          <w:p>
            <w:r>
              <w:t>43.58%</w:t>
            </w:r>
          </w:p>
        </w:tc>
      </w:tr>
    </w:tbl>
    <w:p>
      <w:pPr/>
      <w:r>
        <w:rPr>
          <w:b/>
        </w:rPr>
        <w:br/>
        <w:t>4.3.2 定性分析</w:t>
      </w:r>
    </w:p>
    <w:p>
      <w:r>
        <w:t>定性结果（见图2-4）进一步证实了我们模型的优越性。</w:t>
      </w:r>
    </w:p>
    <w:p>
      <w:pPr>
        <w:pStyle w:val="ListBullet"/>
      </w:pPr>
      <w:r>
        <w:t xml:space="preserve">•   </w:t>
      </w:r>
      <w:r>
        <w:rPr>
          <w:b/>
        </w:rPr>
        <w:t>对于一维伯格斯方程，</w:t>
      </w:r>
      <w:r>
        <w:t>FNO-RC能够更精确地捕捉激波的锋面和传播速度，有效缓解了标准谱方法中常见的吉布斯振荡现象，而基线模型的预测在激波附近则表现出明显的模糊和伪影。</w:t>
      </w:r>
    </w:p>
    <w:p>
      <w:pPr>
        <w:pStyle w:val="ListBullet"/>
      </w:pPr>
      <w:r>
        <w:t xml:space="preserve">•   </w:t>
      </w:r>
      <w:r>
        <w:rPr>
          <w:b/>
        </w:rPr>
        <w:t>在二维纳维-斯托克斯问题中，</w:t>
      </w:r>
      <w:r>
        <w:t>FNO-RC的预测结果在视觉上展现出更少的数值耗散，保留了更多真实流场中的小尺度涡结构细节。相比之下，基线模型的预测则显得过于平滑，在长时程演化后丢失了大量关键的湍流特征。</w:t>
      </w:r>
    </w:p>
    <w:p>
      <w:pPr>
        <w:pStyle w:val="ListBullet"/>
      </w:pPr>
      <w:r>
        <w:t xml:space="preserve">•   </w:t>
      </w:r>
      <w:r>
        <w:rPr>
          <w:b/>
        </w:rPr>
        <w:t>对于三维湍流，</w:t>
      </w:r>
      <w:r>
        <w:t>FNO-RC同样生成了与真实解在拓扑结构上更为一致的等值面，证明了其在高维复杂系统建模中抑制误差累积的强大能力。</w:t>
      </w:r>
    </w:p>
    <w:p>
      <w:r>
        <w:rPr>
          <w:i/>
        </w:rPr>
        <w:br/>
        <w:t>[请在此处插入 图2、3、4：分别为1D、2D、3D问题的定性对比图。]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rFonts w:ascii="Times New Roman" w:hAnsi="Times New Roman" w:eastAsia="黑体"/>
      <w:b/>
      <w:sz w:val="32"/>
    </w:rPr>
  </w:style>
  <w:style w:type="paragraph" w:customStyle="1" w:styleId="CustomHeading2">
    <w:name w:val="CustomHeading2"/>
    <w:rPr>
      <w:rFonts w:ascii="Times New Roman" w:hAnsi="Times New Roman" w:eastAsia="黑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