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AFAFA"/>
  <w:body>
    <w:p w:rsidR="00000000" w:rsidDel="00000000" w:rsidP="00000000" w:rsidRDefault="00000000" w:rsidRPr="00000000" w14:paraId="00000001">
      <w:pPr>
        <w:pStyle w:val="Title"/>
        <w:jc w:val="right"/>
        <w:rPr>
          <w:rFonts w:ascii="Oswald" w:cs="Oswald" w:eastAsia="Oswald" w:hAnsi="Oswald"/>
          <w:sz w:val="96"/>
          <w:szCs w:val="96"/>
        </w:rPr>
      </w:pPr>
      <w:bookmarkStart w:colFirst="0" w:colLast="0" w:name="_8n3t8g5av549" w:id="0"/>
      <w:bookmarkEnd w:id="0"/>
      <w:r w:rsidDel="00000000" w:rsidR="00000000" w:rsidRPr="00000000">
        <w:rPr>
          <w:rtl w:val="0"/>
        </w:rPr>
      </w:r>
    </w:p>
    <w:p w:rsidR="00000000" w:rsidDel="00000000" w:rsidP="00000000" w:rsidRDefault="00000000" w:rsidRPr="00000000" w14:paraId="00000002">
      <w:pPr>
        <w:pStyle w:val="Title"/>
        <w:jc w:val="right"/>
        <w:rPr>
          <w:rFonts w:ascii="Oswald" w:cs="Oswald" w:eastAsia="Oswald" w:hAnsi="Oswald"/>
          <w:sz w:val="96"/>
          <w:szCs w:val="96"/>
        </w:rPr>
      </w:pPr>
      <w:bookmarkStart w:colFirst="0" w:colLast="0" w:name="_n79g9wg6uyue" w:id="1"/>
      <w:bookmarkEnd w:id="1"/>
      <w:r w:rsidDel="00000000" w:rsidR="00000000" w:rsidRPr="00000000">
        <w:rPr>
          <w:rtl w:val="0"/>
        </w:rPr>
      </w:r>
    </w:p>
    <w:p w:rsidR="00000000" w:rsidDel="00000000" w:rsidP="00000000" w:rsidRDefault="00000000" w:rsidRPr="00000000" w14:paraId="00000003">
      <w:pPr>
        <w:pStyle w:val="Title"/>
        <w:jc w:val="right"/>
        <w:rPr>
          <w:rFonts w:ascii="Oswald" w:cs="Oswald" w:eastAsia="Oswald" w:hAnsi="Oswald"/>
          <w:sz w:val="96"/>
          <w:szCs w:val="96"/>
        </w:rPr>
      </w:pPr>
      <w:bookmarkStart w:colFirst="0" w:colLast="0" w:name="_py09nzr6i4yn" w:id="2"/>
      <w:bookmarkEnd w:id="2"/>
      <w:r w:rsidDel="00000000" w:rsidR="00000000" w:rsidRPr="00000000">
        <w:rPr>
          <w:rFonts w:ascii="Oswald" w:cs="Oswald" w:eastAsia="Oswald" w:hAnsi="Oswald"/>
          <w:sz w:val="96"/>
          <w:szCs w:val="96"/>
          <w:rtl w:val="0"/>
        </w:rPr>
        <w:t xml:space="preserve">Documento de la Marca</w:t>
        <w:br w:type="textWrapping"/>
        <w:t xml:space="preserve">Proyecto Artemis</w:t>
        <w:br w:type="textWrapping"/>
        <w:t xml:space="preserve">Versión 1.0.0</w:t>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spacing w:after="60" w:before="120" w:lineRule="auto"/>
        <w:ind w:left="720" w:hanging="718"/>
        <w:jc w:val="right"/>
        <w:rPr>
          <w:rFonts w:ascii="Oswald" w:cs="Oswald" w:eastAsia="Oswald" w:hAnsi="Oswald"/>
        </w:rPr>
      </w:pPr>
      <w:bookmarkStart w:colFirst="0" w:colLast="0" w:name="_7mjm6ch5i7f5" w:id="3"/>
      <w:bookmarkEnd w:id="3"/>
      <w:r w:rsidDel="00000000" w:rsidR="00000000" w:rsidRPr="00000000">
        <w:rPr>
          <w:rtl w:val="0"/>
        </w:rPr>
      </w:r>
    </w:p>
    <w:p w:rsidR="00000000" w:rsidDel="00000000" w:rsidP="00000000" w:rsidRDefault="00000000" w:rsidRPr="00000000" w14:paraId="00000006">
      <w:pPr>
        <w:pStyle w:val="Heading1"/>
        <w:spacing w:after="60" w:before="120" w:lineRule="auto"/>
        <w:ind w:left="720" w:hanging="718"/>
        <w:jc w:val="right"/>
        <w:rPr>
          <w:rFonts w:ascii="Oswald" w:cs="Oswald" w:eastAsia="Oswald" w:hAnsi="Oswald"/>
        </w:rPr>
      </w:pPr>
      <w:bookmarkStart w:colFirst="0" w:colLast="0" w:name="_10nxbkzdn2gf" w:id="4"/>
      <w:bookmarkEnd w:id="4"/>
      <w:r w:rsidDel="00000000" w:rsidR="00000000" w:rsidRPr="00000000">
        <w:rPr>
          <w:rFonts w:ascii="Oswald" w:cs="Oswald" w:eastAsia="Oswald" w:hAnsi="Oswald"/>
          <w:rtl w:val="0"/>
        </w:rPr>
        <w:t xml:space="preserve">Historial de Revisiones</w:t>
      </w:r>
    </w:p>
    <w:p w:rsidR="00000000" w:rsidDel="00000000" w:rsidP="00000000" w:rsidRDefault="00000000" w:rsidRPr="00000000" w14:paraId="00000007">
      <w:pPr>
        <w:spacing w:after="120" w:lineRule="auto"/>
        <w:ind w:left="720" w:firstLine="0"/>
        <w:jc w:val="both"/>
        <w:rPr>
          <w:rFonts w:ascii="Barlow" w:cs="Barlow" w:eastAsia="Barlow" w:hAnsi="Barlow"/>
        </w:rPr>
      </w:pPr>
      <w:r w:rsidDel="00000000" w:rsidR="00000000" w:rsidRPr="00000000">
        <w:rPr>
          <w:rtl w:val="0"/>
        </w:rPr>
      </w:r>
    </w:p>
    <w:tbl>
      <w:tblPr>
        <w:tblStyle w:val="Table1"/>
        <w:tblW w:w="9513.0" w:type="dxa"/>
        <w:jc w:val="left"/>
        <w:tblInd w:w="-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80"/>
        <w:gridCol w:w="1785"/>
        <w:gridCol w:w="3744"/>
        <w:gridCol w:w="2304"/>
        <w:tblGridChange w:id="0">
          <w:tblGrid>
            <w:gridCol w:w="1680"/>
            <w:gridCol w:w="1785"/>
            <w:gridCol w:w="3744"/>
            <w:gridCol w:w="2304"/>
          </w:tblGrid>
        </w:tblGridChange>
      </w:tblGrid>
      <w:tr>
        <w:tc>
          <w:tcPr>
            <w:shd w:fill="efefef" w:val="clear"/>
            <w:tcMar>
              <w:top w:w="100.0" w:type="dxa"/>
              <w:left w:w="108.0" w:type="dxa"/>
              <w:bottom w:w="100.0" w:type="dxa"/>
              <w:right w:w="108.0" w:type="dxa"/>
            </w:tcMar>
          </w:tcPr>
          <w:p w:rsidR="00000000" w:rsidDel="00000000" w:rsidP="00000000" w:rsidRDefault="00000000" w:rsidRPr="00000000" w14:paraId="00000008">
            <w:pPr>
              <w:spacing w:after="120" w:lineRule="auto"/>
              <w:rPr>
                <w:rFonts w:ascii="Barlow" w:cs="Barlow" w:eastAsia="Barlow" w:hAnsi="Barlow"/>
              </w:rPr>
            </w:pPr>
            <w:r w:rsidDel="00000000" w:rsidR="00000000" w:rsidRPr="00000000">
              <w:rPr>
                <w:rFonts w:ascii="Barlow" w:cs="Barlow" w:eastAsia="Barlow" w:hAnsi="Barlow"/>
                <w:b w:val="1"/>
                <w:rtl w:val="0"/>
              </w:rPr>
              <w:t xml:space="preserve">Fecha</w:t>
            </w:r>
            <w:r w:rsidDel="00000000" w:rsidR="00000000" w:rsidRPr="00000000">
              <w:rPr>
                <w:rtl w:val="0"/>
              </w:rPr>
            </w:r>
          </w:p>
        </w:tc>
        <w:tc>
          <w:tcPr>
            <w:shd w:fill="efefef" w:val="clear"/>
            <w:tcMar>
              <w:top w:w="100.0" w:type="dxa"/>
              <w:left w:w="108.0" w:type="dxa"/>
              <w:bottom w:w="100.0" w:type="dxa"/>
              <w:right w:w="108.0" w:type="dxa"/>
            </w:tcMar>
          </w:tcPr>
          <w:p w:rsidR="00000000" w:rsidDel="00000000" w:rsidP="00000000" w:rsidRDefault="00000000" w:rsidRPr="00000000" w14:paraId="00000009">
            <w:pPr>
              <w:spacing w:after="120" w:lineRule="auto"/>
              <w:jc w:val="both"/>
              <w:rPr>
                <w:rFonts w:ascii="Barlow" w:cs="Barlow" w:eastAsia="Barlow" w:hAnsi="Barlow"/>
              </w:rPr>
            </w:pPr>
            <w:r w:rsidDel="00000000" w:rsidR="00000000" w:rsidRPr="00000000">
              <w:rPr>
                <w:rFonts w:ascii="Barlow" w:cs="Barlow" w:eastAsia="Barlow" w:hAnsi="Barlow"/>
                <w:b w:val="1"/>
                <w:rtl w:val="0"/>
              </w:rPr>
              <w:t xml:space="preserve">Versión</w:t>
            </w:r>
            <w:r w:rsidDel="00000000" w:rsidR="00000000" w:rsidRPr="00000000">
              <w:rPr>
                <w:rtl w:val="0"/>
              </w:rPr>
            </w:r>
          </w:p>
        </w:tc>
        <w:tc>
          <w:tcPr>
            <w:shd w:fill="efefef" w:val="clear"/>
            <w:tcMar>
              <w:top w:w="100.0" w:type="dxa"/>
              <w:left w:w="108.0" w:type="dxa"/>
              <w:bottom w:w="100.0" w:type="dxa"/>
              <w:right w:w="108.0" w:type="dxa"/>
            </w:tcMar>
          </w:tcPr>
          <w:p w:rsidR="00000000" w:rsidDel="00000000" w:rsidP="00000000" w:rsidRDefault="00000000" w:rsidRPr="00000000" w14:paraId="0000000A">
            <w:pPr>
              <w:spacing w:after="120" w:lineRule="auto"/>
              <w:jc w:val="both"/>
              <w:rPr>
                <w:rFonts w:ascii="Barlow" w:cs="Barlow" w:eastAsia="Barlow" w:hAnsi="Barlow"/>
              </w:rPr>
            </w:pPr>
            <w:r w:rsidDel="00000000" w:rsidR="00000000" w:rsidRPr="00000000">
              <w:rPr>
                <w:rFonts w:ascii="Barlow" w:cs="Barlow" w:eastAsia="Barlow" w:hAnsi="Barlow"/>
                <w:b w:val="1"/>
                <w:rtl w:val="0"/>
              </w:rPr>
              <w:t xml:space="preserve">Descripción</w:t>
            </w:r>
            <w:r w:rsidDel="00000000" w:rsidR="00000000" w:rsidRPr="00000000">
              <w:rPr>
                <w:rtl w:val="0"/>
              </w:rPr>
            </w:r>
          </w:p>
        </w:tc>
        <w:tc>
          <w:tcPr>
            <w:shd w:fill="efefef" w:val="clear"/>
            <w:tcMar>
              <w:top w:w="100.0" w:type="dxa"/>
              <w:left w:w="108.0" w:type="dxa"/>
              <w:bottom w:w="100.0" w:type="dxa"/>
              <w:right w:w="108.0" w:type="dxa"/>
            </w:tcMar>
          </w:tcPr>
          <w:p w:rsidR="00000000" w:rsidDel="00000000" w:rsidP="00000000" w:rsidRDefault="00000000" w:rsidRPr="00000000" w14:paraId="0000000B">
            <w:pPr>
              <w:spacing w:after="120" w:lineRule="auto"/>
              <w:jc w:val="both"/>
              <w:rPr>
                <w:rFonts w:ascii="Barlow" w:cs="Barlow" w:eastAsia="Barlow" w:hAnsi="Barlow"/>
              </w:rPr>
            </w:pPr>
            <w:r w:rsidDel="00000000" w:rsidR="00000000" w:rsidRPr="00000000">
              <w:rPr>
                <w:rFonts w:ascii="Barlow" w:cs="Barlow" w:eastAsia="Barlow" w:hAnsi="Barlow"/>
                <w:b w:val="1"/>
                <w:rtl w:val="0"/>
              </w:rPr>
              <w:t xml:space="preserve">Autor</w:t>
            </w:r>
            <w:r w:rsidDel="00000000" w:rsidR="00000000" w:rsidRPr="00000000">
              <w:rPr>
                <w:rtl w:val="0"/>
              </w:rPr>
            </w:r>
          </w:p>
        </w:tc>
      </w:tr>
      <w:tr>
        <w:tc>
          <w:tcPr>
            <w:tcMar>
              <w:top w:w="100.0" w:type="dxa"/>
              <w:left w:w="108.0" w:type="dxa"/>
              <w:bottom w:w="100.0" w:type="dxa"/>
              <w:right w:w="108.0" w:type="dxa"/>
            </w:tcMar>
          </w:tcPr>
          <w:p w:rsidR="00000000" w:rsidDel="00000000" w:rsidP="00000000" w:rsidRDefault="00000000" w:rsidRPr="00000000" w14:paraId="0000000C">
            <w:pPr>
              <w:spacing w:after="120" w:lineRule="auto"/>
              <w:ind w:left="283.46456692913375" w:hanging="141.73228346456688"/>
              <w:jc w:val="both"/>
              <w:rPr>
                <w:rFonts w:ascii="Barlow" w:cs="Barlow" w:eastAsia="Barlow" w:hAnsi="Barlow"/>
              </w:rPr>
            </w:pPr>
            <w:r w:rsidDel="00000000" w:rsidR="00000000" w:rsidRPr="00000000">
              <w:rPr>
                <w:rFonts w:ascii="Barlow" w:cs="Barlow" w:eastAsia="Barlow" w:hAnsi="Barlow"/>
                <w:rtl w:val="0"/>
              </w:rPr>
              <w:t xml:space="preserve">06/11/2020</w:t>
            </w:r>
          </w:p>
        </w:tc>
        <w:tc>
          <w:tcPr>
            <w:tcMar>
              <w:top w:w="100.0" w:type="dxa"/>
              <w:left w:w="108.0" w:type="dxa"/>
              <w:bottom w:w="100.0" w:type="dxa"/>
              <w:right w:w="108.0" w:type="dxa"/>
            </w:tcMar>
          </w:tcPr>
          <w:p w:rsidR="00000000" w:rsidDel="00000000" w:rsidP="00000000" w:rsidRDefault="00000000" w:rsidRPr="00000000" w14:paraId="0000000D">
            <w:pPr>
              <w:spacing w:after="120" w:lineRule="auto"/>
              <w:ind w:left="708.6614173228347" w:firstLine="0"/>
              <w:jc w:val="both"/>
              <w:rPr>
                <w:rFonts w:ascii="Barlow" w:cs="Barlow" w:eastAsia="Barlow" w:hAnsi="Barlow"/>
              </w:rPr>
            </w:pPr>
            <w:r w:rsidDel="00000000" w:rsidR="00000000" w:rsidRPr="00000000">
              <w:rPr>
                <w:rFonts w:ascii="Barlow" w:cs="Barlow" w:eastAsia="Barlow" w:hAnsi="Barlow"/>
                <w:rtl w:val="0"/>
              </w:rPr>
              <w:t xml:space="preserve">1.0.0</w:t>
            </w:r>
          </w:p>
        </w:tc>
        <w:tc>
          <w:tcPr>
            <w:tcMar>
              <w:top w:w="100.0" w:type="dxa"/>
              <w:left w:w="108.0" w:type="dxa"/>
              <w:bottom w:w="100.0" w:type="dxa"/>
              <w:right w:w="108.0" w:type="dxa"/>
            </w:tcMar>
          </w:tcPr>
          <w:p w:rsidR="00000000" w:rsidDel="00000000" w:rsidP="00000000" w:rsidRDefault="00000000" w:rsidRPr="00000000" w14:paraId="0000000E">
            <w:pPr>
              <w:spacing w:after="120" w:lineRule="auto"/>
              <w:jc w:val="both"/>
              <w:rPr>
                <w:rFonts w:ascii="Barlow" w:cs="Barlow" w:eastAsia="Barlow" w:hAnsi="Barlow"/>
              </w:rPr>
            </w:pPr>
            <w:r w:rsidDel="00000000" w:rsidR="00000000" w:rsidRPr="00000000">
              <w:rPr>
                <w:rtl w:val="0"/>
              </w:rPr>
              <w:t xml:space="preserve">S</w:t>
            </w:r>
            <w:r w:rsidDel="00000000" w:rsidR="00000000" w:rsidRPr="00000000">
              <w:rPr>
                <w:rFonts w:ascii="Barlow" w:cs="Barlow" w:eastAsia="Barlow" w:hAnsi="Barlow"/>
                <w:rtl w:val="0"/>
              </w:rPr>
              <w:t xml:space="preserve">ustentación</w:t>
            </w:r>
            <w:r w:rsidDel="00000000" w:rsidR="00000000" w:rsidRPr="00000000">
              <w:rPr>
                <w:rtl w:val="0"/>
              </w:rPr>
              <w:t xml:space="preserve">,</w:t>
            </w:r>
            <w:r w:rsidDel="00000000" w:rsidR="00000000" w:rsidRPr="00000000">
              <w:rPr>
                <w:rFonts w:ascii="Barlow" w:cs="Barlow" w:eastAsia="Barlow" w:hAnsi="Barlow"/>
                <w:rtl w:val="0"/>
              </w:rPr>
              <w:t xml:space="preserve"> justificación y revelación de la marca </w:t>
            </w:r>
            <w:r w:rsidDel="00000000" w:rsidR="00000000" w:rsidRPr="00000000">
              <w:rPr>
                <w:rFonts w:ascii="Barlow" w:cs="Barlow" w:eastAsia="Barlow" w:hAnsi="Barlow"/>
                <w:i w:val="1"/>
                <w:rtl w:val="0"/>
              </w:rPr>
              <w:t xml:space="preserve">Artemis</w:t>
            </w: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0F">
            <w:pPr>
              <w:spacing w:after="120" w:lineRule="auto"/>
              <w:jc w:val="both"/>
              <w:rPr>
                <w:rFonts w:ascii="Barlow" w:cs="Barlow" w:eastAsia="Barlow" w:hAnsi="Barlow"/>
              </w:rPr>
            </w:pPr>
            <w:r w:rsidDel="00000000" w:rsidR="00000000" w:rsidRPr="00000000">
              <w:rPr>
                <w:rFonts w:ascii="Barlow" w:cs="Barlow" w:eastAsia="Barlow" w:hAnsi="Barlow"/>
                <w:rtl w:val="0"/>
              </w:rPr>
              <w:t xml:space="preserve">Diseñador UX/UI</w:t>
            </w:r>
          </w:p>
        </w:tc>
      </w:tr>
      <w:tr>
        <w:tc>
          <w:tcPr>
            <w:tcMar>
              <w:top w:w="100.0" w:type="dxa"/>
              <w:left w:w="108.0" w:type="dxa"/>
              <w:bottom w:w="100.0" w:type="dxa"/>
              <w:right w:w="108.0" w:type="dxa"/>
            </w:tcMar>
          </w:tcPr>
          <w:p w:rsidR="00000000" w:rsidDel="00000000" w:rsidP="00000000" w:rsidRDefault="00000000" w:rsidRPr="00000000" w14:paraId="00000010">
            <w:pPr>
              <w:spacing w:after="120" w:lineRule="auto"/>
              <w:ind w:left="720" w:firstLine="0"/>
              <w:jc w:val="both"/>
              <w:rPr>
                <w:rFonts w:ascii="Barlow" w:cs="Barlow" w:eastAsia="Barlow" w:hAnsi="Barlow"/>
              </w:rPr>
            </w:pP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11">
            <w:pPr>
              <w:spacing w:after="120" w:lineRule="auto"/>
              <w:ind w:left="720" w:firstLine="0"/>
              <w:jc w:val="both"/>
              <w:rPr>
                <w:rFonts w:ascii="Barlow" w:cs="Barlow" w:eastAsia="Barlow" w:hAnsi="Barlow"/>
              </w:rPr>
            </w:pP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12">
            <w:pPr>
              <w:spacing w:after="120" w:lineRule="auto"/>
              <w:ind w:left="720" w:firstLine="0"/>
              <w:jc w:val="both"/>
              <w:rPr>
                <w:rFonts w:ascii="Barlow" w:cs="Barlow" w:eastAsia="Barlow" w:hAnsi="Barlow"/>
              </w:rPr>
            </w:pP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13">
            <w:pPr>
              <w:spacing w:after="120" w:lineRule="auto"/>
              <w:ind w:left="720" w:firstLine="0"/>
              <w:jc w:val="both"/>
              <w:rPr>
                <w:rFonts w:ascii="Barlow" w:cs="Barlow" w:eastAsia="Barlow" w:hAnsi="Barlow"/>
              </w:rPr>
            </w:pPr>
            <w:r w:rsidDel="00000000" w:rsidR="00000000" w:rsidRPr="00000000">
              <w:rPr>
                <w:rtl w:val="0"/>
              </w:rPr>
            </w:r>
          </w:p>
        </w:tc>
      </w:tr>
      <w:tr>
        <w:tc>
          <w:tcPr>
            <w:tcMar>
              <w:top w:w="100.0" w:type="dxa"/>
              <w:left w:w="108.0" w:type="dxa"/>
              <w:bottom w:w="100.0" w:type="dxa"/>
              <w:right w:w="108.0" w:type="dxa"/>
            </w:tcMar>
          </w:tcPr>
          <w:p w:rsidR="00000000" w:rsidDel="00000000" w:rsidP="00000000" w:rsidRDefault="00000000" w:rsidRPr="00000000" w14:paraId="00000014">
            <w:pPr>
              <w:spacing w:after="120" w:lineRule="auto"/>
              <w:ind w:left="720" w:firstLine="0"/>
              <w:jc w:val="both"/>
              <w:rPr>
                <w:rFonts w:ascii="Barlow" w:cs="Barlow" w:eastAsia="Barlow" w:hAnsi="Barlow"/>
              </w:rPr>
            </w:pP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15">
            <w:pPr>
              <w:spacing w:after="120" w:lineRule="auto"/>
              <w:ind w:left="720" w:firstLine="0"/>
              <w:jc w:val="both"/>
              <w:rPr>
                <w:rFonts w:ascii="Barlow" w:cs="Barlow" w:eastAsia="Barlow" w:hAnsi="Barlow"/>
              </w:rPr>
            </w:pP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16">
            <w:pPr>
              <w:spacing w:after="120" w:lineRule="auto"/>
              <w:ind w:left="720" w:firstLine="0"/>
              <w:jc w:val="both"/>
              <w:rPr>
                <w:rFonts w:ascii="Barlow" w:cs="Barlow" w:eastAsia="Barlow" w:hAnsi="Barlow"/>
              </w:rPr>
            </w:pP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17">
            <w:pPr>
              <w:spacing w:after="120" w:lineRule="auto"/>
              <w:ind w:left="720" w:firstLine="0"/>
              <w:jc w:val="both"/>
              <w:rPr>
                <w:rFonts w:ascii="Barlow" w:cs="Barlow" w:eastAsia="Barlow" w:hAnsi="Barlow"/>
              </w:rPr>
            </w:pPr>
            <w:r w:rsidDel="00000000" w:rsidR="00000000" w:rsidRPr="00000000">
              <w:rPr>
                <w:rtl w:val="0"/>
              </w:rPr>
            </w:r>
          </w:p>
        </w:tc>
      </w:tr>
      <w:tr>
        <w:tc>
          <w:tcPr>
            <w:tcMar>
              <w:top w:w="100.0" w:type="dxa"/>
              <w:left w:w="108.0" w:type="dxa"/>
              <w:bottom w:w="100.0" w:type="dxa"/>
              <w:right w:w="108.0" w:type="dxa"/>
            </w:tcMar>
          </w:tcPr>
          <w:p w:rsidR="00000000" w:rsidDel="00000000" w:rsidP="00000000" w:rsidRDefault="00000000" w:rsidRPr="00000000" w14:paraId="00000018">
            <w:pPr>
              <w:spacing w:after="120" w:lineRule="auto"/>
              <w:ind w:left="720" w:firstLine="0"/>
              <w:jc w:val="both"/>
              <w:rPr>
                <w:rFonts w:ascii="Barlow" w:cs="Barlow" w:eastAsia="Barlow" w:hAnsi="Barlow"/>
              </w:rPr>
            </w:pP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19">
            <w:pPr>
              <w:spacing w:after="120" w:lineRule="auto"/>
              <w:ind w:left="720" w:firstLine="0"/>
              <w:jc w:val="both"/>
              <w:rPr>
                <w:rFonts w:ascii="Barlow" w:cs="Barlow" w:eastAsia="Barlow" w:hAnsi="Barlow"/>
              </w:rPr>
            </w:pP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1A">
            <w:pPr>
              <w:spacing w:after="120" w:lineRule="auto"/>
              <w:ind w:left="720" w:firstLine="0"/>
              <w:jc w:val="both"/>
              <w:rPr>
                <w:rFonts w:ascii="Barlow" w:cs="Barlow" w:eastAsia="Barlow" w:hAnsi="Barlow"/>
              </w:rPr>
            </w:pPr>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1B">
            <w:pPr>
              <w:spacing w:after="120" w:lineRule="auto"/>
              <w:ind w:left="720" w:firstLine="0"/>
              <w:jc w:val="both"/>
              <w:rPr>
                <w:rFonts w:ascii="Barlow" w:cs="Barlow" w:eastAsia="Barlow" w:hAnsi="Barlow"/>
              </w:rPr>
            </w:pPr>
            <w:r w:rsidDel="00000000" w:rsidR="00000000" w:rsidRPr="00000000">
              <w:rPr>
                <w:rtl w:val="0"/>
              </w:rPr>
            </w:r>
          </w:p>
        </w:tc>
      </w:tr>
    </w:tbl>
    <w:p w:rsidR="00000000" w:rsidDel="00000000" w:rsidP="00000000" w:rsidRDefault="00000000" w:rsidRPr="00000000" w14:paraId="0000001C">
      <w:pPr>
        <w:pStyle w:val="Heading1"/>
        <w:spacing w:after="60" w:before="120" w:lineRule="auto"/>
        <w:ind w:left="720" w:hanging="718"/>
        <w:jc w:val="right"/>
        <w:rPr>
          <w:rFonts w:ascii="Oswald" w:cs="Oswald" w:eastAsia="Oswald" w:hAnsi="Oswald"/>
        </w:rPr>
      </w:pPr>
      <w:bookmarkStart w:colFirst="0" w:colLast="0" w:name="_l1pvnlkb538x" w:id="5"/>
      <w:bookmarkEnd w:id="5"/>
      <w:r w:rsidDel="00000000" w:rsidR="00000000" w:rsidRPr="00000000">
        <w:rPr>
          <w:rtl w:val="0"/>
        </w:rPr>
      </w:r>
    </w:p>
    <w:p w:rsidR="00000000" w:rsidDel="00000000" w:rsidP="00000000" w:rsidRDefault="00000000" w:rsidRPr="00000000" w14:paraId="0000001D">
      <w:pPr>
        <w:pStyle w:val="Heading1"/>
        <w:spacing w:after="60" w:before="120" w:lineRule="auto"/>
        <w:ind w:left="0" w:firstLine="0"/>
        <w:jc w:val="left"/>
        <w:rPr>
          <w:rFonts w:ascii="Oswald" w:cs="Oswald" w:eastAsia="Oswald" w:hAnsi="Oswald"/>
        </w:rPr>
      </w:pPr>
      <w:bookmarkStart w:colFirst="0" w:colLast="0" w:name="_uml5coimfa01" w:id="6"/>
      <w:bookmarkEnd w:id="6"/>
      <w:r w:rsidDel="00000000" w:rsidR="00000000" w:rsidRPr="00000000">
        <w:rPr>
          <w:rtl w:val="0"/>
        </w:rPr>
      </w:r>
    </w:p>
    <w:p w:rsidR="00000000" w:rsidDel="00000000" w:rsidP="00000000" w:rsidRDefault="00000000" w:rsidRPr="00000000" w14:paraId="0000001E">
      <w:pPr>
        <w:pStyle w:val="Heading1"/>
        <w:spacing w:after="60" w:before="120" w:lineRule="auto"/>
        <w:ind w:left="720" w:hanging="718"/>
        <w:jc w:val="right"/>
        <w:rPr>
          <w:rFonts w:ascii="Oswald" w:cs="Oswald" w:eastAsia="Oswald" w:hAnsi="Oswald"/>
        </w:rPr>
      </w:pPr>
      <w:bookmarkStart w:colFirst="0" w:colLast="0" w:name="_mq458w7pxqog" w:id="7"/>
      <w:bookmarkEnd w:id="7"/>
      <w:r w:rsidDel="00000000" w:rsidR="00000000" w:rsidRPr="00000000">
        <w:rPr>
          <w:rFonts w:ascii="Oswald" w:cs="Oswald" w:eastAsia="Oswald" w:hAnsi="Oswald"/>
          <w:rtl w:val="0"/>
        </w:rPr>
        <w:t xml:space="preserve">Otros Documentos</w:t>
      </w:r>
    </w:p>
    <w:p w:rsidR="00000000" w:rsidDel="00000000" w:rsidP="00000000" w:rsidRDefault="00000000" w:rsidRPr="00000000" w14:paraId="0000001F">
      <w:pPr>
        <w:spacing w:after="120" w:lineRule="auto"/>
        <w:ind w:left="720" w:firstLine="0"/>
        <w:jc w:val="both"/>
        <w:rPr>
          <w:rFonts w:ascii="Barlow" w:cs="Barlow" w:eastAsia="Barlow" w:hAnsi="Barlow"/>
        </w:rPr>
      </w:pPr>
      <w:r w:rsidDel="00000000" w:rsidR="00000000" w:rsidRPr="00000000">
        <w:rPr>
          <w:rtl w:val="0"/>
        </w:rPr>
      </w:r>
    </w:p>
    <w:tbl>
      <w:tblPr>
        <w:tblStyle w:val="Table2"/>
        <w:tblW w:w="9525.0" w:type="dxa"/>
        <w:jc w:val="left"/>
        <w:tblInd w:w="-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95"/>
        <w:gridCol w:w="4830"/>
        <w:tblGridChange w:id="0">
          <w:tblGrid>
            <w:gridCol w:w="4695"/>
            <w:gridCol w:w="4830"/>
          </w:tblGrid>
        </w:tblGridChange>
      </w:tblGrid>
      <w:tr>
        <w:tc>
          <w:tcPr>
            <w:shd w:fill="efefef" w:val="clear"/>
            <w:tcMar>
              <w:top w:w="100.0" w:type="dxa"/>
              <w:left w:w="108.0" w:type="dxa"/>
              <w:bottom w:w="100.0" w:type="dxa"/>
              <w:right w:w="108.0" w:type="dxa"/>
            </w:tcMar>
          </w:tcPr>
          <w:p w:rsidR="00000000" w:rsidDel="00000000" w:rsidP="00000000" w:rsidRDefault="00000000" w:rsidRPr="00000000" w14:paraId="00000020">
            <w:pPr>
              <w:spacing w:after="120" w:lineRule="auto"/>
              <w:jc w:val="center"/>
              <w:rPr>
                <w:rFonts w:ascii="Barlow" w:cs="Barlow" w:eastAsia="Barlow" w:hAnsi="Barlow"/>
              </w:rPr>
            </w:pPr>
            <w:r w:rsidDel="00000000" w:rsidR="00000000" w:rsidRPr="00000000">
              <w:rPr>
                <w:rFonts w:ascii="Barlow" w:cs="Barlow" w:eastAsia="Barlow" w:hAnsi="Barlow"/>
                <w:b w:val="1"/>
                <w:rtl w:val="0"/>
              </w:rPr>
              <w:t xml:space="preserve">Previos a este</w:t>
            </w:r>
            <w:r w:rsidDel="00000000" w:rsidR="00000000" w:rsidRPr="00000000">
              <w:rPr>
                <w:rtl w:val="0"/>
              </w:rPr>
            </w:r>
          </w:p>
        </w:tc>
        <w:tc>
          <w:tcPr>
            <w:shd w:fill="efefef" w:val="clear"/>
            <w:tcMar>
              <w:top w:w="100.0" w:type="dxa"/>
              <w:left w:w="108.0" w:type="dxa"/>
              <w:bottom w:w="100.0" w:type="dxa"/>
              <w:right w:w="108.0" w:type="dxa"/>
            </w:tcMar>
          </w:tcPr>
          <w:p w:rsidR="00000000" w:rsidDel="00000000" w:rsidP="00000000" w:rsidRDefault="00000000" w:rsidRPr="00000000" w14:paraId="00000021">
            <w:pPr>
              <w:spacing w:after="120" w:lineRule="auto"/>
              <w:jc w:val="center"/>
              <w:rPr>
                <w:rFonts w:ascii="Barlow" w:cs="Barlow" w:eastAsia="Barlow" w:hAnsi="Barlow"/>
              </w:rPr>
            </w:pPr>
            <w:r w:rsidDel="00000000" w:rsidR="00000000" w:rsidRPr="00000000">
              <w:rPr>
                <w:rFonts w:ascii="Barlow" w:cs="Barlow" w:eastAsia="Barlow" w:hAnsi="Barlow"/>
                <w:b w:val="1"/>
                <w:rtl w:val="0"/>
              </w:rPr>
              <w:t xml:space="preserve">Siguientes a este</w:t>
            </w:r>
            <w:r w:rsidDel="00000000" w:rsidR="00000000" w:rsidRPr="00000000">
              <w:rPr>
                <w:rtl w:val="0"/>
              </w:rPr>
            </w:r>
          </w:p>
        </w:tc>
      </w:tr>
      <w:tr>
        <w:tc>
          <w:tcPr>
            <w:tcMar>
              <w:top w:w="100.0" w:type="dxa"/>
              <w:left w:w="108.0" w:type="dxa"/>
              <w:bottom w:w="100.0" w:type="dxa"/>
              <w:right w:w="108.0" w:type="dxa"/>
            </w:tcMar>
          </w:tcPr>
          <w:p w:rsidR="00000000" w:rsidDel="00000000" w:rsidP="00000000" w:rsidRDefault="00000000" w:rsidRPr="00000000" w14:paraId="00000022">
            <w:pPr>
              <w:spacing w:after="120" w:lineRule="auto"/>
              <w:jc w:val="center"/>
              <w:rPr>
                <w:rFonts w:ascii="Barlow" w:cs="Barlow" w:eastAsia="Barlow" w:hAnsi="Barlow"/>
              </w:rPr>
            </w:pPr>
            <w:hyperlink r:id="rId7">
              <w:r w:rsidDel="00000000" w:rsidR="00000000" w:rsidRPr="00000000">
                <w:rPr>
                  <w:rFonts w:ascii="Barlow" w:cs="Barlow" w:eastAsia="Barlow" w:hAnsi="Barlow"/>
                  <w:rtl w:val="0"/>
                </w:rPr>
                <w:t xml:space="preserve">Documento de Negocio</w:t>
              </w:r>
            </w:hyperlink>
            <w:r w:rsidDel="00000000" w:rsidR="00000000" w:rsidRPr="00000000">
              <w:rPr>
                <w:rtl w:val="0"/>
              </w:rPr>
            </w:r>
          </w:p>
        </w:tc>
        <w:tc>
          <w:tcPr>
            <w:tcMar>
              <w:top w:w="100.0" w:type="dxa"/>
              <w:left w:w="108.0" w:type="dxa"/>
              <w:bottom w:w="100.0" w:type="dxa"/>
              <w:right w:w="108.0" w:type="dxa"/>
            </w:tcMar>
          </w:tcPr>
          <w:p w:rsidR="00000000" w:rsidDel="00000000" w:rsidP="00000000" w:rsidRDefault="00000000" w:rsidRPr="00000000" w14:paraId="00000023">
            <w:pPr>
              <w:spacing w:after="120" w:lineRule="auto"/>
              <w:jc w:val="center"/>
              <w:rPr>
                <w:rFonts w:ascii="Barlow" w:cs="Barlow" w:eastAsia="Barlow" w:hAnsi="Barlow"/>
              </w:rPr>
            </w:pPr>
            <w:r w:rsidDel="00000000" w:rsidR="00000000" w:rsidRPr="00000000">
              <w:rPr>
                <w:rFonts w:ascii="Barlow" w:cs="Barlow" w:eastAsia="Barlow" w:hAnsi="Barlow"/>
                <w:rtl w:val="0"/>
              </w:rPr>
              <w:t xml:space="preserve">Diseño de mockups de UI</w:t>
            </w:r>
          </w:p>
        </w:tc>
      </w:tr>
    </w:tbl>
    <w:p w:rsidR="00000000" w:rsidDel="00000000" w:rsidP="00000000" w:rsidRDefault="00000000" w:rsidRPr="00000000" w14:paraId="00000024">
      <w:pPr>
        <w:spacing w:after="60"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after="60" w:before="120" w:lineRule="auto"/>
        <w:jc w:val="right"/>
        <w:rPr>
          <w:rFonts w:ascii="Oswald" w:cs="Oswald" w:eastAsia="Oswald" w:hAnsi="Oswald"/>
        </w:rPr>
      </w:pPr>
      <w:bookmarkStart w:colFirst="0" w:colLast="0" w:name="_r3qb7bxfwgd3" w:id="8"/>
      <w:bookmarkEnd w:id="8"/>
      <w:r w:rsidDel="00000000" w:rsidR="00000000" w:rsidRPr="00000000">
        <w:rPr>
          <w:rFonts w:ascii="Oswald" w:cs="Oswald" w:eastAsia="Oswald" w:hAnsi="Oswald"/>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025.511811023624"/>
            </w:tabs>
            <w:spacing w:before="80" w:line="240" w:lineRule="auto"/>
            <w:ind w:left="0" w:firstLine="0"/>
            <w:rPr>
              <w:rFonts w:ascii="Barlow" w:cs="Barlow" w:eastAsia="Barlow" w:hAnsi="Barlow"/>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0nxbkzdn2gf">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Historial de Revisiones</w:t>
            </w:r>
          </w:hyperlink>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_10nxbkzdn2gf \h </w:instrText>
            <w:fldChar w:fldCharType="separate"/>
          </w: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Barlow" w:cs="Barlow" w:eastAsia="Barlow" w:hAnsi="Barlow"/>
              <w:b w:val="1"/>
              <w:i w:val="0"/>
              <w:smallCaps w:val="0"/>
              <w:strike w:val="0"/>
              <w:color w:val="000000"/>
              <w:sz w:val="22"/>
              <w:szCs w:val="22"/>
              <w:u w:val="none"/>
              <w:shd w:fill="auto" w:val="clear"/>
              <w:vertAlign w:val="baseline"/>
            </w:rPr>
          </w:pPr>
          <w:hyperlink w:anchor="_mq458w7pxqog">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Otros Documentos</w:t>
            </w:r>
          </w:hyperlink>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_mq458w7pxqog \h </w:instrText>
            <w:fldChar w:fldCharType="separate"/>
          </w: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Barlow" w:cs="Barlow" w:eastAsia="Barlow" w:hAnsi="Barlow"/>
              <w:b w:val="1"/>
              <w:i w:val="0"/>
              <w:smallCaps w:val="0"/>
              <w:strike w:val="0"/>
              <w:color w:val="000000"/>
              <w:sz w:val="22"/>
              <w:szCs w:val="22"/>
              <w:u w:val="none"/>
              <w:shd w:fill="auto" w:val="clear"/>
              <w:vertAlign w:val="baseline"/>
            </w:rPr>
          </w:pPr>
          <w:hyperlink w:anchor="_r3qb7bxfwgd3">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Tabla de contenidos</w:t>
            </w:r>
          </w:hyperlink>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_r3qb7bxfwgd3 \h </w:instrText>
            <w:fldChar w:fldCharType="separate"/>
          </w: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Barlow" w:cs="Barlow" w:eastAsia="Barlow" w:hAnsi="Barlow"/>
              <w:b w:val="1"/>
              <w:i w:val="0"/>
              <w:smallCaps w:val="0"/>
              <w:strike w:val="0"/>
              <w:color w:val="000000"/>
              <w:sz w:val="22"/>
              <w:szCs w:val="22"/>
              <w:u w:val="none"/>
              <w:shd w:fill="auto" w:val="clear"/>
              <w:vertAlign w:val="baseline"/>
            </w:rPr>
          </w:pPr>
          <w:hyperlink w:anchor="_ns9p2kqf1qup">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Marca Artemis</w:t>
            </w:r>
          </w:hyperlink>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_ns9p2kqf1qup \h </w:instrText>
            <w:fldChar w:fldCharType="separate"/>
          </w: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Barlow" w:cs="Barlow" w:eastAsia="Barlow" w:hAnsi="Barlow"/>
              <w:b w:val="1"/>
              <w:i w:val="0"/>
              <w:smallCaps w:val="0"/>
              <w:strike w:val="0"/>
              <w:color w:val="000000"/>
              <w:sz w:val="22"/>
              <w:szCs w:val="22"/>
              <w:u w:val="none"/>
              <w:shd w:fill="auto" w:val="clear"/>
              <w:vertAlign w:val="baseline"/>
            </w:rPr>
          </w:pPr>
          <w:hyperlink w:anchor="_y77jvao2pn6x">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Competencia</w:t>
            </w:r>
          </w:hyperlink>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_y77jvao2pn6x \h </w:instrText>
            <w:fldChar w:fldCharType="separate"/>
          </w: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Barlow" w:cs="Barlow" w:eastAsia="Barlow" w:hAnsi="Barlow"/>
              <w:b w:val="1"/>
              <w:i w:val="0"/>
              <w:smallCaps w:val="0"/>
              <w:strike w:val="0"/>
              <w:color w:val="000000"/>
              <w:sz w:val="22"/>
              <w:szCs w:val="22"/>
              <w:u w:val="none"/>
              <w:shd w:fill="auto" w:val="clear"/>
              <w:vertAlign w:val="baseline"/>
            </w:rPr>
          </w:pPr>
          <w:hyperlink w:anchor="_chwv3ywnh5ie">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Análisis de color</w:t>
            </w:r>
          </w:hyperlink>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_chwv3ywnh5ie \h </w:instrText>
            <w:fldChar w:fldCharType="separate"/>
          </w: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Barlow" w:cs="Barlow" w:eastAsia="Barlow" w:hAnsi="Barlow"/>
              <w:b w:val="0"/>
              <w:i w:val="0"/>
              <w:smallCaps w:val="0"/>
              <w:strike w:val="0"/>
              <w:color w:val="000000"/>
              <w:sz w:val="22"/>
              <w:szCs w:val="22"/>
              <w:u w:val="none"/>
              <w:shd w:fill="auto" w:val="clear"/>
              <w:vertAlign w:val="baseline"/>
            </w:rPr>
          </w:pPr>
          <w:hyperlink w:anchor="_kylz9l3u8ycw">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Círculo cromático</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_kylz9l3u8ycw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Barlow" w:cs="Barlow" w:eastAsia="Barlow" w:hAnsi="Barlow"/>
              <w:b w:val="0"/>
              <w:i w:val="0"/>
              <w:smallCaps w:val="0"/>
              <w:strike w:val="0"/>
              <w:color w:val="000000"/>
              <w:sz w:val="22"/>
              <w:szCs w:val="22"/>
              <w:u w:val="none"/>
              <w:shd w:fill="auto" w:val="clear"/>
              <w:vertAlign w:val="baseline"/>
            </w:rPr>
          </w:pPr>
          <w:hyperlink w:anchor="_ssuxqf7qzcgg">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Psicología del color</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_ssuxqf7qzcgg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Barlow" w:cs="Barlow" w:eastAsia="Barlow" w:hAnsi="Barlow"/>
              <w:b w:val="0"/>
              <w:i w:val="0"/>
              <w:smallCaps w:val="0"/>
              <w:strike w:val="0"/>
              <w:color w:val="000000"/>
              <w:sz w:val="22"/>
              <w:szCs w:val="22"/>
              <w:u w:val="none"/>
              <w:shd w:fill="auto" w:val="clear"/>
              <w:vertAlign w:val="baseline"/>
            </w:rPr>
          </w:pPr>
          <w:hyperlink w:anchor="_vnaa4s5maawm">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Color de Artemis</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_vnaa4s5maawm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Barlow" w:cs="Barlow" w:eastAsia="Barlow" w:hAnsi="Barlow"/>
              <w:b w:val="0"/>
              <w:i w:val="0"/>
              <w:smallCaps w:val="0"/>
              <w:strike w:val="0"/>
              <w:color w:val="000000"/>
              <w:sz w:val="22"/>
              <w:szCs w:val="22"/>
              <w:u w:val="none"/>
              <w:shd w:fill="auto" w:val="clear"/>
              <w:vertAlign w:val="baseline"/>
            </w:rPr>
          </w:pPr>
          <w:hyperlink w:anchor="_8hndt7ana4sh">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Fundamento</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_8hndt7ana4sh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Barlow" w:cs="Barlow" w:eastAsia="Barlow" w:hAnsi="Barlow"/>
              <w:b w:val="0"/>
              <w:i w:val="0"/>
              <w:smallCaps w:val="0"/>
              <w:strike w:val="0"/>
              <w:color w:val="000000"/>
              <w:sz w:val="22"/>
              <w:szCs w:val="22"/>
              <w:u w:val="none"/>
              <w:shd w:fill="auto" w:val="clear"/>
              <w:vertAlign w:val="baseline"/>
            </w:rPr>
          </w:pPr>
          <w:hyperlink w:anchor="_f3x1yt9egcv">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Color principal</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_f3x1yt9egcv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Barlow" w:cs="Barlow" w:eastAsia="Barlow" w:hAnsi="Barlow"/>
              <w:b w:val="1"/>
              <w:i w:val="0"/>
              <w:smallCaps w:val="0"/>
              <w:strike w:val="0"/>
              <w:color w:val="000000"/>
              <w:sz w:val="22"/>
              <w:szCs w:val="22"/>
              <w:u w:val="none"/>
              <w:shd w:fill="auto" w:val="clear"/>
              <w:vertAlign w:val="baseline"/>
            </w:rPr>
          </w:pPr>
          <w:hyperlink w:anchor="_q7kl1zqc7sdp">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Tipografía corporativa</w:t>
            </w:r>
          </w:hyperlink>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_q7kl1zqc7sdp \h </w:instrText>
            <w:fldChar w:fldCharType="separate"/>
          </w: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Barlow" w:cs="Barlow" w:eastAsia="Barlow" w:hAnsi="Barlow"/>
              <w:b w:val="0"/>
              <w:i w:val="0"/>
              <w:smallCaps w:val="0"/>
              <w:strike w:val="0"/>
              <w:color w:val="000000"/>
              <w:sz w:val="22"/>
              <w:szCs w:val="22"/>
              <w:u w:val="none"/>
              <w:shd w:fill="auto" w:val="clear"/>
              <w:vertAlign w:val="baseline"/>
            </w:rPr>
          </w:pPr>
          <w:hyperlink w:anchor="_w49hz74guvss">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Importancia para la marca</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_w49hz74guvss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Barlow" w:cs="Barlow" w:eastAsia="Barlow" w:hAnsi="Barlow"/>
              <w:b w:val="0"/>
              <w:i w:val="0"/>
              <w:smallCaps w:val="0"/>
              <w:strike w:val="0"/>
              <w:color w:val="000000"/>
              <w:sz w:val="22"/>
              <w:szCs w:val="22"/>
              <w:u w:val="none"/>
              <w:shd w:fill="auto" w:val="clear"/>
              <w:vertAlign w:val="baseline"/>
            </w:rPr>
          </w:pPr>
          <w:hyperlink w:anchor="_cnk7xf41xwp7">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Tipografía de Artemis</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_cnk7xf41xwp7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Barlow" w:cs="Barlow" w:eastAsia="Barlow" w:hAnsi="Barlow"/>
              <w:b w:val="1"/>
              <w:i w:val="0"/>
              <w:smallCaps w:val="0"/>
              <w:strike w:val="0"/>
              <w:color w:val="000000"/>
              <w:sz w:val="22"/>
              <w:szCs w:val="22"/>
              <w:u w:val="none"/>
              <w:shd w:fill="auto" w:val="clear"/>
              <w:vertAlign w:val="baseline"/>
            </w:rPr>
          </w:pPr>
          <w:hyperlink w:anchor="_5i656dimu50d">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Isotipo</w:t>
            </w:r>
          </w:hyperlink>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_5i656dimu50d \h </w:instrText>
            <w:fldChar w:fldCharType="separate"/>
          </w:r>
          <w:r w:rsidDel="00000000" w:rsidR="00000000" w:rsidRPr="00000000">
            <w:rPr>
              <w:rFonts w:ascii="Barlow" w:cs="Barlow" w:eastAsia="Barlow" w:hAnsi="Barlow"/>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Barlow" w:cs="Barlow" w:eastAsia="Barlow" w:hAnsi="Barlow"/>
              <w:b w:val="0"/>
              <w:i w:val="0"/>
              <w:smallCaps w:val="0"/>
              <w:strike w:val="0"/>
              <w:color w:val="000000"/>
              <w:sz w:val="22"/>
              <w:szCs w:val="22"/>
              <w:u w:val="none"/>
              <w:shd w:fill="auto" w:val="clear"/>
              <w:vertAlign w:val="baseline"/>
            </w:rPr>
          </w:pPr>
          <w:hyperlink w:anchor="_ek8iqurrfsfu">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Justificación</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_ek8iqurrfsfu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Barlow" w:cs="Barlow" w:eastAsia="Barlow" w:hAnsi="Barlow"/>
              <w:b w:val="0"/>
              <w:i w:val="0"/>
              <w:smallCaps w:val="0"/>
              <w:strike w:val="0"/>
              <w:color w:val="000000"/>
              <w:sz w:val="22"/>
              <w:szCs w:val="22"/>
              <w:u w:val="none"/>
              <w:shd w:fill="auto" w:val="clear"/>
              <w:vertAlign w:val="baseline"/>
            </w:rPr>
          </w:pPr>
          <w:hyperlink w:anchor="_ghljnf7y3qbh">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El monte</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_ghljnf7y3qbh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Barlow" w:cs="Barlow" w:eastAsia="Barlow" w:hAnsi="Barlow"/>
              <w:b w:val="0"/>
              <w:i w:val="0"/>
              <w:smallCaps w:val="0"/>
              <w:strike w:val="0"/>
              <w:color w:val="000000"/>
              <w:sz w:val="22"/>
              <w:szCs w:val="22"/>
              <w:u w:val="none"/>
              <w:shd w:fill="auto" w:val="clear"/>
              <w:vertAlign w:val="baseline"/>
            </w:rPr>
          </w:pPr>
          <w:hyperlink w:anchor="_ua22wdmf6axv">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La flecha</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_ua22wdmf6axv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Barlow" w:cs="Barlow" w:eastAsia="Barlow" w:hAnsi="Barlow"/>
              <w:b w:val="0"/>
              <w:i w:val="0"/>
              <w:smallCaps w:val="0"/>
              <w:strike w:val="0"/>
              <w:color w:val="000000"/>
              <w:sz w:val="22"/>
              <w:szCs w:val="22"/>
              <w:u w:val="none"/>
              <w:shd w:fill="auto" w:val="clear"/>
              <w:vertAlign w:val="baseline"/>
            </w:rPr>
          </w:pPr>
          <w:hyperlink w:anchor="_pl42gnoej46b">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La luna llena</w:t>
            </w:r>
          </w:hyperlink>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_pl42gnoej46b \h </w:instrText>
            <w:fldChar w:fldCharType="separate"/>
          </w: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after="80" w:before="200" w:line="240" w:lineRule="auto"/>
            <w:ind w:left="0" w:firstLine="0"/>
            <w:rPr/>
          </w:pPr>
          <w:hyperlink w:anchor="_88o6va2w1efx">
            <w:r w:rsidDel="00000000" w:rsidR="00000000" w:rsidRPr="00000000">
              <w:rPr>
                <w:b w:val="1"/>
                <w:rtl w:val="0"/>
              </w:rPr>
              <w:t xml:space="preserve">Referencias</w:t>
            </w:r>
          </w:hyperlink>
          <w:r w:rsidDel="00000000" w:rsidR="00000000" w:rsidRPr="00000000">
            <w:rPr>
              <w:b w:val="1"/>
              <w:rtl w:val="0"/>
            </w:rPr>
            <w:tab/>
          </w:r>
          <w:r w:rsidDel="00000000" w:rsidR="00000000" w:rsidRPr="00000000">
            <w:fldChar w:fldCharType="begin"/>
            <w:instrText xml:space="preserve"> PAGEREF _88o6va2w1efx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after="60" w:before="12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after="60" w:before="120" w:lineRule="auto"/>
        <w:jc w:val="left"/>
        <w:rPr/>
      </w:pPr>
      <w:bookmarkStart w:colFirst="0" w:colLast="0" w:name="_ns9p2kqf1qup" w:id="9"/>
      <w:bookmarkEnd w:id="9"/>
      <w:r w:rsidDel="00000000" w:rsidR="00000000" w:rsidRPr="00000000">
        <w:rPr>
          <w:rtl w:val="0"/>
        </w:rPr>
        <w:t xml:space="preserve">Marca Artemis</w:t>
      </w:r>
    </w:p>
    <w:p w:rsidR="00000000" w:rsidDel="00000000" w:rsidP="00000000" w:rsidRDefault="00000000" w:rsidRPr="00000000" w14:paraId="0000003C">
      <w:pPr>
        <w:jc w:val="both"/>
        <w:rPr/>
      </w:pPr>
      <w:r w:rsidDel="00000000" w:rsidR="00000000" w:rsidRPr="00000000">
        <w:rPr>
          <w:rtl w:val="0"/>
        </w:rPr>
        <w:t xml:space="preserve">Artemis es una plataforma web para la creación y publicación de obras artísticas. En esta, los artistas podrán compartir contenido de su creación al igual que ver, comentar y calificar el contenido de otros en la plataforma.</w:t>
      </w:r>
    </w:p>
    <w:p w:rsidR="00000000" w:rsidDel="00000000" w:rsidP="00000000" w:rsidRDefault="00000000" w:rsidRPr="00000000" w14:paraId="0000003D">
      <w:pPr>
        <w:jc w:val="both"/>
        <w:rPr/>
      </w:pPr>
      <w:r w:rsidDel="00000000" w:rsidR="00000000" w:rsidRPr="00000000">
        <w:rPr>
          <w:rtl w:val="0"/>
        </w:rPr>
        <w:t xml:space="preserve">Inspirado en la plataforma GitHub, tendrá la capacidad de crear proyectos colaborativos y almacenar diferentes versiones de los proyectos, pensado para aquellos proyectos artísticos que conlleven más de un arte a la vez y complejos.</w:t>
      </w:r>
    </w:p>
    <w:p w:rsidR="00000000" w:rsidDel="00000000" w:rsidP="00000000" w:rsidRDefault="00000000" w:rsidRPr="00000000" w14:paraId="0000003E">
      <w:pPr>
        <w:ind w:left="2.0000000000000284"/>
        <w:jc w:val="left"/>
        <w:rPr/>
      </w:pPr>
      <w:r w:rsidDel="00000000" w:rsidR="00000000" w:rsidRPr="00000000">
        <w:rPr>
          <w:rtl w:val="0"/>
        </w:rPr>
      </w:r>
    </w:p>
    <w:p w:rsidR="00000000" w:rsidDel="00000000" w:rsidP="00000000" w:rsidRDefault="00000000" w:rsidRPr="00000000" w14:paraId="0000003F">
      <w:pPr>
        <w:pStyle w:val="Heading1"/>
        <w:rPr/>
      </w:pPr>
      <w:bookmarkStart w:colFirst="0" w:colLast="0" w:name="_y77jvao2pn6x" w:id="10"/>
      <w:bookmarkEnd w:id="10"/>
      <w:r w:rsidDel="00000000" w:rsidR="00000000" w:rsidRPr="00000000">
        <w:rPr>
          <w:rtl w:val="0"/>
        </w:rPr>
        <w:t xml:space="preserve">Competencia</w:t>
      </w:r>
    </w:p>
    <w:p w:rsidR="00000000" w:rsidDel="00000000" w:rsidP="00000000" w:rsidRDefault="00000000" w:rsidRPr="00000000" w14:paraId="00000040">
      <w:pPr>
        <w:jc w:val="both"/>
        <w:rPr/>
      </w:pPr>
      <w:r w:rsidDel="00000000" w:rsidR="00000000" w:rsidRPr="00000000">
        <w:rPr>
          <w:rtl w:val="0"/>
        </w:rPr>
        <w:t xml:space="preserve">Podemos considerar como competencia aquellas plataformas las cuales distribuyen algún contenido artístico predominantemente; no obstante, estas plataformas solo tienen focalizada un tipo de arte en específico: pintura, música, literatura o demás.</w:t>
      </w:r>
    </w:p>
    <w:p w:rsidR="00000000" w:rsidDel="00000000" w:rsidP="00000000" w:rsidRDefault="00000000" w:rsidRPr="00000000" w14:paraId="00000041">
      <w:pPr>
        <w:jc w:val="both"/>
        <w:rPr/>
      </w:pPr>
      <w:r w:rsidDel="00000000" w:rsidR="00000000" w:rsidRPr="00000000">
        <w:rPr>
          <w:rtl w:val="0"/>
        </w:rPr>
        <w:t xml:space="preserve">A continuación, se nombran algunas empresas que pueden ser consideradas competencia de Artemis, separadas por categorías.</w:t>
      </w:r>
    </w:p>
    <w:p w:rsidR="00000000" w:rsidDel="00000000" w:rsidP="00000000" w:rsidRDefault="00000000" w:rsidRPr="00000000" w14:paraId="00000042">
      <w:pPr>
        <w:pStyle w:val="Subtitle"/>
        <w:rPr>
          <w:rFonts w:ascii="Oswald" w:cs="Oswald" w:eastAsia="Oswald" w:hAnsi="Oswald"/>
        </w:rPr>
      </w:pPr>
      <w:bookmarkStart w:colFirst="0" w:colLast="0" w:name="_f0344rt8qllk" w:id="11"/>
      <w:bookmarkEnd w:id="11"/>
      <w:r w:rsidDel="00000000" w:rsidR="00000000" w:rsidRPr="00000000">
        <w:rPr>
          <w:rtl w:val="0"/>
        </w:rPr>
        <w:t xml:space="preserve">Pintura</w:t>
      </w:r>
      <w:r w:rsidDel="00000000" w:rsidR="00000000" w:rsidRPr="00000000">
        <w:rPr>
          <w:rtl w:val="0"/>
        </w:rPr>
      </w:r>
    </w:p>
    <w:p w:rsidR="00000000" w:rsidDel="00000000" w:rsidP="00000000" w:rsidRDefault="00000000" w:rsidRPr="00000000" w14:paraId="00000043">
      <w:pPr>
        <w:numPr>
          <w:ilvl w:val="0"/>
          <w:numId w:val="3"/>
        </w:numPr>
        <w:spacing w:after="0" w:afterAutospacing="0"/>
        <w:ind w:left="720" w:hanging="360"/>
        <w:rPr>
          <w:u w:val="none"/>
        </w:rPr>
      </w:pPr>
      <w:r w:rsidDel="00000000" w:rsidR="00000000" w:rsidRPr="00000000">
        <w:rPr>
          <w:rtl w:val="0"/>
        </w:rPr>
        <w:t xml:space="preserve">DeviantArt</w:t>
      </w:r>
    </w:p>
    <w:p w:rsidR="00000000" w:rsidDel="00000000" w:rsidP="00000000" w:rsidRDefault="00000000" w:rsidRPr="00000000" w14:paraId="00000044">
      <w:pPr>
        <w:numPr>
          <w:ilvl w:val="0"/>
          <w:numId w:val="3"/>
        </w:numPr>
        <w:spacing w:after="0" w:afterAutospacing="0"/>
        <w:ind w:left="720" w:hanging="360"/>
        <w:rPr>
          <w:u w:val="none"/>
        </w:rPr>
      </w:pPr>
      <w:r w:rsidDel="00000000" w:rsidR="00000000" w:rsidRPr="00000000">
        <w:rPr>
          <w:rtl w:val="0"/>
        </w:rPr>
        <w:t xml:space="preserve">ArtStation</w:t>
      </w:r>
    </w:p>
    <w:p w:rsidR="00000000" w:rsidDel="00000000" w:rsidP="00000000" w:rsidRDefault="00000000" w:rsidRPr="00000000" w14:paraId="00000045">
      <w:pPr>
        <w:numPr>
          <w:ilvl w:val="0"/>
          <w:numId w:val="3"/>
        </w:numPr>
        <w:spacing w:after="0" w:afterAutospacing="0"/>
        <w:ind w:left="720" w:hanging="360"/>
        <w:rPr>
          <w:u w:val="none"/>
        </w:rPr>
      </w:pPr>
      <w:r w:rsidDel="00000000" w:rsidR="00000000" w:rsidRPr="00000000">
        <w:rPr>
          <w:rtl w:val="0"/>
        </w:rPr>
        <w:t xml:space="preserve">Behance</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Pixiv</w:t>
      </w:r>
    </w:p>
    <w:p w:rsidR="00000000" w:rsidDel="00000000" w:rsidP="00000000" w:rsidRDefault="00000000" w:rsidRPr="00000000" w14:paraId="00000047">
      <w:pPr>
        <w:pStyle w:val="Subtitle"/>
        <w:rPr/>
      </w:pPr>
      <w:bookmarkStart w:colFirst="0" w:colLast="0" w:name="_cj3uy6jo117" w:id="12"/>
      <w:bookmarkEnd w:id="12"/>
      <w:r w:rsidDel="00000000" w:rsidR="00000000" w:rsidRPr="00000000">
        <w:rPr>
          <w:rtl w:val="0"/>
        </w:rPr>
        <w:t xml:space="preserve">Música</w:t>
      </w:r>
    </w:p>
    <w:p w:rsidR="00000000" w:rsidDel="00000000" w:rsidP="00000000" w:rsidRDefault="00000000" w:rsidRPr="00000000" w14:paraId="00000048">
      <w:pPr>
        <w:numPr>
          <w:ilvl w:val="0"/>
          <w:numId w:val="1"/>
        </w:numPr>
        <w:spacing w:after="0" w:afterAutospacing="0"/>
        <w:ind w:left="720" w:hanging="360"/>
        <w:rPr>
          <w:u w:val="none"/>
        </w:rPr>
      </w:pPr>
      <w:r w:rsidDel="00000000" w:rsidR="00000000" w:rsidRPr="00000000">
        <w:rPr>
          <w:rtl w:val="0"/>
        </w:rPr>
        <w:t xml:space="preserve">SoundCloud</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Clyp.It</w:t>
      </w:r>
    </w:p>
    <w:p w:rsidR="00000000" w:rsidDel="00000000" w:rsidP="00000000" w:rsidRDefault="00000000" w:rsidRPr="00000000" w14:paraId="0000004A">
      <w:pPr>
        <w:pStyle w:val="Subtitle"/>
        <w:rPr/>
      </w:pPr>
      <w:bookmarkStart w:colFirst="0" w:colLast="0" w:name="_yi7hz0fx4o4g" w:id="13"/>
      <w:bookmarkEnd w:id="13"/>
      <w:r w:rsidDel="00000000" w:rsidR="00000000" w:rsidRPr="00000000">
        <w:rPr>
          <w:rtl w:val="0"/>
        </w:rPr>
        <w:t xml:space="preserve">Literatura</w:t>
      </w:r>
    </w:p>
    <w:p w:rsidR="00000000" w:rsidDel="00000000" w:rsidP="00000000" w:rsidRDefault="00000000" w:rsidRPr="00000000" w14:paraId="0000004B">
      <w:pPr>
        <w:numPr>
          <w:ilvl w:val="0"/>
          <w:numId w:val="2"/>
        </w:numPr>
        <w:spacing w:after="0" w:afterAutospacing="0"/>
        <w:ind w:left="720" w:hanging="360"/>
        <w:rPr>
          <w:u w:val="none"/>
        </w:rPr>
      </w:pPr>
      <w:r w:rsidDel="00000000" w:rsidR="00000000" w:rsidRPr="00000000">
        <w:rPr>
          <w:rtl w:val="0"/>
        </w:rPr>
        <w:t xml:space="preserve">Wattpad</w:t>
      </w:r>
    </w:p>
    <w:p w:rsidR="00000000" w:rsidDel="00000000" w:rsidP="00000000" w:rsidRDefault="00000000" w:rsidRPr="00000000" w14:paraId="0000004C">
      <w:pPr>
        <w:numPr>
          <w:ilvl w:val="0"/>
          <w:numId w:val="2"/>
        </w:numPr>
        <w:spacing w:after="0" w:afterAutospacing="0"/>
        <w:ind w:left="720" w:hanging="360"/>
        <w:rPr>
          <w:u w:val="none"/>
        </w:rPr>
      </w:pPr>
      <w:r w:rsidDel="00000000" w:rsidR="00000000" w:rsidRPr="00000000">
        <w:rPr>
          <w:rtl w:val="0"/>
        </w:rPr>
        <w:t xml:space="preserve">Sweek</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fanfiction.net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Estas marcas son las que por referencia competirán con nuestra plataforma. Sin embargo, existe una plataforma web la cual viene a ser competencia directa con Artemis debido a que sigue una misma visión y ofrece características similares a esta.</w:t>
      </w:r>
    </w:p>
    <w:p w:rsidR="00000000" w:rsidDel="00000000" w:rsidP="00000000" w:rsidRDefault="00000000" w:rsidRPr="00000000" w14:paraId="00000050">
      <w:pPr>
        <w:jc w:val="both"/>
        <w:rPr/>
      </w:pPr>
      <w:r w:rsidDel="00000000" w:rsidR="00000000" w:rsidRPr="00000000">
        <w:rPr>
          <w:rtl w:val="0"/>
        </w:rPr>
        <w:t xml:space="preserve">Esta susodicha plataforma recibe el nombre de </w:t>
      </w:r>
      <w:hyperlink r:id="rId8">
        <w:r w:rsidDel="00000000" w:rsidR="00000000" w:rsidRPr="00000000">
          <w:rPr>
            <w:b w:val="1"/>
            <w:rtl w:val="0"/>
          </w:rPr>
          <w:t xml:space="preserve">Ello</w:t>
        </w:r>
      </w:hyperlink>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drawing>
          <wp:inline distB="114300" distT="114300" distL="114300" distR="114300">
            <wp:extent cx="5731200" cy="3073400"/>
            <wp:effectExtent b="0" l="0" r="0" t="0"/>
            <wp:docPr descr="Página principal de Ello" id="3" name="image15.png"/>
            <a:graphic>
              <a:graphicData uri="http://schemas.openxmlformats.org/drawingml/2006/picture">
                <pic:pic>
                  <pic:nvPicPr>
                    <pic:cNvPr descr="Página principal de Ello" id="0" name="image15.png"/>
                    <pic:cNvPicPr preferRelativeResize="0"/>
                  </pic:nvPicPr>
                  <pic:blipFill>
                    <a:blip r:embed="rId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rPr/>
      </w:pPr>
      <w:bookmarkStart w:colFirst="0" w:colLast="0" w:name="_chwv3ywnh5ie" w:id="14"/>
      <w:bookmarkEnd w:id="14"/>
      <w:r w:rsidDel="00000000" w:rsidR="00000000" w:rsidRPr="00000000">
        <w:rPr>
          <w:rtl w:val="0"/>
        </w:rPr>
        <w:t xml:space="preserve">Análisis de color</w:t>
      </w:r>
    </w:p>
    <w:p w:rsidR="00000000" w:rsidDel="00000000" w:rsidP="00000000" w:rsidRDefault="00000000" w:rsidRPr="00000000" w14:paraId="00000053">
      <w:pPr>
        <w:pStyle w:val="Heading2"/>
        <w:rPr/>
      </w:pPr>
      <w:bookmarkStart w:colFirst="0" w:colLast="0" w:name="_kylz9l3u8ycw" w:id="15"/>
      <w:bookmarkEnd w:id="15"/>
      <w:r w:rsidDel="00000000" w:rsidR="00000000" w:rsidRPr="00000000">
        <w:rPr>
          <w:rtl w:val="0"/>
        </w:rPr>
        <w:t xml:space="preserve">Círculo cromático</w:t>
      </w:r>
    </w:p>
    <w:p w:rsidR="00000000" w:rsidDel="00000000" w:rsidP="00000000" w:rsidRDefault="00000000" w:rsidRPr="00000000" w14:paraId="00000054">
      <w:pPr>
        <w:jc w:val="both"/>
        <w:rPr/>
      </w:pPr>
      <w:r w:rsidDel="00000000" w:rsidR="00000000" w:rsidRPr="00000000">
        <w:rPr>
          <w:rtl w:val="0"/>
        </w:rPr>
        <w:t xml:space="preserve">Una vez listadas todas las marcas que vienen a ser consideradas competencia, se elaboró un círculo cromático ubicando los logos de estas plataformas en base a sus colores predominantes. Los colores del círculo se tomaron en base a la tonalidad pura del color en sí (</w:t>
      </w:r>
      <w:r w:rsidDel="00000000" w:rsidR="00000000" w:rsidRPr="00000000">
        <w:rPr>
          <w:i w:val="1"/>
          <w:rtl w:val="0"/>
        </w:rPr>
        <w:t xml:space="preserve">hue</w:t>
      </w:r>
      <w:r w:rsidDel="00000000" w:rsidR="00000000" w:rsidRPr="00000000">
        <w:rPr>
          <w:rtl w:val="0"/>
        </w:rPr>
        <w:t xml:space="preserve">), sin considerar la luminosidad o la saturación, tratando de alinear a lo más coincidente con el de la marca.</w:t>
      </w:r>
    </w:p>
    <w:p w:rsidR="00000000" w:rsidDel="00000000" w:rsidP="00000000" w:rsidRDefault="00000000" w:rsidRPr="00000000" w14:paraId="00000055">
      <w:pPr>
        <w:jc w:val="both"/>
        <w:rPr/>
      </w:pPr>
      <w:r w:rsidDel="00000000" w:rsidR="00000000" w:rsidRPr="00000000">
        <w:rPr>
          <w:rtl w:val="0"/>
        </w:rPr>
        <w:t xml:space="preserve">En caso la marca fuera predominantemente o blanco o negro o blanco y negro, se optó por ubicarlas en el centro del círculo.</w:t>
      </w:r>
    </w:p>
    <w:p w:rsidR="00000000" w:rsidDel="00000000" w:rsidP="00000000" w:rsidRDefault="00000000" w:rsidRPr="00000000" w14:paraId="00000056">
      <w:pPr>
        <w:jc w:val="both"/>
        <w:rPr/>
      </w:pPr>
      <w:r w:rsidDel="00000000" w:rsidR="00000000" w:rsidRPr="00000000">
        <w:rPr>
          <w:rtl w:val="0"/>
        </w:rPr>
        <w:t xml:space="preserve">A continuación, se muestra el resultado.</w:t>
      </w:r>
    </w:p>
    <w:p w:rsidR="00000000" w:rsidDel="00000000" w:rsidP="00000000" w:rsidRDefault="00000000" w:rsidRPr="00000000" w14:paraId="00000057">
      <w:pPr>
        <w:rPr/>
      </w:pPr>
      <w:r w:rsidDel="00000000" w:rsidR="00000000" w:rsidRPr="00000000">
        <w:rPr/>
        <w:drawing>
          <wp:inline distB="114300" distT="114300" distL="114300" distR="114300">
            <wp:extent cx="5731200" cy="45466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Como se puede apreciar, varias marcas optan por los colores azulados y naranjas, teniendo como excepción DeviantArt e Instagram. Asimismo, se puede apreciar un hueco cromático entre las tonalidades del rosa al rojo y del amarillo al verde.</w:t>
      </w:r>
    </w:p>
    <w:p w:rsidR="00000000" w:rsidDel="00000000" w:rsidP="00000000" w:rsidRDefault="00000000" w:rsidRPr="00000000" w14:paraId="00000059">
      <w:pPr>
        <w:jc w:val="both"/>
        <w:rPr/>
      </w:pPr>
      <w:r w:rsidDel="00000000" w:rsidR="00000000" w:rsidRPr="00000000">
        <w:rPr>
          <w:rtl w:val="0"/>
        </w:rPr>
        <w:t xml:space="preserve">De la misma manera, la marca Ello es predominantemente negra, por lo que fue ubicado en el centro de la rueda cromática.</w:t>
      </w:r>
    </w:p>
    <w:p w:rsidR="00000000" w:rsidDel="00000000" w:rsidP="00000000" w:rsidRDefault="00000000" w:rsidRPr="00000000" w14:paraId="0000005A">
      <w:pPr>
        <w:pStyle w:val="Heading2"/>
        <w:rPr/>
      </w:pPr>
      <w:bookmarkStart w:colFirst="0" w:colLast="0" w:name="_ssuxqf7qzcgg" w:id="16"/>
      <w:bookmarkEnd w:id="16"/>
      <w:r w:rsidDel="00000000" w:rsidR="00000000" w:rsidRPr="00000000">
        <w:rPr>
          <w:rtl w:val="0"/>
        </w:rPr>
        <w:t xml:space="preserve">Psicología del color</w:t>
      </w:r>
    </w:p>
    <w:p w:rsidR="00000000" w:rsidDel="00000000" w:rsidP="00000000" w:rsidRDefault="00000000" w:rsidRPr="00000000" w14:paraId="0000005B">
      <w:pPr>
        <w:jc w:val="both"/>
        <w:rPr/>
      </w:pPr>
      <w:r w:rsidDel="00000000" w:rsidR="00000000" w:rsidRPr="00000000">
        <w:rPr>
          <w:rtl w:val="0"/>
        </w:rPr>
        <w:t xml:space="preserve">La psicología del color es un campo de estudio que está dirigido a analizar cómo percibimos y nos comportamos ante distintos colores, así como las emociones que suscitan en nosotros dichos tonos (García-Allen, n.d.).</w:t>
      </w:r>
    </w:p>
    <w:p w:rsidR="00000000" w:rsidDel="00000000" w:rsidP="00000000" w:rsidRDefault="00000000" w:rsidRPr="00000000" w14:paraId="0000005C">
      <w:pPr>
        <w:jc w:val="both"/>
        <w:rPr/>
      </w:pPr>
      <w:r w:rsidDel="00000000" w:rsidR="00000000" w:rsidRPr="00000000">
        <w:rPr>
          <w:rtl w:val="0"/>
        </w:rPr>
        <w:t xml:space="preserve">De esa manera, nosotros podemos percibir una cierta cromática y esta nos evocará alguna emoción de acuerdo a nuestros contexto y a nuestra cultura.</w:t>
      </w:r>
    </w:p>
    <w:p w:rsidR="00000000" w:rsidDel="00000000" w:rsidP="00000000" w:rsidRDefault="00000000" w:rsidRPr="00000000" w14:paraId="0000005D">
      <w:pPr>
        <w:jc w:val="both"/>
        <w:rPr/>
      </w:pPr>
      <w:r w:rsidDel="00000000" w:rsidR="00000000" w:rsidRPr="00000000">
        <w:rPr>
          <w:rtl w:val="0"/>
        </w:rPr>
        <w:t xml:space="preserve">Cabe resaltar que, debido a ciertos aspectos culturales con los que crecemos y nos relacionamos, algunos colores no significarán lo mismo que a otras personas quienes hayan crecido en una cultura diferente. Por ejemplo, para la cultura occidental, el color negro puede significar una cosa mientras que para la cultura oriental puede significar otra completamente diferente.</w:t>
      </w:r>
    </w:p>
    <w:p w:rsidR="00000000" w:rsidDel="00000000" w:rsidP="00000000" w:rsidRDefault="00000000" w:rsidRPr="00000000" w14:paraId="0000005E">
      <w:pPr>
        <w:jc w:val="both"/>
        <w:rPr/>
      </w:pPr>
      <w:r w:rsidDel="00000000" w:rsidR="00000000" w:rsidRPr="00000000">
        <w:rPr>
          <w:rtl w:val="0"/>
        </w:rPr>
        <w:t xml:space="preserve">Para la elaboración de este documento y de esta marca, se tomará por hecho que la cultura con la cual tratamos es la occidental.</w:t>
      </w:r>
    </w:p>
    <w:p w:rsidR="00000000" w:rsidDel="00000000" w:rsidP="00000000" w:rsidRDefault="00000000" w:rsidRPr="00000000" w14:paraId="0000005F">
      <w:pPr>
        <w:jc w:val="both"/>
        <w:rPr/>
      </w:pPr>
      <w:r w:rsidDel="00000000" w:rsidR="00000000" w:rsidRPr="00000000">
        <w:rPr>
          <w:rtl w:val="0"/>
        </w:rPr>
        <w:t xml:space="preserve">A continuación se muestra las asociaciones más comunes que se realiza a los colores.</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tbl>
      <w:tblPr>
        <w:tblStyle w:val="Table3"/>
        <w:tblW w:w="7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5310"/>
        <w:tblGridChange w:id="0">
          <w:tblGrid>
            <w:gridCol w:w="1935"/>
            <w:gridCol w:w="5310"/>
          </w:tblGrid>
        </w:tblGridChange>
      </w:tblGrid>
      <w:tr>
        <w:trPr>
          <w:trHeight w:val="420" w:hRule="atLeast"/>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b w:val="1"/>
              </w:rPr>
            </w:pPr>
            <w:r w:rsidDel="00000000" w:rsidR="00000000" w:rsidRPr="00000000">
              <w:rPr>
                <w:b w:val="1"/>
                <w:rtl w:val="0"/>
              </w:rPr>
              <w:t xml:space="preserve">Asociaciones de color</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Rojo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pPr>
            <w:r w:rsidDel="00000000" w:rsidR="00000000" w:rsidRPr="00000000">
              <w:rPr>
                <w:rtl w:val="0"/>
              </w:rPr>
              <w:t xml:space="preserve">Excitación, emoción, actividad, fuerza</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Naranja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pPr>
            <w:r w:rsidDel="00000000" w:rsidR="00000000" w:rsidRPr="00000000">
              <w:rPr>
                <w:rtl w:val="0"/>
              </w:rPr>
              <w:t xml:space="preserve">Excitación, emoción, vivo, energía, extrovertido, sociable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Amarillo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pPr>
            <w:r w:rsidDel="00000000" w:rsidR="00000000" w:rsidRPr="00000000">
              <w:rPr>
                <w:rtl w:val="0"/>
              </w:rPr>
              <w:t xml:space="preserve">Excitación, emoción, optimismo, extraversión, amabilidad, felicidad</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pPr>
            <w:r w:rsidDel="00000000" w:rsidR="00000000" w:rsidRPr="00000000">
              <w:rPr>
                <w:rtl w:val="0"/>
              </w:rPr>
              <w:t xml:space="preserve">Naturaleza, seguridad, pacífico, gentil, tranquilizante, placentero</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Azul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pPr>
            <w:r w:rsidDel="00000000" w:rsidR="00000000" w:rsidRPr="00000000">
              <w:rPr>
                <w:rtl w:val="0"/>
              </w:rPr>
              <w:t xml:space="preserve">Inteligencia, comunicación, confianza, eficiencia, deber, lógica, pacífico, placentero, confiable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Violeta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pPr>
            <w:r w:rsidDel="00000000" w:rsidR="00000000" w:rsidRPr="00000000">
              <w:rPr>
                <w:rtl w:val="0"/>
              </w:rPr>
              <w:t xml:space="preserve">Lujo, autenticidad, calidad, digno, majestuoso, progresivo</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pPr>
            <w:r w:rsidDel="00000000" w:rsidR="00000000" w:rsidRPr="00000000">
              <w:rPr>
                <w:rtl w:val="0"/>
              </w:rPr>
              <w:t xml:space="preserve">Sinceridad, pureza, limpieza, simplicidad, higiene, claridad, paz, felicidad, pacífico</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Gris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pPr>
            <w:r w:rsidDel="00000000" w:rsidR="00000000" w:rsidRPr="00000000">
              <w:rPr>
                <w:rtl w:val="0"/>
              </w:rPr>
              <w:t xml:space="preserve">Fuerza, exclusividad, simplicidad</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Negro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pPr>
            <w:r w:rsidDel="00000000" w:rsidR="00000000" w:rsidRPr="00000000">
              <w:rPr>
                <w:rtl w:val="0"/>
              </w:rPr>
              <w:t xml:space="preserve">Sofisticación, encanto, poder, majestuosidad, dignidad, triste, duro, formal, costoso, poderoso</w:t>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vnaa4s5maawm" w:id="17"/>
      <w:bookmarkEnd w:id="17"/>
      <w:r w:rsidDel="00000000" w:rsidR="00000000" w:rsidRPr="00000000">
        <w:rPr>
          <w:rtl w:val="0"/>
        </w:rPr>
        <w:t xml:space="preserve">Color de Artemis</w:t>
      </w:r>
    </w:p>
    <w:p w:rsidR="00000000" w:rsidDel="00000000" w:rsidP="00000000" w:rsidRDefault="00000000" w:rsidRPr="00000000" w14:paraId="00000078">
      <w:pPr>
        <w:pStyle w:val="Heading3"/>
        <w:rPr/>
      </w:pPr>
      <w:bookmarkStart w:colFirst="0" w:colLast="0" w:name="_8hndt7ana4sh" w:id="18"/>
      <w:bookmarkEnd w:id="18"/>
      <w:r w:rsidDel="00000000" w:rsidR="00000000" w:rsidRPr="00000000">
        <w:rPr>
          <w:rtl w:val="0"/>
        </w:rPr>
        <w:t xml:space="preserve">Fundamento</w:t>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Se eligió el color de Artemis debido a la connotación que evoca y al significado que otorga. Según la escala de personalidad de marca de Aaker (2001) y alineándose con los requerimientos de la organización, el color de Artemis tiene que ser uno el cual denote algo único, alternativo, ya que cada artista es único y sus obras son muestra de ello. De la misma manera, puede ser interpretado como un color que represente la bohemia interior de un artista.</w:t>
      </w:r>
    </w:p>
    <w:p w:rsidR="00000000" w:rsidDel="00000000" w:rsidP="00000000" w:rsidRDefault="00000000" w:rsidRPr="00000000" w14:paraId="0000007A">
      <w:pPr>
        <w:jc w:val="both"/>
        <w:rPr/>
      </w:pPr>
      <w:r w:rsidDel="00000000" w:rsidR="00000000" w:rsidRPr="00000000">
        <w:rPr>
          <w:rtl w:val="0"/>
        </w:rPr>
        <w:t xml:space="preserve">En base a ello, el nombre más apropiado para representar esto se puede considerar como algo singular, una </w:t>
      </w:r>
      <w:r w:rsidDel="00000000" w:rsidR="00000000" w:rsidRPr="00000000">
        <w:rPr>
          <w:i w:val="1"/>
          <w:rtl w:val="0"/>
        </w:rPr>
        <w:t xml:space="preserve">singularidad</w:t>
      </w:r>
      <w:r w:rsidDel="00000000" w:rsidR="00000000" w:rsidRPr="00000000">
        <w:rPr>
          <w:rtl w:val="0"/>
        </w:rPr>
        <w:t xml:space="preserve">.</w:t>
      </w:r>
    </w:p>
    <w:p w:rsidR="00000000" w:rsidDel="00000000" w:rsidP="00000000" w:rsidRDefault="00000000" w:rsidRPr="00000000" w14:paraId="0000007B">
      <w:pPr>
        <w:jc w:val="both"/>
        <w:rPr/>
      </w:pPr>
      <w:r w:rsidDel="00000000" w:rsidR="00000000" w:rsidRPr="00000000">
        <w:rPr>
          <w:rtl w:val="0"/>
        </w:rPr>
        <w:t xml:space="preserve">Y como bien dice el segundo significado de la palabra </w:t>
      </w:r>
      <w:r w:rsidDel="00000000" w:rsidR="00000000" w:rsidRPr="00000000">
        <w:rPr>
          <w:i w:val="1"/>
          <w:rtl w:val="0"/>
        </w:rPr>
        <w:t xml:space="preserve">singularidad</w:t>
      </w:r>
      <w:r w:rsidDel="00000000" w:rsidR="00000000" w:rsidRPr="00000000">
        <w:rPr>
          <w:rtl w:val="0"/>
        </w:rPr>
        <w:t xml:space="preserve"> en el diccionario de la Real Academia Española, esta es una “distinción o separación de lo común”.</w:t>
      </w:r>
    </w:p>
    <w:p w:rsidR="00000000" w:rsidDel="00000000" w:rsidP="00000000" w:rsidRDefault="00000000" w:rsidRPr="00000000" w14:paraId="0000007C">
      <w:pPr>
        <w:pStyle w:val="Heading3"/>
        <w:rPr/>
      </w:pPr>
      <w:bookmarkStart w:colFirst="0" w:colLast="0" w:name="_f3x1yt9egcv" w:id="19"/>
      <w:bookmarkEnd w:id="19"/>
      <w:r w:rsidDel="00000000" w:rsidR="00000000" w:rsidRPr="00000000">
        <w:rPr>
          <w:rtl w:val="0"/>
        </w:rPr>
        <w:t xml:space="preserve">Color principal</w:t>
      </w:r>
    </w:p>
    <w:p w:rsidR="00000000" w:rsidDel="00000000" w:rsidP="00000000" w:rsidRDefault="00000000" w:rsidRPr="00000000" w14:paraId="0000007D">
      <w:pPr>
        <w:jc w:val="both"/>
        <w:rPr/>
      </w:pPr>
      <w:r w:rsidDel="00000000" w:rsidR="00000000" w:rsidRPr="00000000">
        <w:rPr>
          <w:rtl w:val="0"/>
        </w:rPr>
        <w:t xml:space="preserve">En base a lo descrito anteriormente y considerando las definiciones asociadas, se optó finalmente por elegir el color PANTONE 2735 U.</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1318260" cy="2000118"/>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318260" cy="2000118"/>
                    </a:xfrm>
                    <a:prstGeom prst="rect"/>
                    <a:ln/>
                  </pic:spPr>
                </pic:pic>
              </a:graphicData>
            </a:graphic>
          </wp:inline>
        </w:drawing>
      </w:r>
      <w:r w:rsidDel="00000000" w:rsidR="00000000" w:rsidRPr="00000000">
        <w:rPr>
          <w:rtl w:val="0"/>
        </w:rPr>
      </w:r>
    </w:p>
    <w:tbl>
      <w:tblPr>
        <w:tblStyle w:val="Table4"/>
        <w:tblW w:w="2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350"/>
        <w:tblGridChange w:id="0">
          <w:tblGrid>
            <w:gridCol w:w="1470"/>
            <w:gridCol w:w="1350"/>
          </w:tblGrid>
        </w:tblGridChange>
      </w:tblGrid>
      <w:tr>
        <w:trPr>
          <w:trHeight w:val="420" w:hRule="atLeast"/>
        </w:trPr>
        <w:tc>
          <w:tcPr>
            <w:gridSpan w:val="2"/>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b w:val="1"/>
              </w:rPr>
            </w:pPr>
            <w:r w:rsidDel="00000000" w:rsidR="00000000" w:rsidRPr="00000000">
              <w:rPr>
                <w:b w:val="1"/>
                <w:rtl w:val="0"/>
              </w:rPr>
              <w:t xml:space="preserve">Valores de color</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RGB</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pPr>
            <w:r w:rsidDel="00000000" w:rsidR="00000000" w:rsidRPr="00000000">
              <w:rPr>
                <w:rtl w:val="0"/>
              </w:rPr>
              <w:t xml:space="preserve">104, 87, 178</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HEX/HTML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pPr>
            <w:r w:rsidDel="00000000" w:rsidR="00000000" w:rsidRPr="00000000">
              <w:rPr>
                <w:rtl w:val="0"/>
              </w:rPr>
              <w:t xml:space="preserve">6857B2</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Barlow Medium" w:cs="Barlow Medium" w:eastAsia="Barlow Medium" w:hAnsi="Barlow Medium"/>
              </w:rPr>
            </w:pPr>
            <w:r w:rsidDel="00000000" w:rsidR="00000000" w:rsidRPr="00000000">
              <w:rPr>
                <w:rFonts w:ascii="Barlow Medium" w:cs="Barlow Medium" w:eastAsia="Barlow Medium" w:hAnsi="Barlow Medium"/>
                <w:rtl w:val="0"/>
              </w:rPr>
              <w:t xml:space="preserve">CMYK</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pPr>
            <w:r w:rsidDel="00000000" w:rsidR="00000000" w:rsidRPr="00000000">
              <w:rPr>
                <w:rtl w:val="0"/>
              </w:rPr>
              <w:t xml:space="preserve">83, 84, 0, 0</w:t>
            </w:r>
          </w:p>
        </w:tc>
      </w:tr>
    </w:tbl>
    <w:p w:rsidR="00000000" w:rsidDel="00000000" w:rsidP="00000000" w:rsidRDefault="00000000" w:rsidRPr="00000000" w14:paraId="00000087">
      <w:pPr>
        <w:pStyle w:val="Heading1"/>
        <w:rPr/>
      </w:pPr>
      <w:bookmarkStart w:colFirst="0" w:colLast="0" w:name="_q7kl1zqc7sdp" w:id="20"/>
      <w:bookmarkEnd w:id="20"/>
      <w:r w:rsidDel="00000000" w:rsidR="00000000" w:rsidRPr="00000000">
        <w:rPr>
          <w:rtl w:val="0"/>
        </w:rPr>
        <w:t xml:space="preserve">Tipografía corporativa</w:t>
      </w:r>
    </w:p>
    <w:p w:rsidR="00000000" w:rsidDel="00000000" w:rsidP="00000000" w:rsidRDefault="00000000" w:rsidRPr="00000000" w14:paraId="00000088">
      <w:pPr>
        <w:pStyle w:val="Heading2"/>
        <w:rPr/>
      </w:pPr>
      <w:bookmarkStart w:colFirst="0" w:colLast="0" w:name="_w49hz74guvss" w:id="21"/>
      <w:bookmarkEnd w:id="21"/>
      <w:r w:rsidDel="00000000" w:rsidR="00000000" w:rsidRPr="00000000">
        <w:rPr>
          <w:rtl w:val="0"/>
        </w:rPr>
        <w:t xml:space="preserve">Importancia para la marca</w:t>
      </w:r>
    </w:p>
    <w:p w:rsidR="00000000" w:rsidDel="00000000" w:rsidP="00000000" w:rsidRDefault="00000000" w:rsidRPr="00000000" w14:paraId="00000089">
      <w:pPr>
        <w:jc w:val="both"/>
        <w:rPr/>
      </w:pPr>
      <w:r w:rsidDel="00000000" w:rsidR="00000000" w:rsidRPr="00000000">
        <w:rPr>
          <w:rtl w:val="0"/>
        </w:rPr>
        <w:t xml:space="preserve">Elegir la tipografía adecuada para Artemis es algo crucial debido a que jugará un papel muy importante que va más allá de no desentonar con los demás elementos, pues el tipo de letra en sí mismo puede comunicar ideas como prestigio, emociones o alegría, además de que funciona como un signo de identidad.</w:t>
      </w:r>
    </w:p>
    <w:p w:rsidR="00000000" w:rsidDel="00000000" w:rsidP="00000000" w:rsidRDefault="00000000" w:rsidRPr="00000000" w14:paraId="0000008A">
      <w:pPr>
        <w:pStyle w:val="Heading2"/>
        <w:jc w:val="both"/>
        <w:rPr/>
      </w:pPr>
      <w:bookmarkStart w:colFirst="0" w:colLast="0" w:name="_cnk7xf41xwp7" w:id="22"/>
      <w:bookmarkEnd w:id="22"/>
      <w:r w:rsidDel="00000000" w:rsidR="00000000" w:rsidRPr="00000000">
        <w:rPr>
          <w:rtl w:val="0"/>
        </w:rPr>
        <w:t xml:space="preserve">Tipografía de Artemis</w:t>
      </w:r>
    </w:p>
    <w:p w:rsidR="00000000" w:rsidDel="00000000" w:rsidP="00000000" w:rsidRDefault="00000000" w:rsidRPr="00000000" w14:paraId="0000008B">
      <w:pPr>
        <w:jc w:val="both"/>
        <w:rPr/>
      </w:pPr>
      <w:r w:rsidDel="00000000" w:rsidR="00000000" w:rsidRPr="00000000">
        <w:rPr>
          <w:rtl w:val="0"/>
        </w:rPr>
        <w:t xml:space="preserve">Se decidió elegir una tipografía que emita elegancia, modernidad y a su vez, simpleza; esto porque va alineado con los requerimientos y contexto de la organización para su producto. La fuente tipográfica elegida se llama Jost.</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3960000" cy="21384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960000" cy="2138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Jost será utilizado para acompañar al isotipo de Artemis (logotipo) y para títulos, subtítulos y etiquetas de relativa importancia.</w:t>
      </w:r>
    </w:p>
    <w:p w:rsidR="00000000" w:rsidDel="00000000" w:rsidP="00000000" w:rsidRDefault="00000000" w:rsidRPr="00000000" w14:paraId="00000090">
      <w:pPr>
        <w:jc w:val="both"/>
        <w:rPr/>
      </w:pPr>
      <w:r w:rsidDel="00000000" w:rsidR="00000000" w:rsidRPr="00000000">
        <w:rPr>
          <w:rtl w:val="0"/>
        </w:rPr>
        <w:t xml:space="preserve">Para la elaboración del logotipo, se optó por mantener todas las letras en mayúscula, para así demostrar consistencia.</w:t>
      </w:r>
    </w:p>
    <w:p w:rsidR="00000000" w:rsidDel="00000000" w:rsidP="00000000" w:rsidRDefault="00000000" w:rsidRPr="00000000" w14:paraId="00000091">
      <w:pPr>
        <w:rPr/>
      </w:pPr>
      <w:r w:rsidDel="00000000" w:rsidR="00000000" w:rsidRPr="00000000">
        <w:rPr>
          <w:rtl w:val="0"/>
        </w:rPr>
        <w:t xml:space="preserve">Para la tipografía de cuerpo, se decidió por usar Open Sans, al ser una tipografía que no resulta ser cansina para su lectura prolongada en pantallas.</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3960000" cy="1922789"/>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960000" cy="192278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A continuación, unas muestras del logotipo de Artemis bajo tres fondos: claro (blanco), corporativo (PANTONE 2735 U) y oscuro (negro al 80%). Después, se mostrará el emparejamiento de ambas tipografías mencionadas anteriormente en los mismos fondos.</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2880000" cy="1621970"/>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80000" cy="1621970"/>
                    </a:xfrm>
                    <a:prstGeom prst="rect"/>
                    <a:ln/>
                  </pic:spPr>
                </pic:pic>
              </a:graphicData>
            </a:graphic>
          </wp:inline>
        </w:drawing>
      </w:r>
      <w:r w:rsidDel="00000000" w:rsidR="00000000" w:rsidRPr="00000000">
        <w:rPr/>
        <w:drawing>
          <wp:inline distB="114300" distT="114300" distL="114300" distR="114300">
            <wp:extent cx="2880000" cy="1620905"/>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80000" cy="1620905"/>
                    </a:xfrm>
                    <a:prstGeom prst="rect"/>
                    <a:ln/>
                  </pic:spPr>
                </pic:pic>
              </a:graphicData>
            </a:graphic>
          </wp:inline>
        </w:drawing>
      </w:r>
      <w:r w:rsidDel="00000000" w:rsidR="00000000" w:rsidRPr="00000000">
        <w:rPr/>
        <w:drawing>
          <wp:inline distB="114300" distT="114300" distL="114300" distR="114300">
            <wp:extent cx="2880000" cy="1620905"/>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80000" cy="162090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16383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rPr/>
      </w:pPr>
      <w:bookmarkStart w:colFirst="0" w:colLast="0" w:name="_5i656dimu50d" w:id="23"/>
      <w:bookmarkEnd w:id="23"/>
      <w:r w:rsidDel="00000000" w:rsidR="00000000" w:rsidRPr="00000000">
        <w:rPr>
          <w:rtl w:val="0"/>
        </w:rPr>
        <w:t xml:space="preserve">Isotipo</w:t>
      </w:r>
    </w:p>
    <w:p w:rsidR="00000000" w:rsidDel="00000000" w:rsidP="00000000" w:rsidRDefault="00000000" w:rsidRPr="00000000" w14:paraId="00000097">
      <w:pPr>
        <w:rPr/>
      </w:pPr>
      <w:r w:rsidDel="00000000" w:rsidR="00000000" w:rsidRPr="00000000">
        <w:rPr>
          <w:rtl w:val="0"/>
        </w:rPr>
        <w:t xml:space="preserve">El isotipo de Artemis viene a ser el que se muestra a continuación.</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1800000" cy="179775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00000" cy="17977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Siendo el imagotipo final el mostrado consecuentemente.</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2880000" cy="287424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80000" cy="287424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rPr/>
      </w:pPr>
      <w:bookmarkStart w:colFirst="0" w:colLast="0" w:name="_ek8iqurrfsfu" w:id="24"/>
      <w:bookmarkEnd w:id="24"/>
      <w:r w:rsidDel="00000000" w:rsidR="00000000" w:rsidRPr="00000000">
        <w:rPr>
          <w:rtl w:val="0"/>
        </w:rPr>
        <w:t xml:space="preserve">Justificación</w:t>
      </w:r>
    </w:p>
    <w:p w:rsidR="00000000" w:rsidDel="00000000" w:rsidP="00000000" w:rsidRDefault="00000000" w:rsidRPr="00000000" w14:paraId="0000009C">
      <w:pPr>
        <w:jc w:val="both"/>
        <w:rPr/>
      </w:pPr>
      <w:r w:rsidDel="00000000" w:rsidR="00000000" w:rsidRPr="00000000">
        <w:rPr>
          <w:rtl w:val="0"/>
        </w:rPr>
        <w:t xml:space="preserve">Para la elaboración del isotipo se tomó en consideración quién era Artemis.</w:t>
      </w:r>
    </w:p>
    <w:p w:rsidR="00000000" w:rsidDel="00000000" w:rsidP="00000000" w:rsidRDefault="00000000" w:rsidRPr="00000000" w14:paraId="0000009D">
      <w:pPr>
        <w:jc w:val="both"/>
        <w:rPr/>
      </w:pPr>
      <w:r w:rsidDel="00000000" w:rsidR="00000000" w:rsidRPr="00000000">
        <w:rPr>
          <w:rtl w:val="0"/>
        </w:rPr>
        <w:t xml:space="preserve">Según la mitología griega clásica, Artemis (o Artemisa) fue una de las deidades más veneradas y una de las más antiguas. Es la diosa helena de los animales salvajes, el terreno virgen, los nacimientos, la virginidad y las doncellas, que traía y aliviaba las enfermedades de las mujeres. Hija de Zeus y Leto, hermana melliza de Apolo, y junto a ellos integra el panteón de los doce dioses olímpicos.</w:t>
      </w:r>
    </w:p>
    <w:p w:rsidR="00000000" w:rsidDel="00000000" w:rsidP="00000000" w:rsidRDefault="00000000" w:rsidRPr="00000000" w14:paraId="0000009E">
      <w:pPr>
        <w:jc w:val="both"/>
        <w:rPr/>
      </w:pPr>
      <w:r w:rsidDel="00000000" w:rsidR="00000000" w:rsidRPr="00000000">
        <w:rPr>
          <w:rtl w:val="0"/>
        </w:rPr>
        <w:t xml:space="preserve">A menudo se la representaba como una cazadora llevando un arco y flechas.​ El ciervo y el ciprés le estaban consagrados. Algunos investigadores​ creen que su nombre y, de hecho la propia diosa, era originalmente pregriega. Homero alude a ella como Artemis Agrotera, Potnia Theron, ‘Artemisa del terreno virgen, Señora de los Animales’.​ También Homero señala en la Ilíada que junto a Hermes rescataron a Ares, encadenado por los gigantes ctónicos.</w:t>
      </w:r>
    </w:p>
    <w:p w:rsidR="00000000" w:rsidDel="00000000" w:rsidP="00000000" w:rsidRDefault="00000000" w:rsidRPr="00000000" w14:paraId="0000009F">
      <w:pPr>
        <w:jc w:val="both"/>
        <w:rPr/>
      </w:pPr>
      <w:r w:rsidDel="00000000" w:rsidR="00000000" w:rsidRPr="00000000">
        <w:rPr>
          <w:rtl w:val="0"/>
        </w:rPr>
        <w:t xml:space="preserve">Tomando en cuenta esto, se procede a explicar las figuras las cuales conforman el isotipo.</w:t>
      </w:r>
    </w:p>
    <w:p w:rsidR="00000000" w:rsidDel="00000000" w:rsidP="00000000" w:rsidRDefault="00000000" w:rsidRPr="00000000" w14:paraId="000000A0">
      <w:pPr>
        <w:pStyle w:val="Heading3"/>
        <w:jc w:val="both"/>
        <w:rPr/>
      </w:pPr>
      <w:bookmarkStart w:colFirst="0" w:colLast="0" w:name="_ghljnf7y3qbh" w:id="25"/>
      <w:bookmarkEnd w:id="25"/>
      <w:r w:rsidDel="00000000" w:rsidR="00000000" w:rsidRPr="00000000">
        <w:rPr>
          <w:rtl w:val="0"/>
        </w:rPr>
        <w:t xml:space="preserve">El monte</w:t>
      </w:r>
    </w:p>
    <w:p w:rsidR="00000000" w:rsidDel="00000000" w:rsidP="00000000" w:rsidRDefault="00000000" w:rsidRPr="00000000" w14:paraId="000000A1">
      <w:pPr>
        <w:jc w:val="both"/>
        <w:rPr/>
      </w:pPr>
      <w:r w:rsidDel="00000000" w:rsidR="00000000" w:rsidRPr="00000000">
        <w:rPr>
          <w:rtl w:val="0"/>
        </w:rPr>
        <w:t xml:space="preserve">La primera figura la cual se evoca es el monte. El monte simboliza la unión del cielo y la tierra, un espacio sagrado, es en la cima del monte donde uno se encuentra consigo mismo, donde uno va a realizar la caza de su objetivo, donde uno llega al éxito. De la misma manera, es lo que Artemis quiere ofrecer a su comunidad: un lugar sagrado para él donde pueda compartir sus logros y así alcanzar el éxito y reconocimiento de las personas.</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1080000" cy="9396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80000" cy="939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jc w:val="both"/>
        <w:rPr/>
      </w:pPr>
      <w:bookmarkStart w:colFirst="0" w:colLast="0" w:name="_ua22wdmf6axv" w:id="26"/>
      <w:bookmarkEnd w:id="26"/>
      <w:r w:rsidDel="00000000" w:rsidR="00000000" w:rsidRPr="00000000">
        <w:rPr>
          <w:rtl w:val="0"/>
        </w:rPr>
        <w:t xml:space="preserve">La flecha</w:t>
      </w:r>
    </w:p>
    <w:p w:rsidR="00000000" w:rsidDel="00000000" w:rsidP="00000000" w:rsidRDefault="00000000" w:rsidRPr="00000000" w14:paraId="000000A4">
      <w:pPr>
        <w:jc w:val="both"/>
        <w:rPr/>
      </w:pPr>
      <w:r w:rsidDel="00000000" w:rsidR="00000000" w:rsidRPr="00000000">
        <w:rPr>
          <w:rtl w:val="0"/>
        </w:rPr>
        <w:t xml:space="preserve">La flecha representa el pensamiento, el conocimiento y la luz que aclara el camino. Artemisa usaba las flechas como sus principales proyectiles para su labor de caza. Esto ofrece Artemis hacia la comunidad tratando de mostrar que sus usuarios son conocedores de lo que quieren lograr, tienen el pensamiento adecuado y la dirección hacia dónde ir con su trabajo.</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654545" cy="10800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54545"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jc w:val="both"/>
        <w:rPr/>
      </w:pPr>
      <w:bookmarkStart w:colFirst="0" w:colLast="0" w:name="_pl42gnoej46b" w:id="27"/>
      <w:bookmarkEnd w:id="27"/>
      <w:r w:rsidDel="00000000" w:rsidR="00000000" w:rsidRPr="00000000">
        <w:rPr>
          <w:rtl w:val="0"/>
        </w:rPr>
        <w:t xml:space="preserve">La luna llena</w:t>
      </w:r>
    </w:p>
    <w:p w:rsidR="00000000" w:rsidDel="00000000" w:rsidP="00000000" w:rsidRDefault="00000000" w:rsidRPr="00000000" w14:paraId="000000A7">
      <w:pPr>
        <w:rPr/>
      </w:pPr>
      <w:r w:rsidDel="00000000" w:rsidR="00000000" w:rsidRPr="00000000">
        <w:rPr>
          <w:rtl w:val="0"/>
        </w:rPr>
        <w:t xml:space="preserve">Artemisa es también representada con una luna llena sobre su cabeza. La luna llena representa la totalidad, la plenitud y la fuerza que tiene cada uno. Es aquel astro más brillante que se presenta en las noches más despejadas; aquella que, al ser circular, representa la unidad, lo absoluto y la relación entre lo material con lo espiritual.</w:t>
      </w:r>
    </w:p>
    <w:p w:rsidR="00000000" w:rsidDel="00000000" w:rsidP="00000000" w:rsidRDefault="00000000" w:rsidRPr="00000000" w14:paraId="000000A8">
      <w:pPr>
        <w:rPr/>
      </w:pPr>
      <w:r w:rsidDel="00000000" w:rsidR="00000000" w:rsidRPr="00000000">
        <w:rPr>
          <w:rtl w:val="0"/>
        </w:rPr>
        <w:t xml:space="preserve">Artemis refleja eso al permitir que su comunidad sea única, consolidada y unida. Asimismo, refleja esas intenciones del interior del artista hacia el mundo exterior, el mundo material; les da esa oportunidad para mostrar su pensamiento, su sentir, su manera de ver la vida, su espíritu artístico.</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1080000" cy="1080000"/>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080000"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Estos tres símbolos, al ser unidos, conforman el isotipo de Artemis.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5400000" cy="97200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00000" cy="972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Sin más que especificar hasta el momento, esta viene a ser la revelación de la marca Artemis.</w:t>
      </w:r>
    </w:p>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spacing w:after="0" w:line="480" w:lineRule="auto"/>
        <w:rPr/>
      </w:pPr>
      <w:bookmarkStart w:colFirst="0" w:colLast="0" w:name="_88o6va2w1efx" w:id="28"/>
      <w:bookmarkEnd w:id="28"/>
      <w:r w:rsidDel="00000000" w:rsidR="00000000" w:rsidRPr="00000000">
        <w:rPr>
          <w:rtl w:val="0"/>
        </w:rPr>
        <w:t xml:space="preserve">Referencias</w:t>
      </w:r>
    </w:p>
    <w:p w:rsidR="00000000" w:rsidDel="00000000" w:rsidP="00000000" w:rsidRDefault="00000000" w:rsidRPr="00000000" w14:paraId="000000B2">
      <w:pPr>
        <w:spacing w:after="0" w:line="480" w:lineRule="auto"/>
        <w:ind w:left="720"/>
        <w:rPr/>
      </w:pPr>
      <w:r w:rsidDel="00000000" w:rsidR="00000000" w:rsidRPr="00000000">
        <w:rPr>
          <w:rtl w:val="0"/>
        </w:rPr>
        <w:t xml:space="preserve">Aaker, J. (1997). Dimensions of brand personality. </w:t>
      </w:r>
      <w:r w:rsidDel="00000000" w:rsidR="00000000" w:rsidRPr="00000000">
        <w:rPr>
          <w:i w:val="1"/>
          <w:rtl w:val="0"/>
        </w:rPr>
        <w:t xml:space="preserve">Journal of Marketing Research</w:t>
      </w:r>
      <w:r w:rsidDel="00000000" w:rsidR="00000000" w:rsidRPr="00000000">
        <w:rPr>
          <w:rtl w:val="0"/>
        </w:rPr>
        <w:t xml:space="preserve">, (34), 347 - 356.</w:t>
      </w:r>
    </w:p>
    <w:p w:rsidR="00000000" w:rsidDel="00000000" w:rsidP="00000000" w:rsidRDefault="00000000" w:rsidRPr="00000000" w14:paraId="000000B3">
      <w:pPr>
        <w:spacing w:after="0" w:line="480" w:lineRule="auto"/>
        <w:ind w:left="720"/>
        <w:rPr/>
      </w:pPr>
      <w:r w:rsidDel="00000000" w:rsidR="00000000" w:rsidRPr="00000000">
        <w:rPr>
          <w:rtl w:val="0"/>
        </w:rPr>
        <w:t xml:space="preserve">Cañellas, A. (1979). Plástica/Dinámica. In </w:t>
      </w:r>
      <w:r w:rsidDel="00000000" w:rsidR="00000000" w:rsidRPr="00000000">
        <w:rPr>
          <w:i w:val="1"/>
          <w:rtl w:val="0"/>
        </w:rPr>
        <w:t xml:space="preserve">Psicología del color</w:t>
      </w:r>
      <w:r w:rsidDel="00000000" w:rsidR="00000000" w:rsidRPr="00000000">
        <w:rPr>
          <w:rtl w:val="0"/>
        </w:rPr>
        <w:t xml:space="preserve"> (pp. 35 - 37). Maina.</w:t>
      </w:r>
    </w:p>
    <w:p w:rsidR="00000000" w:rsidDel="00000000" w:rsidP="00000000" w:rsidRDefault="00000000" w:rsidRPr="00000000" w14:paraId="000000B4">
      <w:pPr>
        <w:spacing w:after="0" w:line="480" w:lineRule="auto"/>
        <w:ind w:left="720"/>
        <w:rPr/>
      </w:pPr>
      <w:r w:rsidDel="00000000" w:rsidR="00000000" w:rsidRPr="00000000">
        <w:rPr>
          <w:rtl w:val="0"/>
        </w:rPr>
        <w:t xml:space="preserve">García-Allen, J. (n.d.). </w:t>
      </w:r>
      <w:r w:rsidDel="00000000" w:rsidR="00000000" w:rsidRPr="00000000">
        <w:rPr>
          <w:i w:val="1"/>
          <w:rtl w:val="0"/>
        </w:rPr>
        <w:t xml:space="preserve">Psicología del color: significado y curiosidades de los colores</w:t>
      </w:r>
      <w:r w:rsidDel="00000000" w:rsidR="00000000" w:rsidRPr="00000000">
        <w:rPr>
          <w:rtl w:val="0"/>
        </w:rPr>
        <w:t xml:space="preserve">. Psicología y Mente. https://psicologiaymente.com/miscelanea/psicologia-color-significado</w:t>
      </w:r>
    </w:p>
    <w:p w:rsidR="00000000" w:rsidDel="00000000" w:rsidP="00000000" w:rsidRDefault="00000000" w:rsidRPr="00000000" w14:paraId="000000B5">
      <w:pPr>
        <w:spacing w:after="0" w:line="480" w:lineRule="auto"/>
        <w:ind w:left="720"/>
        <w:rPr/>
      </w:pPr>
      <w:r w:rsidDel="00000000" w:rsidR="00000000" w:rsidRPr="00000000">
        <w:rPr>
          <w:rtl w:val="0"/>
        </w:rPr>
        <w:t xml:space="preserve">Grimal, P. (2008). </w:t>
      </w:r>
      <w:r w:rsidDel="00000000" w:rsidR="00000000" w:rsidRPr="00000000">
        <w:rPr>
          <w:i w:val="1"/>
          <w:rtl w:val="0"/>
        </w:rPr>
        <w:t xml:space="preserve">Diccionario de Mitología Griega y Romana</w:t>
      </w:r>
      <w:r w:rsidDel="00000000" w:rsidR="00000000" w:rsidRPr="00000000">
        <w:rPr>
          <w:rtl w:val="0"/>
        </w:rPr>
        <w:t xml:space="preserve">. Grupo Planeta. ISBN 978-84-493-2211-2</w:t>
      </w:r>
    </w:p>
    <w:p w:rsidR="00000000" w:rsidDel="00000000" w:rsidP="00000000" w:rsidRDefault="00000000" w:rsidRPr="00000000" w14:paraId="000000B6">
      <w:pPr>
        <w:spacing w:after="0" w:line="480" w:lineRule="auto"/>
        <w:ind w:left="720"/>
        <w:rPr/>
      </w:pPr>
      <w:r w:rsidDel="00000000" w:rsidR="00000000" w:rsidRPr="00000000">
        <w:rPr>
          <w:rtl w:val="0"/>
        </w:rPr>
        <w:t xml:space="preserve">Morales, A. (n.d.). </w:t>
      </w:r>
      <w:r w:rsidDel="00000000" w:rsidR="00000000" w:rsidRPr="00000000">
        <w:rPr>
          <w:i w:val="1"/>
          <w:rtl w:val="0"/>
        </w:rPr>
        <w:t xml:space="preserve">LA IMPORTANCIA DE LA TIPOGRAFÍA EN EL DISEÑO GRÁFICO</w:t>
      </w:r>
      <w:r w:rsidDel="00000000" w:rsidR="00000000" w:rsidRPr="00000000">
        <w:rPr>
          <w:rtl w:val="0"/>
        </w:rPr>
        <w:t xml:space="preserve">. Andrés Morales. https://andresmorales.es/blog/importancia-tipografia-diseno-grafico/#:~:text=Sin%20embargo%20la%20tipograf%C3%ADa%20juega,como%20un%20signo%20de%20identidad.</w:t>
      </w:r>
    </w:p>
    <w:p w:rsidR="00000000" w:rsidDel="00000000" w:rsidP="00000000" w:rsidRDefault="00000000" w:rsidRPr="00000000" w14:paraId="000000B7">
      <w:pPr>
        <w:spacing w:after="0" w:line="480" w:lineRule="auto"/>
        <w:ind w:left="720"/>
        <w:rPr/>
      </w:pPr>
      <w:r w:rsidDel="00000000" w:rsidR="00000000" w:rsidRPr="00000000">
        <w:rPr>
          <w:rtl w:val="0"/>
        </w:rPr>
        <w:t xml:space="preserve">Real Academia Española. (n.d.). </w:t>
      </w:r>
      <w:r w:rsidDel="00000000" w:rsidR="00000000" w:rsidRPr="00000000">
        <w:rPr>
          <w:i w:val="1"/>
          <w:rtl w:val="0"/>
        </w:rPr>
        <w:t xml:space="preserve">Singularidad</w:t>
      </w:r>
      <w:r w:rsidDel="00000000" w:rsidR="00000000" w:rsidRPr="00000000">
        <w:rPr>
          <w:rtl w:val="0"/>
        </w:rPr>
        <w:t xml:space="preserve">. Diccionario de la Real Academia Española. https://dle.rae.es/singularidad</w:t>
      </w:r>
    </w:p>
    <w:p w:rsidR="00000000" w:rsidDel="00000000" w:rsidP="00000000" w:rsidRDefault="00000000" w:rsidRPr="00000000" w14:paraId="000000B8">
      <w:pPr>
        <w:spacing w:after="0" w:line="480" w:lineRule="auto"/>
        <w:ind w:left="720"/>
        <w:rPr/>
      </w:pPr>
      <w:r w:rsidDel="00000000" w:rsidR="00000000" w:rsidRPr="00000000">
        <w:rPr>
          <w:rtl w:val="0"/>
        </w:rPr>
        <w:t xml:space="preserve">Segura, N. (2016). </w:t>
      </w:r>
      <w:r w:rsidDel="00000000" w:rsidR="00000000" w:rsidRPr="00000000">
        <w:rPr>
          <w:i w:val="1"/>
          <w:rtl w:val="0"/>
        </w:rPr>
        <w:t xml:space="preserve">Marketing del color ¿cómo influye el color del logotipo en la personalidad de una marca?</w:t>
      </w:r>
      <w:r w:rsidDel="00000000" w:rsidR="00000000" w:rsidRPr="00000000">
        <w:rPr>
          <w:rtl w:val="0"/>
        </w:rPr>
        <w:t xml:space="preserve"> Universidad de Chile. http://repositorio.uchile.cl/handle/2250/140132</w:t>
      </w:r>
    </w:p>
    <w:p w:rsidR="00000000" w:rsidDel="00000000" w:rsidP="00000000" w:rsidRDefault="00000000" w:rsidRPr="00000000" w14:paraId="000000B9">
      <w:pPr>
        <w:rPr/>
      </w:pPr>
      <w:r w:rsidDel="00000000" w:rsidR="00000000" w:rsidRPr="00000000">
        <w:rPr>
          <w:rtl w:val="0"/>
        </w:rPr>
      </w:r>
    </w:p>
    <w:sectPr>
      <w:headerReference r:id="rId24" w:type="default"/>
      <w:footerReference r:id="rId25"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arlow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rlow">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color w:val="980000"/>
            </w:rPr>
          </w:pPr>
          <w:r w:rsidDel="00000000" w:rsidR="00000000" w:rsidRPr="00000000">
            <w:rPr>
              <w:rFonts w:ascii="Roboto Mono" w:cs="Roboto Mono" w:eastAsia="Roboto Mono" w:hAnsi="Roboto Mono"/>
              <w:b w:val="1"/>
              <w:color w:val="980000"/>
              <w:rtl w:val="0"/>
            </w:rPr>
            <w:t xml:space="preserve">CONFIDENCIAL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Mono" w:cs="Roboto Mono" w:eastAsia="Roboto Mono" w:hAnsi="Roboto Mono"/>
            </w:rPr>
          </w:pPr>
          <w:r w:rsidDel="00000000" w:rsidR="00000000" w:rsidRPr="00000000">
            <w:rPr>
              <w:rFonts w:ascii="Roboto Mono" w:cs="Roboto Mono" w:eastAsia="Roboto Mono" w:hAnsi="Roboto Mono"/>
              <w:rtl w:val="0"/>
            </w:rPr>
            <w:t xml:space="preserve">Página </w:t>
          </w:r>
          <w:r w:rsidDel="00000000" w:rsidR="00000000" w:rsidRPr="00000000">
            <w:rPr>
              <w:rFonts w:ascii="Roboto Mono" w:cs="Roboto Mono" w:eastAsia="Roboto Mono" w:hAnsi="Roboto Mono"/>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tabs>
        <w:tab w:val="center" w:pos="4320"/>
        <w:tab w:val="right" w:pos="8640"/>
      </w:tabs>
      <w:jc w:val="both"/>
      <w:rPr>
        <w:rFonts w:ascii="Roboto Mono" w:cs="Roboto Mono" w:eastAsia="Roboto Mono" w:hAnsi="Roboto Mono"/>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Proyecto Artemis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Versión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Fase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Documento de 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6 de noviembre de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Análisis y Diseño</w:t>
          </w:r>
        </w:p>
      </w:tc>
    </w:tr>
  </w:tbl>
  <w:p w:rsidR="00000000" w:rsidDel="00000000" w:rsidP="00000000" w:rsidRDefault="00000000" w:rsidRPr="00000000" w14:paraId="000000C1">
    <w:pPr>
      <w:tabs>
        <w:tab w:val="center" w:pos="4320"/>
        <w:tab w:val="right" w:pos="8640"/>
      </w:tabs>
      <w:jc w:val="both"/>
      <w:rPr>
        <w:rFonts w:ascii="Barlow" w:cs="Barlow" w:eastAsia="Barlow" w:hAnsi="Barlo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rlow" w:cs="Barlow" w:eastAsia="Barlow" w:hAnsi="Barlow"/>
        <w:sz w:val="22"/>
        <w:szCs w:val="22"/>
        <w:lang w:val="es"/>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120" w:lineRule="auto"/>
      <w:ind w:left="720" w:hanging="718"/>
    </w:pPr>
    <w:rPr>
      <w:rFonts w:ascii="Oswald" w:cs="Oswald" w:eastAsia="Oswald" w:hAnsi="Oswald"/>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rFonts w:ascii="Oswald" w:cs="Oswald" w:eastAsia="Oswald" w:hAnsi="Oswald"/>
      <w:color w:val="666666"/>
      <w:sz w:val="30"/>
      <w:szCs w:val="30"/>
    </w:rPr>
  </w:style>
  <w:style w:type="table" w:styleId="Table1">
    <w:basedOn w:val="TableNormal"/>
    <w:pPr/>
    <w:tblPr>
      <w:tblStyleRowBandSize w:val="1"/>
      <w:tblStyleColBandSize w:val="1"/>
      <w:tblCellMar>
        <w:top w:w="0.0" w:type="dxa"/>
        <w:left w:w="0.0" w:type="dxa"/>
        <w:bottom w:w="0.0" w:type="dxa"/>
        <w:right w:w="0.0" w:type="dxa"/>
      </w:tblCellMar>
    </w:tblPr>
  </w:style>
  <w:style w:type="table" w:styleId="Table2">
    <w:basedOn w:val="TableNormal"/>
    <w:pPr/>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u/1/d/1Ss9D61R7w2vzUFKG4AWc16p4Dvu6eBCO2K-zyPymrRQ/edit" TargetMode="External"/><Relationship Id="rId8" Type="http://schemas.openxmlformats.org/officeDocument/2006/relationships/hyperlink" Target="https://ello.co" TargetMode="Externa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Barlow-regular.ttf"/><Relationship Id="rId10" Type="http://schemas.openxmlformats.org/officeDocument/2006/relationships/font" Target="fonts/RobotoMono-boldItalic.ttf"/><Relationship Id="rId13" Type="http://schemas.openxmlformats.org/officeDocument/2006/relationships/font" Target="fonts/Barlow-italic.ttf"/><Relationship Id="rId12" Type="http://schemas.openxmlformats.org/officeDocument/2006/relationships/font" Target="fonts/Barlow-bold.ttf"/><Relationship Id="rId1" Type="http://schemas.openxmlformats.org/officeDocument/2006/relationships/font" Target="fonts/BarlowMedium-regular.ttf"/><Relationship Id="rId2" Type="http://schemas.openxmlformats.org/officeDocument/2006/relationships/font" Target="fonts/BarlowMedium-bold.ttf"/><Relationship Id="rId3" Type="http://schemas.openxmlformats.org/officeDocument/2006/relationships/font" Target="fonts/BarlowMedium-italic.ttf"/><Relationship Id="rId4" Type="http://schemas.openxmlformats.org/officeDocument/2006/relationships/font" Target="fonts/BarlowMedium-boldItalic.ttf"/><Relationship Id="rId9" Type="http://schemas.openxmlformats.org/officeDocument/2006/relationships/font" Target="fonts/RobotoMono-italic.ttf"/><Relationship Id="rId14" Type="http://schemas.openxmlformats.org/officeDocument/2006/relationships/font" Target="fonts/Barlow-bold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1979</b:Year>
    <b:Pages>35 - 37</b:Pages>
    <b:SourceType>BookSection</b:SourceType>
    <b:Title>Plástica/Dinámica</b:Title>
    <b:BookTitle>Psicología del color</b:BookTitle>
    <b:Publisher>Maina</b:Publisher>
    <b:Gdcea>{"AccessedType":"Print"}</b:Gdcea>
    <b:Author>
      <b:Author>
        <b:NameList>
          <b:Person>
            <b:First>A</b:First>
            <b:Last>Cañellas</b:Last>
          </b:Person>
        </b:NameList>
      </b:Author>
    </b:Author>
  </b:Source>
  <b:Source>
    <b:Tag>source2</b:Tag>
    <b:Year>2016</b:Year>
    <b:SourceType>Book</b:SourceType>
    <b:Title>Marketing del color ¿cómo influye el color del logotipo en la personalidad de una marca?</b:Title>
    <b:StandardNumber>http://repositorio.uchile.cl/handle/2250/140132</b:StandardNumber>
    <b:Publisher>Universidad de Chile</b:Publisher>
    <b:Gdcea>{"AccessedType":"OnlineDatabase"}</b:Gdcea>
    <b:Author>
      <b:Author>
        <b:NameList>
          <b:Person>
            <b:First>Nathaly</b:First>
            <b:Last>Segura</b:Last>
          </b:Person>
        </b:NameList>
      </b:Author>
    </b:Author>
  </b:Source>
  <b:Source>
    <b:Tag>source3</b:Tag>
    <b:SourceType>DocumentFromInternetSite</b:SourceType>
    <b:URL>https://dle.rae.es/singularidad</b:URL>
    <b:Title>Singularidad</b:Title>
    <b:InternetSiteTitle>Diccionario de la Real Academia Española</b:InternetSiteTitle>
    <b:Gdcea>{"AccessedType":"Website"}</b:Gdcea>
    <b:Author>
      <b:Author>
        <b:Corporate>Real Academia Española</b:Corporate>
      </b:Author>
    </b:Author>
  </b:Source>
  <b:Source>
    <b:Tag>source4</b:Tag>
    <b:SourceType>DocumentFromInternetSite</b:SourceType>
    <b:URL>https://psicologiaymente.com/miscelanea/psicologia-color-significado</b:URL>
    <b:Title>Psicología del color: significado y curiosidades de los colores</b:Title>
    <b:InternetSiteTitle>Psicología y Mente</b:InternetSiteTitle>
    <b:Gdcea>{"AccessedType":"Website"}</b:Gdcea>
    <b:Author>
      <b:Author>
        <b:NameList>
          <b:Person>
            <b:First>Jonathan</b:First>
            <b:Last>García-Allen</b:Last>
          </b:Person>
        </b:NameList>
      </b:Author>
    </b:Author>
  </b:Source>
  <b:Source>
    <b:Tag>source5</b:Tag>
    <b:Issue>34</b:Issue>
    <b:Year>1997</b:Year>
    <b:Pages>347 - 356</b:Pages>
    <b:SourceType>JournalArticle</b:SourceType>
    <b:Title>Dimensions of brand personality</b:Title>
    <b:JournalName>Journal of Marketing Research</b:JournalName>
    <b:Gdcea>{"AccessedType":"Print"}</b:Gdcea>
    <b:Author>
      <b:Author>
        <b:NameList>
          <b:Person>
            <b:First>J</b:First>
            <b:Last>Aaker</b:Last>
          </b:Person>
        </b:NameList>
      </b:Author>
    </b:Author>
  </b:Source>
  <b:Source>
    <b:Tag>source6</b:Tag>
    <b:SourceType>DocumentFromInternetSite</b:SourceType>
    <b:URL>https://andresmorales.es/blog/importancia-tipografia-diseno-grafico/#:~:text=Sin%20embargo%20la%20tipograf%C3%ADa%20juega,como%20un%20signo%20de%20identidad.</b:URL>
    <b:Title>LA IMPORTANCIA DE LA TIPOGRAFÍA EN EL DISEÑO GRÁFICO</b:Title>
    <b:InternetSiteTitle>Andrés Morales</b:InternetSiteTitle>
    <b:Gdcea>{"AccessedType":"Website"}</b:Gdcea>
    <b:Author>
      <b:Author>
        <b:NameList>
          <b:Person>
            <b:First>Andrés</b:First>
            <b:Last>Morales</b:Last>
          </b:Person>
        </b:NameList>
      </b:Author>
    </b:Author>
  </b:Source>
  <b:Source>
    <b:Tag>source7</b:Tag>
    <b:Year>2008</b:Year>
    <b:SourceType>Book</b:SourceType>
    <b:Title>Diccionario de Mitología Griega y Romana</b:Title>
    <b:StandardNumber>ISBN 978-84-493-2211-2</b:StandardNumber>
    <b:Publisher>Grupo Planeta</b:Publisher>
    <b:Gdcea>{"AccessedType":"Print"}</b:Gdcea>
    <b:Author>
      <b:Author>
        <b:NameList>
          <b:Person>
            <b:First>Pierre</b:First>
            <b:Last>Grimal</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