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NullState: a reference-anchored framework for detecting, diagnosing, and quantifying the off-target compartment of human neural organoids</w:t>
      </w:r>
    </w:p>
    <w:p>
      <w:pPr>
        <w:pStyle w:val="Subtitle"/>
      </w:pPr>
      <w:r>
        <w:t xml:space="preserve">Voiland College of Engineering and Architecture, Washington State University, Pullman, WA, USA. Correspondence: l.takahashidosreis@wsu.edu</w:t>
      </w:r>
    </w:p>
    <w:p>
      <w:pPr>
        <w:pStyle w:val="Author"/>
      </w:pPr>
      <w:r>
        <w:t xml:space="preserve">Luiz Takahashi</w:t>
      </w:r>
    </w:p>
    <w:p>
      <w:pPr>
        <w:pStyle w:val="Date"/>
      </w:pPr>
      <w:r>
        <w:t xml:space="preserve">2026-06-18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neural organoids reproducibly generate cell types that lie outside the developmental</w:t>
      </w:r>
      <w:r>
        <w:t xml:space="preserve"> </w:t>
      </w:r>
      <w:r>
        <w:t xml:space="preserve">trajectories they are intended to model, but the field lacks a principled, atlas-anchored way to</w:t>
      </w:r>
      <w:r>
        <w:t xml:space="preserve"> </w:t>
      </w:r>
      <w:r>
        <w:rPr>
          <w:i/>
          <w:iCs/>
        </w:rPr>
        <w:t xml:space="preserve">quantify</w:t>
      </w:r>
      <w:r>
        <w:t xml:space="preserve"> </w:t>
      </w:r>
      <w:r>
        <w:t xml:space="preserve">this off-target compartment and ask whether it carries reproducible structure.</w:t>
      </w:r>
      <w:r>
        <w:t xml:space="preserve"> </w:t>
      </w:r>
      <w:r>
        <w:t xml:space="preserve">We present</w:t>
      </w:r>
      <w:r>
        <w:t xml:space="preserve"> </w:t>
      </w:r>
      <w:r>
        <w:rPr>
          <w:b/>
          <w:bCs/>
        </w:rPr>
        <w:t xml:space="preserve">NullState</w:t>
      </w:r>
      <w:r>
        <w:t xml:space="preserve">, a reference-based pipeline that maps the 1</w:t>
      </w:r>
      <w:r>
        <w:t xml:space="preserve">,</w:t>
      </w:r>
      <w:r>
        <w:t xml:space="preserve">767</w:t>
      </w:r>
      <w:r>
        <w:t xml:space="preserve">,</w:t>
      </w:r>
      <w:r>
        <w:t xml:space="preserve">346-cell Human Neural</w:t>
      </w:r>
      <w:r>
        <w:t xml:space="preserve"> </w:t>
      </w:r>
      <w:r>
        <w:t xml:space="preserve">Organoid Atlas (HNOCA) onto a harmonized 2</w:t>
      </w:r>
      <w:r>
        <w:t xml:space="preserve">,</w:t>
      </w:r>
      <w:r>
        <w:t xml:space="preserve">615</w:t>
      </w:r>
      <w:r>
        <w:t xml:space="preserve">,</w:t>
      </w:r>
      <w:r>
        <w:t xml:space="preserve">898-cell first-trimester human fetal reference</w:t>
      </w:r>
      <w:r>
        <w:t xml:space="preserve"> </w:t>
      </w:r>
      <w:r>
        <w:t xml:space="preserve">(HDBCA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 fetal-body atlas) by variational reference surgery, assigns each organoid cell a pair of</w:t>
      </w:r>
      <w:r>
        <w:t xml:space="preserve"> </w:t>
      </w:r>
      <w:r>
        <w:t xml:space="preserve">calibrated mapping scores (off-manifold distance and label entropy), and classifies it into a</w:t>
      </w:r>
      <w:r>
        <w:t xml:space="preserve"> </w:t>
      </w:r>
      <w:r>
        <w:t xml:space="preserve">six-state off-target taxonomy. Across the atlas,</w:t>
      </w:r>
      <w:r>
        <w:t xml:space="preserve"> </w:t>
      </w:r>
      <m:oMath>
        <m:r>
          <m:t>38.4</m:t>
        </m:r>
        <m:r>
          <m:rPr>
            <m:sty m:val="p"/>
          </m:rPr>
          <m:t>%</m:t>
        </m:r>
      </m:oMath>
      <w:r>
        <w:t xml:space="preserve"> </w:t>
      </w:r>
      <w:r>
        <w:t xml:space="preserve">of cells fall into a large,</w:t>
      </w:r>
      <w:r>
        <w:t xml:space="preserve"> </w:t>
      </w:r>
      <w:r>
        <w:rPr>
          <w:i/>
          <w:iCs/>
        </w:rPr>
        <w:t xml:space="preserve">largely neural</w:t>
      </w:r>
      <w:r>
        <w:t xml:space="preserve"> </w:t>
      </w:r>
      <w:r>
        <w:t xml:space="preserve">ambiguous-novel (off-manifold) compartment; quantifying and explaining it is the work of Aim 2. Four</w:t>
      </w:r>
      <w:r>
        <w:t xml:space="preserve"> </w:t>
      </w:r>
      <w:r>
        <w:t xml:space="preserve">orthogonal diagnostics show it is not a projection artifact but a</w:t>
      </w:r>
      <w:r>
        <w:t xml:space="preserve"> </w:t>
      </w:r>
      <w:r>
        <w:rPr>
          <w:i/>
          <w:iCs/>
        </w:rPr>
        <w:t xml:space="preserve">structured mixture</w:t>
      </w:r>
      <w:r>
        <w:t xml:space="preserve"> </w:t>
      </w:r>
      <w:r>
        <w:t xml:space="preserve">of a</w:t>
      </w:r>
      <w:r>
        <w:t xml:space="preserve"> </w:t>
      </w:r>
      <w:r>
        <w:t xml:space="preserve">reference-coverage gap and a pervasive in-vitro stress program: off-manifold cells lose</w:t>
      </w:r>
      <w:r>
        <w:t xml:space="preserve"> </w:t>
      </w:r>
      <w:r>
        <w:t xml:space="preserve">neural-progenitor identity while gaining hypoxia and unfolded-protein-response signatures, their burden</w:t>
      </w:r>
      <w:r>
        <w:t xml:space="preserve"> </w:t>
      </w:r>
      <w:r>
        <w:t xml:space="preserve">rises monotonically with maturation and metabolic load, varies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240-fold across differentiation</w:t>
      </w:r>
      <w:r>
        <w:t xml:space="preserve"> </w:t>
      </w:r>
      <w:r>
        <w:t xml:space="preserve">protocols (</w:t>
      </w:r>
      <m:oMath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96.8</m:t>
        </m:r>
        <m:r>
          <m:rPr>
            <m:sty m:val="p"/>
          </m:rPr>
          <m:t>%</m:t>
        </m:r>
      </m:oMath>
      <w:r>
        <w:t xml:space="preserve">), and concentrates into coherent transcriptomic clusters; projecting</w:t>
      </w:r>
      <w:r>
        <w:t xml:space="preserve"> </w:t>
      </w:r>
      <w:r>
        <w:t xml:space="preserve">these cells onto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prenatal cortex atlas confirms a genuine in-vitro-divergence</w:t>
      </w:r>
      <w:r>
        <w:t xml:space="preserve"> </w:t>
      </w:r>
      <w:r>
        <w:t xml:space="preserve">component beyond the reference gap (ambiguous-novel cells sit further from that atlas than clean cells,</w:t>
      </w:r>
      <w:r>
        <w:t xml:space="preserve"> </w:t>
      </w:r>
      <w:r>
        <w:t xml:space="preserve">Cliff’s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0.30</m:t>
        </m:r>
      </m:oMath>
      <w:r>
        <w:t xml:space="preserve">). Asking next</w:t>
      </w:r>
      <w:r>
        <w:t xml:space="preserve"> </w:t>
      </w:r>
      <w:r>
        <w:t xml:space="preserve">whether lineage can be separated from the organoid-versus-primary shift, we report a reproducible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result: a shared-latent contrastive model cannot. An origin-decoding adversary recovers</w:t>
      </w:r>
      <w:r>
        <w:t xml:space="preserve"> </w:t>
      </w:r>
      <w:r>
        <w:t xml:space="preserve">organoid-versus-primary identity from the putatively dish-stripped latent at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0.998</m:t>
        </m:r>
      </m:oMath>
      <w:r>
        <w:t xml:space="preserve"> </w:t>
      </w:r>
      <w:r>
        <w:t xml:space="preserve">balanced</w:t>
      </w:r>
      <w:r>
        <w:t xml:space="preserve"> </w:t>
      </w:r>
      <w:r>
        <w:t xml:space="preserve">accuracy, robustly across latent-capacity and batch-conditioning interventions. Because the two sources</w:t>
      </w:r>
      <w:r>
        <w:t xml:space="preserve"> </w:t>
      </w:r>
      <w:r>
        <w:t xml:space="preserve">occupy near-disjoint expression manifolds, this shift, biological in-vitro state and technical platform</w:t>
      </w:r>
      <w:r>
        <w:t xml:space="preserve"> </w:t>
      </w:r>
      <w:r>
        <w:t xml:space="preserve">differences combined, is pervasive and encoder-visible, not a separable nuisance subspace; we therefore</w:t>
      </w:r>
      <w:r>
        <w:t xml:space="preserve"> </w:t>
      </w:r>
      <w:r>
        <w:t xml:space="preserve">state the result methodologically (shared-latent methods cannot yield a source-invariant lineage axis</w:t>
      </w:r>
      <w:r>
        <w:t xml:space="preserve"> </w:t>
      </w:r>
      <w:r>
        <w:t xml:space="preserve">here) and read the specifically in-vitro biology from the stress diagnostics rather than from the</w:t>
      </w:r>
      <w:r>
        <w:t xml:space="preserve"> </w:t>
      </w:r>
      <w:r>
        <w:t xml:space="preserve">adversary. Finally, on the</w:t>
      </w:r>
      <w:r>
        <w:t xml:space="preserve"> </w:t>
      </w:r>
      <w:r>
        <w:rPr>
          <w:i/>
          <w:iCs/>
        </w:rPr>
        <w:t xml:space="preserve">non-neural</w:t>
      </w:r>
      <w:r>
        <w:t xml:space="preserve"> </w:t>
      </w:r>
      <w:r>
        <w:t xml:space="preserve">contaminant populations, where, unlike the</w:t>
      </w:r>
      <w:r>
        <w:t xml:space="preserve"> </w:t>
      </w:r>
      <w:r>
        <w:t xml:space="preserve">reference-limited neural compartment, we are statistically powered, we show the geometry method works as</w:t>
      </w:r>
      <w:r>
        <w:t xml:space="preserve"> </w:t>
      </w:r>
      <w:r>
        <w:t xml:space="preserve">an instrument: pairwise distances clear a matched-</w:t>
      </w:r>
      <m:oMath>
        <m:r>
          <m:t>N</m:t>
        </m:r>
      </m:oMath>
      <w:r>
        <w:t xml:space="preserve"> </w:t>
      </w:r>
      <w:r>
        <w:t xml:space="preserve">noise floor (</w:t>
      </w:r>
      <m:oMath>
        <m:r>
          <m:t>14</m:t>
        </m:r>
      </m:oMath>
      <w:r>
        <w:t xml:space="preserve">–</w:t>
      </w:r>
      <m:oMath>
        <m:r>
          <m:t>105</m:t>
        </m:r>
        <m:r>
          <m:rPr>
            <m:sty m:val="p"/>
          </m:rPr>
          <m:t>×</m:t>
        </m:r>
      </m:oMath>
      <w:r>
        <w:t xml:space="preserve">) and their</w:t>
      </w:r>
      <w:r>
        <w:t xml:space="preserve"> </w:t>
      </w:r>
      <w:r>
        <w:rPr>
          <w:i/>
          <w:iCs/>
        </w:rPr>
        <w:t xml:space="preserve">rank order</w:t>
      </w:r>
      <w:r>
        <w:t xml:space="preserve"> </w:t>
      </w:r>
      <w:r>
        <w:t xml:space="preserve">recovers the primary lineage geometry (distance-matrix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). A direct test,</w:t>
      </w:r>
      <w:r>
        <w:t xml:space="preserve"> </w:t>
      </w:r>
      <w:r>
        <w:t xml:space="preserve">however, finds the per-lineage source offsets are not constant (mutual cosine</w:t>
      </w:r>
      <w:r>
        <w:t xml:space="preserve"> </w:t>
      </w:r>
      <m:oMath>
        <m:r>
          <m:t>0.15</m:t>
        </m:r>
      </m:oMath>
      <w:r>
        <w:t xml:space="preserve">), so the individual</w:t>
      </w:r>
      <w:r>
        <w:t xml:space="preserve"> </w:t>
      </w:r>
      <w:r>
        <w:t xml:space="preserve">distances are confounded rather than clean lineage metrics, a validated ordering, not yet a clean</w:t>
      </w:r>
      <w:r>
        <w:t xml:space="preserve"> </w:t>
      </w:r>
      <w:r>
        <w:t xml:space="preserve">geometry. NullState thus provides a reference-anchored,</w:t>
      </w:r>
      <w:r>
        <w:t xml:space="preserve"> </w:t>
      </w:r>
      <w:r>
        <w:rPr>
          <w:i/>
          <w:iCs/>
        </w:rPr>
        <w:t xml:space="preserve">comparative</w:t>
      </w:r>
      <w:r>
        <w:t xml:space="preserve"> </w:t>
      </w:r>
      <w:r>
        <w:t xml:space="preserve">off-target measurement, to be</w:t>
      </w:r>
      <w:r>
        <w:t xml:space="preserve"> </w:t>
      </w:r>
      <w:r>
        <w:t xml:space="preserve">read against the reference’s own domain, not as an absolute fidelity score, and an identifiability</w:t>
      </w:r>
      <w:r>
        <w:t xml:space="preserve"> </w:t>
      </w:r>
      <w:r>
        <w:t xml:space="preserve">boundary for when latent calibration without anchoring is attainable at all.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Human pluripotent-stem-cell-derived neural organoids have become a central model of human brain</w:t>
      </w:r>
      <w:r>
        <w:t xml:space="preserve"> </w:t>
      </w:r>
      <w:r>
        <w:t xml:space="preserve">development</w:t>
      </w:r>
      <w:r>
        <w:rPr>
          <w:vertAlign w:val="superscript"/>
        </w:rPr>
        <w:t xml:space="preserve">1,2</w:t>
      </w:r>
      <w:r>
        <w:t xml:space="preserve">, capturing cortical cytoarchitecture,</w:t>
      </w:r>
      <w:r>
        <w:t xml:space="preserve"> </w:t>
      </w:r>
      <w:r>
        <w:t xml:space="preserve">diverse neuronal and glial identities, and functional network activity</w:t>
      </w:r>
      <w:r>
        <w:rPr>
          <w:vertAlign w:val="superscript"/>
        </w:rPr>
        <w:t xml:space="preserve">3–5</w:t>
      </w:r>
      <w:r>
        <w:t xml:space="preserve">. Yet a recurring concern</w:t>
      </w:r>
      <w:r>
        <w:t xml:space="preserve"> </w:t>
      </w:r>
      <w:r>
        <w:t xml:space="preserve">limits their interpretation: organoids also produce cells that do not correspond to any</w:t>
      </w:r>
      <w:r>
        <w:t xml:space="preserve"> </w:t>
      </w:r>
      <w:r>
        <w:rPr>
          <w:i/>
          <w:iCs/>
        </w:rPr>
        <w:t xml:space="preserve">bona</w:t>
      </w:r>
      <w:r>
        <w:rPr>
          <w:i/>
          <w:iCs/>
        </w:rPr>
        <w:t xml:space="preserve"> </w:t>
      </w:r>
      <w:r>
        <w:rPr>
          <w:i/>
          <w:iCs/>
        </w:rPr>
        <w:t xml:space="preserve">fide</w:t>
      </w:r>
      <w:r>
        <w:t xml:space="preserve"> </w:t>
      </w:r>
      <w:r>
        <w:t xml:space="preserve">in-vivo neural state. These include non-neural lineages arising from incomplete germ-layer</w:t>
      </w:r>
      <w:r>
        <w:t xml:space="preserve"> </w:t>
      </w:r>
      <w:r>
        <w:t xml:space="preserve">restriction and aberrant states driven by the culture environment itself. A landmark observation is</w:t>
      </w:r>
      <w:r>
        <w:t xml:space="preserve"> </w:t>
      </w:r>
      <w:r>
        <w:t xml:space="preserve">that metabolic and endoplasmic-reticulum (ER) stress in organoids impairs the specification of correct</w:t>
      </w:r>
      <w:r>
        <w:t xml:space="preserve"> </w:t>
      </w:r>
      <w:r>
        <w:t xml:space="preserve">molecular subtypes</w:t>
      </w:r>
      <w:r>
        <w:rPr>
          <w:vertAlign w:val="superscript"/>
        </w:rPr>
        <w:t xml:space="preserve">6</w:t>
      </w:r>
      <w:r>
        <w:t xml:space="preserve">, and cross-protocol comparisons against fetal tissue have</w:t>
      </w:r>
      <w:r>
        <w:t xml:space="preserve"> </w:t>
      </w:r>
      <w:r>
        <w:t xml:space="preserve">repeatedly surfaced protocol-dependent, off-target differentiation routes</w:t>
      </w:r>
      <w:r>
        <w:rPr>
          <w:vertAlign w:val="superscript"/>
        </w:rPr>
        <w:t xml:space="preserve">7,8</w:t>
      </w:r>
      <w:r>
        <w:t xml:space="preserve">. The recent Human Neural Organoid Atlas</w:t>
      </w:r>
      <w:r>
        <w:t xml:space="preserve"> </w:t>
      </w:r>
      <w:r>
        <w:t xml:space="preserve">(HNOCA), an integrated transcriptomic atlas of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1.7 million organoid cells spanning dozens of</w:t>
      </w:r>
      <w:r>
        <w:t xml:space="preserve"> </w:t>
      </w:r>
      <w:r>
        <w:t xml:space="preserve">protocols</w:t>
      </w:r>
      <w:r>
        <w:rPr>
          <w:vertAlign w:val="superscript"/>
        </w:rPr>
        <w:t xml:space="preserve">9</w:t>
      </w:r>
      <w:r>
        <w:t xml:space="preserve">, makes it possible, for the first time, to study this off-target</w:t>
      </w:r>
      <w:r>
        <w:t xml:space="preserve"> </w:t>
      </w:r>
      <w:r>
        <w:t xml:space="preserve">compartment at scale and against a common coordinate system.</w:t>
      </w:r>
    </w:p>
    <w:p>
      <w:pPr>
        <w:pStyle w:val="BodyText"/>
      </w:pPr>
      <w:r>
        <w:t xml:space="preserve">What has been missing is a</w:t>
      </w:r>
      <w:r>
        <w:t xml:space="preserve"> </w:t>
      </w:r>
      <w:r>
        <w:rPr>
          <w:i/>
          <w:iCs/>
        </w:rPr>
        <w:t xml:space="preserve">principled, reference-anchored</w:t>
      </w:r>
      <w:r>
        <w:t xml:space="preserve"> </w:t>
      </w:r>
      <w:r>
        <w:t xml:space="preserve">way to (i) decide which organoid cells</w:t>
      </w:r>
      <w:r>
        <w:t xml:space="preserve"> </w:t>
      </w:r>
      <w:r>
        <w:t xml:space="preserve">are off-target, (ii)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are off-target, and (iii) ask whether the off-target</w:t>
      </w:r>
      <w:r>
        <w:t xml:space="preserve"> </w:t>
      </w:r>
      <w:r>
        <w:t xml:space="preserve">compartment is merely noise or carries reproducible biological structure. Reference-based mapping</w:t>
      </w:r>
      <w:r>
        <w:t xml:space="preserve"> </w:t>
      </w:r>
      <w:r>
        <w:t xml:space="preserve">provides the natural substrate: by projecting organoid cells onto a comprehensive fetal atlas, cells</w:t>
      </w:r>
      <w:r>
        <w:t xml:space="preserve"> </w:t>
      </w:r>
      <w:r>
        <w:t xml:space="preserve">that map confidently to a fetal identity can be separated from those that do not. Two</w:t>
      </w:r>
      <w:r>
        <w:t xml:space="preserve"> </w:t>
      </w:r>
      <w:r>
        <w:t xml:space="preserve">recently completed human references make such anchoring feasible, a comprehensive first-trimester</w:t>
      </w:r>
      <w:r>
        <w:t xml:space="preserve"> </w:t>
      </w:r>
      <w:r>
        <w:t xml:space="preserve">human brain cell atlas (HDBCA)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and a human fetal-body gene-expression atlas</w:t>
      </w:r>
      <w:r>
        <w:rPr>
          <w:vertAlign w:val="superscript"/>
        </w:rPr>
        <w:t xml:space="preserve">11</w:t>
      </w:r>
      <w:r>
        <w:t xml:space="preserve">, together spanning neural and non-neural developmental origins.</w:t>
      </w:r>
    </w:p>
    <w:p>
      <w:pPr>
        <w:pStyle w:val="BodyText"/>
      </w:pPr>
      <w:r>
        <w:t xml:space="preserve">Here we introduce</w:t>
      </w:r>
      <w:r>
        <w:t xml:space="preserve"> </w:t>
      </w:r>
      <w:r>
        <w:rPr>
          <w:b/>
          <w:bCs/>
        </w:rPr>
        <w:t xml:space="preserve">NullState</w:t>
      </w:r>
      <w:r>
        <w:t xml:space="preserve">, a pipeline that operationalizes this idea (Fig. </w:t>
      </w:r>
      <w:hyperlink w:anchor="fig:overview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We harmonize the two fetal atlases into a single 2</w:t>
      </w:r>
      <w:r>
        <w:t xml:space="preserve">,</w:t>
      </w:r>
      <w:r>
        <w:t xml:space="preserve">615</w:t>
      </w:r>
      <w:r>
        <w:t xml:space="preserve">,</w:t>
      </w:r>
      <w:r>
        <w:t xml:space="preserve">898-cell reference, map the 1</w:t>
      </w:r>
      <w:r>
        <w:t xml:space="preserve">,</w:t>
      </w:r>
      <w:r>
        <w:t xml:space="preserve">767</w:t>
      </w:r>
      <w:r>
        <w:t xml:space="preserve">,</w:t>
      </w:r>
      <w:r>
        <w:t xml:space="preserve">346-cell HNOCA query</w:t>
      </w:r>
      <w:r>
        <w:t xml:space="preserve"> </w:t>
      </w:r>
      <w:r>
        <w:t xml:space="preserve">onto it by variational reference surgery</w:t>
      </w:r>
      <w:r>
        <w:rPr>
          <w:vertAlign w:val="superscript"/>
        </w:rPr>
        <w:t xml:space="preserve">12–14</w:t>
      </w:r>
      <w:r>
        <w:t xml:space="preserve">,</w:t>
      </w:r>
      <w:r>
        <w:t xml:space="preserve"> </w:t>
      </w:r>
      <w:r>
        <w:t xml:space="preserve">and assign every organoid cell two calibrated mapping scores, an off-manifold reconstruction distance</w:t>
      </w:r>
      <w:r>
        <w:t xml:space="preserve"> </w:t>
      </w:r>
      <w:r>
        <w:t xml:space="preserve">and a label-assignment entropy, that jointly define a six-state off-target taxonomy. We organize the</w:t>
      </w:r>
      <w:r>
        <w:t xml:space="preserve"> </w:t>
      </w:r>
      <w:r>
        <w:t xml:space="preserve">analysis around three questions:</w:t>
      </w:r>
      <w:r>
        <w:t xml:space="preserve"> </w:t>
      </w:r>
      <w:r>
        <w:rPr>
          <w:b/>
          <w:bCs/>
        </w:rPr>
        <w:t xml:space="preserve">(Aim 1)</w:t>
      </w:r>
      <w:r>
        <w:t xml:space="preserve"> </w:t>
      </w:r>
      <w:r>
        <w:t xml:space="preserve">is the off-target measurement well-posed and</w:t>
      </w:r>
      <w:r>
        <w:t xml:space="preserve"> </w:t>
      </w:r>
      <w:r>
        <w:t xml:space="preserve">adequately powered?</w:t>
      </w:r>
      <w:r>
        <w:t xml:space="preserve"> </w:t>
      </w:r>
      <w:r>
        <w:rPr>
          <w:b/>
          <w:bCs/>
        </w:rPr>
        <w:t xml:space="preserve">(Aim 2)</w:t>
      </w:r>
      <w:r>
        <w:t xml:space="preserve"> </w:t>
      </w:r>
      <w:r>
        <w:t xml:space="preserve">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dominant, largely neural off-manifold</w:t>
      </w:r>
      <w:r>
        <w:t xml:space="preserve"> </w:t>
      </w:r>
      <w:r>
        <w:t xml:space="preserve">compartment, and can lineage be separated from the in-vitro state so that those cells can be placed on a</w:t>
      </w:r>
      <w:r>
        <w:t xml:space="preserve"> </w:t>
      </w:r>
      <w:r>
        <w:t xml:space="preserve">“dish-stripped”</w:t>
      </w:r>
      <w:r>
        <w:t xml:space="preserve"> </w:t>
      </w:r>
      <w:r>
        <w:t xml:space="preserve">lineage axis? and</w:t>
      </w:r>
      <w:r>
        <w:t xml:space="preserve"> </w:t>
      </w:r>
      <w:r>
        <w:rPr>
          <w:b/>
          <w:bCs/>
        </w:rPr>
        <w:t xml:space="preserve">(Aim 3)</w:t>
      </w:r>
      <w:r>
        <w:t xml:space="preserve"> </w:t>
      </w:r>
      <w:r>
        <w:t xml:space="preserve">do off-target populations occupy distinct,</w:t>
      </w:r>
      <w:r>
        <w:t xml:space="preserve"> </w:t>
      </w:r>
      <w:r>
        <w:t xml:space="preserve">reproducible geometry? The division of labor between the last two is deliberate and worth stating</w:t>
      </w:r>
      <w:r>
        <w:t xml:space="preserve"> </w:t>
      </w:r>
      <w:r>
        <w:t xml:space="preserve">up front. Aim 2 quantifies and explains the neural off-manifold compartment, the bulk of the off-target</w:t>
      </w:r>
      <w:r>
        <w:t xml:space="preserve"> </w:t>
      </w:r>
      <w:r>
        <w:t xml:space="preserve">signal but one that the present first-trimester reference cannot yet resolve into clean lineage</w:t>
      </w:r>
      <w:r>
        <w:t xml:space="preserve"> </w:t>
      </w:r>
      <w:r>
        <w:t xml:space="preserve">geometry; Aim 3 then turns to the</w:t>
      </w:r>
      <w:r>
        <w:t xml:space="preserve"> </w:t>
      </w:r>
      <w:r>
        <w:rPr>
          <w:i/>
          <w:iCs/>
        </w:rPr>
        <w:t xml:space="preserve">non-neural</w:t>
      </w:r>
      <w:r>
        <w:t xml:space="preserve"> </w:t>
      </w:r>
      <w:r>
        <w:t xml:space="preserve">contaminant populations (skeletal and cardiac</w:t>
      </w:r>
      <w:r>
        <w:t xml:space="preserve"> </w:t>
      </w:r>
      <w:r>
        <w:t xml:space="preserve">muscle, fibroblast, adrenal-cortical cells), the compartment where the reference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complete and</w:t>
      </w:r>
      <w:r>
        <w:t xml:space="preserve"> </w:t>
      </w:r>
      <w:r>
        <w:t xml:space="preserve">the cell numbers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sufficient, and asks whether the method recovers real lineage structure</w:t>
      </w:r>
      <w:r>
        <w:t xml:space="preserve"> </w:t>
      </w:r>
      <w:r>
        <w:t xml:space="preserve">there. Our central findings are that the off-manifold compartment is a structured biological mixture</w:t>
      </w:r>
      <w:r>
        <w:t xml:space="preserve"> </w:t>
      </w:r>
      <w:r>
        <w:t xml:space="preserve">rather than an artifact; that shared-latent disentanglement provably fails here for an interpretable</w:t>
      </w:r>
      <w:r>
        <w:t xml:space="preserve"> </w:t>
      </w:r>
      <w:r>
        <w:t xml:space="preserve">reason, so the negative is stated methodologically and the biology read from the diagnostics; and that</w:t>
      </w:r>
      <w:r>
        <w:t xml:space="preserve"> </w:t>
      </w:r>
      <w:r>
        <w:t xml:space="preserve">off-target geometry, demonstrated on the powered non-neural compartment, is recoverable and</w:t>
      </w:r>
      <w:r>
        <w:t xml:space="preserve"> </w:t>
      </w:r>
      <w:r>
        <w:t xml:space="preserve">biologically coherent.</w:t>
      </w:r>
    </w:p>
    <w:bookmarkEnd w:id="9"/>
    <w:bookmarkStart w:id="14" w:name="results"/>
    <w:p>
      <w:pPr>
        <w:pStyle w:val="Heading1"/>
      </w:pPr>
      <w:r>
        <w:t xml:space="preserve">Results</w:t>
      </w:r>
    </w:p>
    <w:bookmarkStart w:id="10" w:name="Xce26ea66d96592676629444cce283101fd64b73"/>
    <w:p>
      <w:pPr>
        <w:pStyle w:val="Heading2"/>
      </w:pPr>
      <w:r>
        <w:t xml:space="preserve">A harmonized fetal reference supports confident organoid mapping</w:t>
      </w:r>
    </w:p>
    <w:p>
      <w:pPr>
        <w:pStyle w:val="FirstParagraph"/>
      </w:pPr>
      <w:r>
        <w:t xml:space="preserve">We assembled a fetal reference by combining the first-trimester HDBCA</w:t>
      </w:r>
      <w:r>
        <w:rPr>
          <w:vertAlign w:val="superscript"/>
        </w:rPr>
        <w:t xml:space="preserve">10</w:t>
      </w:r>
      <w:r>
        <w:t xml:space="preserve"> </w:t>
      </w:r>
      <w:r>
        <w:t xml:space="preserve">with the</w:t>
      </w:r>
      <w:r>
        <w:t xml:space="preserve"> </w:t>
      </w:r>
      <w:r>
        <w:t xml:space="preserve">non-neural compartments of a human fetal-body atlas</w:t>
      </w:r>
      <w:r>
        <w:rPr>
          <w:vertAlign w:val="superscript"/>
        </w:rPr>
        <w:t xml:space="preserve">11</w:t>
      </w:r>
      <w:r>
        <w:t xml:space="preserve">, retrieving raw unique-molecular-identifier</w:t>
      </w:r>
      <w:r>
        <w:t xml:space="preserve"> </w:t>
      </w:r>
      <w:r>
        <w:t xml:space="preserve">(UMI) counts from the CZ CELLxGENE Discover Census</w:t>
      </w:r>
      <w:r>
        <w:rPr>
          <w:vertAlign w:val="superscript"/>
        </w:rPr>
        <w:t xml:space="preserve">15</w:t>
      </w:r>
      <w:r>
        <w:t xml:space="preserve">. The merged reference</w:t>
      </w:r>
      <w:r>
        <w:t xml:space="preserve"> </w:t>
      </w:r>
      <w:r>
        <w:t xml:space="preserve">comprises 2</w:t>
      </w:r>
      <w:r>
        <w:t xml:space="preserve">,</w:t>
      </w:r>
      <w:r>
        <w:t xml:space="preserve">615</w:t>
      </w:r>
      <w:r>
        <w:t xml:space="preserve">,</w:t>
      </w:r>
      <w:r>
        <w:t xml:space="preserve">898 cells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61</w:t>
      </w:r>
      <w:r>
        <w:t xml:space="preserve">,</w:t>
      </w:r>
      <w:r>
        <w:t xml:space="preserve">497 genes, with</w:t>
      </w:r>
      <w:r>
        <w:t xml:space="preserve"> </w:t>
      </w:r>
      <m:oMath>
        <m:r>
          <m:t>32</m:t>
        </m:r>
        <m:r>
          <m:rPr>
            <m:sty m:val="p"/>
          </m:rPr>
          <m:t>/</m:t>
        </m:r>
        <m:r>
          <m:t>33</m:t>
        </m:r>
      </m:oMath>
      <w:r>
        <w:t xml:space="preserve"> </w:t>
      </w:r>
      <w:r>
        <w:t xml:space="preserve">lineage origins resolved. We trained a</w:t>
      </w:r>
      <w:r>
        <w:t xml:space="preserve"> </w:t>
      </w:r>
      <w:r>
        <w:t xml:space="preserve">single-cell variational model (scVI) for 400 epochs (evidence lower bound, ELBO,</w:t>
      </w:r>
      <w:r>
        <w:t xml:space="preserve"> </w:t>
      </w:r>
      <m:oMath>
        <m:r>
          <m:t>695.6</m:t>
        </m:r>
      </m:oMath>
      <w:r>
        <w:t xml:space="preserve">), refined it</w:t>
      </w:r>
      <w:r>
        <w:t xml:space="preserve"> </w:t>
      </w:r>
      <w:r>
        <w:t xml:space="preserve">into a label-aware model (scANVI, ELBO</w:t>
      </w:r>
      <w:r>
        <w:t xml:space="preserve"> </w:t>
      </w:r>
      <m:oMath>
        <m:r>
          <m:t>736.1</m:t>
        </m:r>
      </m:oMath>
      <w:r>
        <w:t xml:space="preserve">), and projected the HNOCA query onto the reference by</w:t>
      </w:r>
      <w:r>
        <w:t xml:space="preserve"> </w:t>
      </w:r>
      <w:r>
        <w:t xml:space="preserve">architectural surgery (scArches; query-surgery ELBO</w:t>
      </w:r>
      <w:r>
        <w:t xml:space="preserve"> </w:t>
      </w:r>
      <m:oMath>
        <m:r>
          <m:t>920.2</m:t>
        </m:r>
      </m:oMath>
      <w:r>
        <w:t xml:space="preserve">)</w:t>
      </w:r>
      <w:r>
        <w:rPr>
          <w:vertAlign w:val="superscript"/>
        </w:rPr>
        <w:t xml:space="preserve">12–14,16</w:t>
      </w:r>
      <w:r>
        <w:t xml:space="preserve">.</w:t>
      </w:r>
      <w:r>
        <w:t xml:space="preserve"> </w:t>
      </w:r>
      <w:r>
        <w:t xml:space="preserve">Surgery required two stabilizers that we found essential at atlas scale: excluding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229</m:t>
        </m:r>
      </m:oMath>
      <w:r>
        <w:t xml:space="preserve"> </w:t>
      </w:r>
      <w:r>
        <w:t xml:space="preserve">non-UMI (full-length read-count) cells whose library sizes destabilize the negative-binomial encoder,</w:t>
      </w:r>
      <w:r>
        <w:t xml:space="preserve"> </w:t>
      </w:r>
      <w:r>
        <w:t xml:space="preserve">and filtering to cells with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50</m:t>
        </m:r>
      </m:oMath>
      <w:r>
        <w:t xml:space="preserve"> </w:t>
      </w:r>
      <w:r>
        <w:t xml:space="preserve">counts across highly variable genes (</w:t>
      </w:r>
      <m:oMath>
        <m:r>
          <m:t>1</m:t>
        </m:r>
        <m:r>
          <m:rPr>
            <m:sty m:val="p"/>
          </m:rPr>
          <m:t>,</m:t>
        </m:r>
        <m:r>
          <m:t>767</m:t>
        </m:r>
        <m:r>
          <m:rPr>
            <m:sty m:val="p"/>
          </m:rPr>
          <m:t>,</m:t>
        </m:r>
        <m:r>
          <m:t>346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,</m:t>
        </m:r>
        <m:r>
          <m:t>689</m:t>
        </m:r>
        <m:r>
          <m:rPr>
            <m:sty m:val="p"/>
          </m:rPr>
          <m:t>,</m:t>
        </m:r>
        <m:r>
          <m:t>762</m:t>
        </m:r>
      </m:oMath>
      <w:r>
        <w:t xml:space="preserve">;</w:t>
      </w:r>
      <w:r>
        <w:t xml:space="preserve"> </w:t>
      </w:r>
      <m:oMath>
        <m:r>
          <m:t>4.4</m:t>
        </m:r>
        <m:r>
          <m:rPr>
            <m:sty m:val="p"/>
          </m:rPr>
          <m:t>%</m:t>
        </m:r>
      </m:oMath>
      <w:r>
        <w:t xml:space="preserve"> </w:t>
      </w:r>
      <w:r>
        <w:t xml:space="preserve">removed).</w:t>
      </w:r>
    </w:p>
    <w:p>
      <w:pPr>
        <w:pStyle w:val="BodyText"/>
      </w:pPr>
      <w:r>
        <w:t xml:space="preserve">Donor-level batch integration improved cross-batch mixing while preserving biological structure:</w:t>
      </w:r>
      <w:r>
        <w:t xml:space="preserve"> </w:t>
      </w:r>
      <w:r>
        <w:t xml:space="preserve">the integration local inverse Simpson’s index (iLISI) rose from</w:t>
      </w:r>
      <w:r>
        <w:t xml:space="preserve"> </w:t>
      </w:r>
      <m:oMath>
        <m:r>
          <m:t>6.10</m:t>
        </m:r>
      </m:oMath>
      <w:r>
        <w:t xml:space="preserve"> </w:t>
      </w:r>
      <w:r>
        <w:t xml:space="preserve">(unintegrated principal</w:t>
      </w:r>
      <w:r>
        <w:t xml:space="preserve"> </w:t>
      </w:r>
      <w:r>
        <w:t xml:space="preserve">components) to</w:t>
      </w:r>
      <w:r>
        <w:t xml:space="preserve"> </w:t>
      </w:r>
      <m:oMath>
        <m:r>
          <m:t>8.10</m:t>
        </m:r>
      </m:oMath>
      <w:r>
        <w:t xml:space="preserve"> </w:t>
      </w:r>
      <w:r>
        <w:t xml:space="preserve">after scVI, with only a modest change in the cell-type cLISI (</w:t>
      </w:r>
      <m:oMath>
        <m:r>
          <m:t>1.31</m:t>
        </m:r>
        <m:r>
          <m:rPr>
            <m:sty m:val="p"/>
          </m:rPr>
          <m:t>→</m:t>
        </m:r>
        <m:r>
          <m:t>1.44</m:t>
        </m:r>
      </m:oMath>
      <w:r>
        <w:t xml:space="preserve">)</w:t>
      </w:r>
      <w:r>
        <w:rPr>
          <w:vertAlign w:val="superscript"/>
        </w:rPr>
        <w:t xml:space="preserve">17,18</w:t>
      </w:r>
      <w:r>
        <w:t xml:space="preserve"> </w:t>
      </w:r>
      <w:r>
        <w:t xml:space="preserve">(Fig. </w:t>
      </w:r>
      <w:hyperlink w:anchor="fig:aim1">
        <w:r>
          <w:rPr>
            <w:rStyle w:val="Hyperlink"/>
          </w:rPr>
          <w:t xml:space="preserve">2</w:t>
        </w:r>
      </w:hyperlink>
      <w:r>
        <w:t xml:space="preserve">c). We calibrated two decision</w:t>
      </w:r>
      <w:r>
        <w:t xml:space="preserve"> </w:t>
      </w:r>
      <w:r>
        <w:t xml:space="preserve">thresholds on held-out reference cells, a label-entropy threshold</w:t>
      </w:r>
      <w:r>
        <w:t xml:space="preserve"> </w:t>
      </w:r>
      <m:oMath>
        <m:sSub>
          <m:e>
            <m:r>
              <m:t>τ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 </w:t>
      </w:r>
      <w:r>
        <w:t xml:space="preserve">and an off-manifold</w:t>
      </w:r>
      <w:r>
        <w:t xml:space="preserve"> </w:t>
      </w:r>
      <w:r>
        <w:t xml:space="preserve">threshold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1.93</m:t>
        </m:r>
      </m:oMath>
      <w:r>
        <w:t xml:space="preserve">, and used them to assign each organoid cell to one of six states</w:t>
      </w:r>
      <w:r>
        <w:t xml:space="preserve"> </w:t>
      </w:r>
      <w:r>
        <w:t xml:space="preserve">(Fig. </w:t>
      </w:r>
      <w:hyperlink w:anchor="fig:aim1">
        <w:r>
          <w:rPr>
            <w:rStyle w:val="Hyperlink"/>
          </w:rPr>
          <w:t xml:space="preserve">2</w:t>
        </w:r>
      </w:hyperlink>
      <w:r>
        <w:t xml:space="preserve">a,b). The resulting partition is dominated by an</w:t>
      </w:r>
      <w:r>
        <w:t xml:space="preserve"> </w:t>
      </w:r>
      <w:r>
        <w:rPr>
          <w:i/>
          <w:iCs/>
        </w:rPr>
        <w:t xml:space="preserve">ambiguous-novel</w:t>
      </w:r>
      <w:r>
        <w:t xml:space="preserve"> </w:t>
      </w:r>
      <w:r>
        <w:t xml:space="preserve">(off-manifold) compartment (</w:t>
      </w:r>
      <m:oMath>
        <m:r>
          <m:t>677</m:t>
        </m:r>
        <m:r>
          <m:rPr>
            <m:sty m:val="p"/>
          </m:rPr>
          <m:t>,</m:t>
        </m:r>
        <m:r>
          <m:t>783</m:t>
        </m:r>
      </m:oMath>
      <w:r>
        <w:t xml:space="preserve"> </w:t>
      </w:r>
      <w:r>
        <w:t xml:space="preserve">cells;</w:t>
      </w:r>
      <w:r>
        <w:t xml:space="preserve"> </w:t>
      </w:r>
      <m:oMath>
        <m:r>
          <m:t>38.4</m:t>
        </m:r>
        <m:r>
          <m:rPr>
            <m:sty m:val="p"/>
          </m:rPr>
          <m:t>%</m:t>
        </m:r>
      </m:oMath>
      <w:r>
        <w:t xml:space="preserve">), followed by clean on-target (</w:t>
      </w:r>
      <m:oMath>
        <m:r>
          <m:t>459</m:t>
        </m:r>
        <m:r>
          <m:rPr>
            <m:sty m:val="p"/>
          </m:rPr>
          <m:t>,</m:t>
        </m:r>
        <m:r>
          <m:t>441</m:t>
        </m:r>
      </m:oMath>
      <w:r>
        <w:t xml:space="preserve">;</w:t>
      </w:r>
      <w:r>
        <w:t xml:space="preserve"> </w:t>
      </w:r>
      <m:oMath>
        <m:r>
          <m:t>26.0</m:t>
        </m:r>
        <m:r>
          <m:rPr>
            <m:sty m:val="p"/>
          </m:rPr>
          <m:t>%</m:t>
        </m:r>
      </m:oMath>
      <w:r>
        <w:t xml:space="preserve">), poorly differentiated on-target (</w:t>
      </w:r>
      <m:oMath>
        <m:r>
          <m:t>281</m:t>
        </m:r>
        <m:r>
          <m:rPr>
            <m:sty m:val="p"/>
          </m:rPr>
          <m:t>,</m:t>
        </m:r>
        <m:r>
          <m:t>217</m:t>
        </m:r>
      </m:oMath>
      <w:r>
        <w:t xml:space="preserve">;</w:t>
      </w:r>
      <w:r>
        <w:t xml:space="preserve"> </w:t>
      </w:r>
      <m:oMath>
        <m:r>
          <m:t>15.9</m:t>
        </m:r>
        <m:r>
          <m:rPr>
            <m:sty m:val="p"/>
          </m:rPr>
          <m:t>%</m:t>
        </m:r>
      </m:oMath>
      <w:r>
        <w:t xml:space="preserve">), ambiguous (</w:t>
      </w:r>
      <m:oMath>
        <m:r>
          <m:t>167</m:t>
        </m:r>
        <m:r>
          <m:rPr>
            <m:sty m:val="p"/>
          </m:rPr>
          <m:t>,</m:t>
        </m:r>
        <m:r>
          <m:t>838</m:t>
        </m:r>
      </m:oMath>
      <w:r>
        <w:t xml:space="preserve">;</w:t>
      </w:r>
      <w:r>
        <w:t xml:space="preserve"> </w:t>
      </w:r>
      <m:oMath>
        <m:r>
          <m:t>9.5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true off-target (</w:t>
      </w:r>
      <m:oMath>
        <m:r>
          <m:t>93</m:t>
        </m:r>
        <m:r>
          <m:rPr>
            <m:sty m:val="p"/>
          </m:rPr>
          <m:t>,</m:t>
        </m:r>
        <m:r>
          <m:t>795</m:t>
        </m:r>
      </m:oMath>
      <w:r>
        <w:t xml:space="preserve">;</w:t>
      </w:r>
      <w:r>
        <w:t xml:space="preserve"> </w:t>
      </w:r>
      <m:oMath>
        <m:r>
          <m:t>5.3</m:t>
        </m:r>
        <m:r>
          <m:rPr>
            <m:sty m:val="p"/>
          </m:rPr>
          <m:t>%</m:t>
        </m:r>
      </m:oMath>
      <w:r>
        <w:t xml:space="preserve">), and quality-control-dropped cells (</w:t>
      </w:r>
      <m:oMath>
        <m:r>
          <m:t>86</m:t>
        </m:r>
        <m:r>
          <m:rPr>
            <m:sty m:val="p"/>
          </m:rPr>
          <m:t>,</m:t>
        </m:r>
        <m:r>
          <m:t>813</m:t>
        </m:r>
      </m:oMath>
      <w:r>
        <w:t xml:space="preserve">;</w:t>
      </w:r>
      <w:r>
        <w:t xml:space="preserve"> </w:t>
      </w:r>
      <m:oMath>
        <m:r>
          <m:t>4.9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Three feasibility gates confirmed the measurement is well-posed (Fig. </w:t>
      </w:r>
      <w:hyperlink w:anchor="fig:aim1">
        <w:r>
          <w:rPr>
            <w:rStyle w:val="Hyperlink"/>
          </w:rPr>
          <w:t xml:space="preserve">2</w:t>
        </w:r>
      </w:hyperlink>
      <w:r>
        <w:t xml:space="preserve">d). The off-target</w:t>
      </w:r>
      <w:r>
        <w:t xml:space="preserve"> </w:t>
      </w:r>
      <w:r>
        <w:t xml:space="preserve">taxonomy is internally consistent (Gate A, pass); an in-vitro</w:t>
      </w:r>
      <w:r>
        <w:t xml:space="preserve"> </w:t>
      </w:r>
      <w:r>
        <w:t xml:space="preserve">“dish-vector”</w:t>
      </w:r>
      <w:r>
        <w:t xml:space="preserve"> </w:t>
      </w:r>
      <w:r>
        <w:t xml:space="preserve">computed on clean</w:t>
      </w:r>
      <w:r>
        <w:t xml:space="preserve"> </w:t>
      </w:r>
      <w:r>
        <w:t xml:space="preserve">on-target cells is highly self-consistent (Gate B, mean cosine</w:t>
      </w:r>
      <w:r>
        <w:t xml:space="preserve"> </w:t>
      </w:r>
      <m:oMath>
        <m:r>
          <m:t>0.855</m:t>
        </m:r>
        <m:r>
          <m:rPr>
            <m:sty m:val="p"/>
          </m:rPr>
          <m:t>&gt;</m:t>
        </m:r>
        <m:r>
          <m:t>0.70</m:t>
        </m:r>
      </m:oMath>
      <w:r>
        <w:t xml:space="preserve">), justifying a single</w:t>
      </w:r>
      <w:r>
        <w:t xml:space="preserve"> </w:t>
      </w:r>
      <w:r>
        <w:t xml:space="preserve">shared in-vitro axis; and the true off-target compartment is adequately powered for downstream geometry</w:t>
      </w:r>
      <w:r>
        <w:t xml:space="preserve"> </w:t>
      </w:r>
      <w:r>
        <w:t xml:space="preserve">(Gate C, green;</w:t>
      </w:r>
      <w:r>
        <w:t xml:space="preserve"> </w:t>
      </w:r>
      <m:oMath>
        <m:r>
          <m:t>93</m:t>
        </m:r>
        <m:r>
          <m:rPr>
            <m:sty m:val="p"/>
          </m:rPr>
          <m:t>,</m:t>
        </m:r>
        <m:r>
          <m:t>795</m:t>
        </m:r>
      </m:oMath>
      <w:r>
        <w:t xml:space="preserve"> </w:t>
      </w:r>
      <w:r>
        <w:t xml:space="preserve">cells). NullState thus yields a calibrated, adequately powered off-target</w:t>
      </w:r>
      <w:r>
        <w:t xml:space="preserve"> </w:t>
      </w:r>
      <w:r>
        <w:t xml:space="preserve">measurement over the entire organoid atlas.</w:t>
      </w:r>
    </w:p>
    <w:bookmarkEnd w:id="10"/>
    <w:bookmarkStart w:id="11" w:name="X7d756737fedd9beee5cc144cc1b0c8a27b5a72c"/>
    <w:p>
      <w:pPr>
        <w:pStyle w:val="Heading2"/>
      </w:pPr>
      <w:r>
        <w:t xml:space="preserve">The off-manifold compartment is a structured mixture of reference gap and in-vitro stress</w:t>
      </w:r>
    </w:p>
    <w:p>
      <w:pPr>
        <w:pStyle w:val="FirstParagraph"/>
      </w:pPr>
      <w:r>
        <w:t xml:space="preserve">The size of the ambiguous-novel compartment (</w:t>
      </w:r>
      <m:oMath>
        <m:r>
          <m:t>38.4</m:t>
        </m:r>
        <m:r>
          <m:rPr>
            <m:sty m:val="p"/>
          </m:rPr>
          <m:t>%</m:t>
        </m:r>
      </m:oMath>
      <w:r>
        <w:t xml:space="preserve">) raises an essential question: is it a mapping</w:t>
      </w:r>
      <w:r>
        <w:t xml:space="preserve"> </w:t>
      </w:r>
      <w:r>
        <w:t xml:space="preserve">artifact, or does it reflect real biology? Four orthogonal diagnostics, computed on the neural subset,</w:t>
      </w:r>
      <w:r>
        <w:t xml:space="preserve"> </w:t>
      </w:r>
      <w:r>
        <w:t xml:space="preserve">converge on the latter (Fig. </w:t>
      </w:r>
      <w:hyperlink w:anchor="fig:diag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Identity and stress programs (Fig. </w:t>
      </w:r>
      <w:hyperlink w:anchor="fig:diag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a).</w:t>
      </w:r>
      <w:r>
        <w:t xml:space="preserve"> </w:t>
      </w:r>
      <w:r>
        <w:t xml:space="preserve">Relative to clean on-target neural cells,</w:t>
      </w:r>
      <w:r>
        <w:t xml:space="preserve"> </w:t>
      </w:r>
      <w:r>
        <w:t xml:space="preserve">ambiguous-novel neural cells show markedly reduced neural-progenitor identity (NPC score</w:t>
      </w:r>
      <w:r>
        <w:t xml:space="preserve"> </w:t>
      </w:r>
      <m:oMath>
        <m:r>
          <m:t>1.11</m:t>
        </m:r>
        <m:r>
          <m:rPr>
            <m:sty m:val="p"/>
          </m:rPr>
          <m:t>→</m:t>
        </m:r>
        <m:r>
          <m:t>0.61</m:t>
        </m:r>
      </m:oMath>
      <w:r>
        <w:t xml:space="preserve">) while gaining canonical stress signatures: hypoxia</w:t>
      </w:r>
      <w:r>
        <w:t xml:space="preserve"> </w:t>
      </w:r>
      <w:r>
        <w:t xml:space="preserve">(</w:t>
      </w:r>
      <m:oMath>
        <m:r>
          <m:t>0.60</m:t>
        </m:r>
        <m:r>
          <m:rPr>
            <m:sty m:val="p"/>
          </m:rPr>
          <m:t>→</m:t>
        </m:r>
        <m:r>
          <m:t>0.96</m:t>
        </m:r>
      </m:oMath>
      <w:r>
        <w:t xml:space="preserve">)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and the unfolded-protein/ER-stress response</w:t>
      </w:r>
      <w:r>
        <w:t xml:space="preserve"> </w:t>
      </w:r>
      <w:r>
        <w:t xml:space="preserve">(</w:t>
      </w:r>
      <m:oMath>
        <m:r>
          <m:t>0.12</m:t>
        </m:r>
        <m:r>
          <m:rPr>
            <m:sty m:val="p"/>
          </m:rPr>
          <m:t>→</m:t>
        </m:r>
        <m:r>
          <m:t>0.56</m:t>
        </m:r>
      </m:oMath>
      <w:r>
        <w:t xml:space="preserve">,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5-fold increase). An independent, atlas-precomputed glycolysis hallmark</w:t>
      </w:r>
      <w:r>
        <w:t xml:space="preserve"> </w:t>
      </w:r>
      <w:r>
        <w:t xml:space="preserve">score is correspondingly elevated (</w:t>
      </w:r>
      <m:oMath>
        <m:r>
          <m:t>0.46</m:t>
        </m:r>
        <m:r>
          <m:rPr>
            <m:sty m:val="p"/>
          </m:rPr>
          <m:t>→</m:t>
        </m:r>
        <m:r>
          <m:t>0.65</m:t>
        </m:r>
      </m:oMath>
      <w:r>
        <w:t xml:space="preserve">). This is the transcriptional signature of</w:t>
      </w:r>
      <w:r>
        <w:t xml:space="preserve"> </w:t>
      </w:r>
      <w:r>
        <w:t xml:space="preserve">culture stress described by Bhaduri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rPr>
          <w:vertAlign w:val="superscript"/>
        </w:rPr>
        <w:t xml:space="preserve">6</w:t>
      </w:r>
      <w:r>
        <w:t xml:space="preserve">, here resolved at atlas</w:t>
      </w:r>
      <w:r>
        <w:t xml:space="preserve"> </w:t>
      </w:r>
      <w:r>
        <w:t xml:space="preserve">scale and tied directly to off-manifold status.</w:t>
      </w:r>
    </w:p>
    <w:p>
      <w:pPr>
        <w:pStyle w:val="BodyText"/>
      </w:pPr>
      <w:r>
        <w:rPr>
          <w:i/>
          <w:iCs/>
        </w:rPr>
        <w:t xml:space="preserve">Maturation and metabolic load (Fig. </w:t>
      </w:r>
      <w:hyperlink w:anchor="fig:diag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b).</w:t>
      </w:r>
      <w:r>
        <w:t xml:space="preserve"> </w:t>
      </w:r>
      <w:r>
        <w:t xml:space="preserve">The off-manifold fraction rises</w:t>
      </w:r>
      <w:r>
        <w:t xml:space="preserve"> </w:t>
      </w:r>
      <w:r>
        <w:t xml:space="preserve">monotonically with a per-cell potency/complexity proxy (number of detected genes; quintile fractions</w:t>
      </w:r>
      <w:r>
        <w:t xml:space="preserve"> </w:t>
      </w:r>
      <m:oMath>
        <m:r>
          <m:t>0.13</m:t>
        </m:r>
        <m:r>
          <m:rPr>
            <m:sty m:val="p"/>
          </m:rPr>
          <m:t>→</m:t>
        </m:r>
        <m:r>
          <m:t>0.78</m:t>
        </m:r>
      </m:oMath>
      <w:r>
        <w:t xml:space="preserve">) and is highest in the oldest organoids (age quintile fraction</w:t>
      </w:r>
      <w:r>
        <w:t xml:space="preserve"> </w:t>
      </w:r>
      <m:oMath>
        <m:r>
          <m:t>0.62</m:t>
        </m:r>
      </m:oMath>
      <w:r>
        <w:t xml:space="preserve">;</w:t>
      </w:r>
      <w:r>
        <w:t xml:space="preserve"> </w:t>
      </w:r>
      <w:r>
        <w:t xml:space="preserve">median off-manifold score</w:t>
      </w:r>
      <w:r>
        <w:t xml:space="preserve"> </w:t>
      </w:r>
      <m:oMath>
        <m:r>
          <m:t>1.84</m:t>
        </m:r>
        <m:r>
          <m:rPr>
            <m:sty m:val="p"/>
          </m:rPr>
          <m:t>→</m:t>
        </m:r>
        <m:r>
          <m:t>2.12</m:t>
        </m:r>
      </m:oMath>
      <w:r>
        <w:t xml:space="preserve"> </w:t>
      </w:r>
      <w:r>
        <w:t xml:space="preserve">across age)</w:t>
      </w:r>
      <w:r>
        <w:rPr>
          <w:vertAlign w:val="superscript"/>
        </w:rPr>
        <w:t xml:space="preserve">20</w:t>
      </w:r>
      <w:r>
        <w:t xml:space="preserve">. Off-target</w:t>
      </w:r>
      <w:r>
        <w:t xml:space="preserve"> </w:t>
      </w:r>
      <w:r>
        <w:t xml:space="preserve">burden therefore accrues with culture time and metabolic demand, consistent with a stress-driven</w:t>
      </w:r>
      <w:r>
        <w:t xml:space="preserve"> </w:t>
      </w:r>
      <w:r>
        <w:t xml:space="preserve">mechanism rather than random misassignment.</w:t>
      </w:r>
    </w:p>
    <w:p>
      <w:pPr>
        <w:pStyle w:val="BodyText"/>
      </w:pPr>
      <w:r>
        <w:rPr>
          <w:i/>
          <w:iCs/>
        </w:rPr>
        <w:t xml:space="preserve">Protocol dependence (Fig. </w:t>
      </w:r>
      <w:hyperlink w:anchor="fig:diag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c).</w:t>
      </w:r>
      <w:r>
        <w:t xml:space="preserve"> </w:t>
      </w:r>
      <w:r>
        <w:t xml:space="preserve">Across 26 differentiation protocols, the</w:t>
      </w:r>
      <w:r>
        <w:t xml:space="preserve"> </w:t>
      </w:r>
      <w:r>
        <w:t xml:space="preserve">ambiguous-novel fraction spans nearly the entire range (</w:t>
      </w:r>
      <m:oMath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96.8</m:t>
        </m:r>
        <m:r>
          <m:rPr>
            <m:sty m:val="p"/>
          </m:rPr>
          <m:t>%</m:t>
        </m:r>
      </m:oMath>
      <w:r>
        <w:t xml:space="preserve">; standard deviation</w:t>
      </w:r>
      <w:r>
        <w:t xml:space="preserve"> </w:t>
      </w:r>
      <m:oMath>
        <m:r>
          <m:t>0.28</m:t>
        </m:r>
      </m:oMath>
      <w:r>
        <w:t xml:space="preserve">). Guided cortical protocols sit at the low end (e.g., DAPT-patterned cortico-motor</w:t>
      </w:r>
      <w:r>
        <w:rPr>
          <w:vertAlign w:val="superscript"/>
        </w:rPr>
        <w:t xml:space="preserve">21</w:t>
      </w:r>
      <w:r>
        <w:t xml:space="preserve">,</w:t>
      </w:r>
      <w:r>
        <w:t xml:space="preserve"> </w:t>
      </w:r>
      <m:oMath>
        <m:r>
          <m:t>0.4</m:t>
        </m:r>
        <m:r>
          <m:rPr>
            <m:sty m:val="p"/>
          </m:rPr>
          <m:t>%</m:t>
        </m:r>
      </m:oMath>
      <w:r>
        <w:t xml:space="preserve">;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), whereas</w:t>
      </w:r>
      <w:r>
        <w:t xml:space="preserve"> </w:t>
      </w:r>
      <w:r>
        <w:t xml:space="preserve">regionally divergent or barrier-forming protocols dominate the high end, choroid-plexus organoids</w:t>
      </w:r>
      <w:r>
        <w:rPr>
          <w:vertAlign w:val="superscript"/>
        </w:rPr>
        <w:t xml:space="preserve">22</w:t>
      </w:r>
      <w:r>
        <w:t xml:space="preserve"> </w:t>
      </w:r>
      <w:r>
        <w:t xml:space="preserve">reach</w:t>
      </w:r>
      <w:r>
        <w:t xml:space="preserve"> </w:t>
      </w:r>
      <m:oMath>
        <m:r>
          <m:t>96.8</m:t>
        </m:r>
        <m:r>
          <m:rPr>
            <m:sty m:val="p"/>
          </m:rPr>
          <m:t>%</m:t>
        </m:r>
      </m:oMath>
      <w:r>
        <w:t xml:space="preserve">, midbrain-dopaminergic</w:t>
      </w:r>
      <w:r>
        <w:rPr>
          <w:vertAlign w:val="superscript"/>
        </w:rPr>
        <w:t xml:space="preserve">23</w:t>
      </w:r>
      <w:r>
        <w:t xml:space="preserve"> </w:t>
      </w:r>
      <w:r>
        <w:t xml:space="preserve">and</w:t>
      </w:r>
      <w:r>
        <w:t xml:space="preserve"> </w:t>
      </w:r>
      <w:r>
        <w:t xml:space="preserve">thalamic</w:t>
      </w:r>
      <w:r>
        <w:rPr>
          <w:vertAlign w:val="superscript"/>
        </w:rPr>
        <w:t xml:space="preserve">24</w:t>
      </w:r>
      <w:r>
        <w:t xml:space="preserve"> </w:t>
      </w:r>
      <w:r>
        <w:t xml:space="preserve">protocols</w:t>
      </w:r>
      <w:r>
        <w:t xml:space="preserve"> </w:t>
      </w:r>
      <m:oMath>
        <m:r>
          <m:t>85</m:t>
        </m:r>
      </m:oMath>
      <w:r>
        <w:t xml:space="preserve">–</w:t>
      </w:r>
      <m:oMath>
        <m:r>
          <m:t>90</m:t>
        </m:r>
        <m:r>
          <m:rPr>
            <m:sty m:val="p"/>
          </m:rPr>
          <m:t>%</m:t>
        </m:r>
      </m:oMath>
      <w:r>
        <w:t xml:space="preserve">. The off-manifold signal thus partly tracks</w:t>
      </w:r>
      <w:r>
        <w:t xml:space="preserve"> </w:t>
      </w:r>
      <w:r>
        <w:rPr>
          <w:i/>
          <w:iCs/>
        </w:rPr>
        <w:t xml:space="preserve">reference coverage</w:t>
      </w:r>
      <w:r>
        <w:t xml:space="preserve">: the first-trimester, cortex-rich HDBCA under-represents later and</w:t>
      </w:r>
      <w:r>
        <w:t xml:space="preserve"> </w:t>
      </w:r>
      <w:r>
        <w:t xml:space="preserve">non-cortical neural states, which are then read as off-manifold.</w:t>
      </w:r>
    </w:p>
    <w:p>
      <w:pPr>
        <w:pStyle w:val="BodyText"/>
      </w:pPr>
      <w:r>
        <w:rPr>
          <w:i/>
          <w:iCs/>
        </w:rPr>
        <w:t xml:space="preserve">Cluster coherence (Fig. </w:t>
      </w:r>
      <w:hyperlink w:anchor="fig:diag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d,e).</w:t>
      </w:r>
      <w:r>
        <w:t xml:space="preserve"> </w:t>
      </w:r>
      <w:r>
        <w:t xml:space="preserve">Ambiguous-novel cells are not scattered. Across 30</w:t>
      </w:r>
      <w:r>
        <w:t xml:space="preserve"> </w:t>
      </w:r>
      <w:r>
        <w:t xml:space="preserve">Leiden communities in the atlas embedding</w:t>
      </w:r>
      <w:r>
        <w:rPr>
          <w:vertAlign w:val="superscript"/>
        </w:rPr>
        <w:t xml:space="preserve">25</w:t>
      </w:r>
      <w:r>
        <w:t xml:space="preserve">, the off-manifold fraction is bimodal</w:t>
      </w:r>
      <w:r>
        <w:t xml:space="preserve"> </w:t>
      </w:r>
      <w:r>
        <w:t xml:space="preserve">(per-cluster s.d. </w:t>
      </w:r>
      <m:oMath>
        <m:r>
          <m:t>0.29</m:t>
        </m:r>
      </m:oMath>
      <w:r>
        <w:t xml:space="preserve"> </w:t>
      </w:r>
      <w:r>
        <w:t xml:space="preserve">about an overall mean of</w:t>
      </w:r>
      <w:r>
        <w:t xml:space="preserve"> </w:t>
      </w:r>
      <m:oMath>
        <m:r>
          <m:t>0.55</m:t>
        </m:r>
      </m:oMath>
      <w:r>
        <w:t xml:space="preserve">);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cells reside in near-pure</w:t>
      </w:r>
      <w:r>
        <w:t xml:space="preserve"> </w:t>
      </w:r>
      <w:r>
        <w:t xml:space="preserve">off-manifold clusters (</w:t>
      </w:r>
      <m:oMath>
        <m:r>
          <m:rPr>
            <m:sty m:val="p"/>
          </m:rPr>
          <m:t>≥</m:t>
        </m:r>
        <m:r>
          <m:t>​</m:t>
        </m:r>
        <m:r>
          <m:t>80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m:oMath>
        <m:r>
          <m:t>21</m:t>
        </m:r>
        <m:r>
          <m:rPr>
            <m:sty m:val="p"/>
          </m:rPr>
          <m:t>%</m:t>
        </m:r>
      </m:oMath>
      <w:r>
        <w:t xml:space="preserve"> </w:t>
      </w:r>
      <w:r>
        <w:t xml:space="preserve">in near-pure clean clusters (</w:t>
      </w:r>
      <m:oMath>
        <m:r>
          <m:rPr>
            <m:sty m:val="p"/>
          </m:rPr>
          <m:t>≤</m:t>
        </m:r>
        <m:r>
          <m:t>​</m:t>
        </m:r>
        <m:r>
          <m:t>20</m:t>
        </m:r>
        <m:r>
          <m:rPr>
            <m:sty m:val="p"/>
          </m:rPr>
          <m:t>%</m:t>
        </m:r>
      </m:oMath>
      <w:r>
        <w:t xml:space="preserve">). Off-manifold</w:t>
      </w:r>
      <w:r>
        <w:t xml:space="preserve"> </w:t>
      </w:r>
      <w:r>
        <w:t xml:space="preserve">status is a coherent population-level property, visible as contiguous territory in the scPoli UMAP</w:t>
      </w:r>
      <w:r>
        <w:rPr>
          <w:vertAlign w:val="superscript"/>
        </w:rPr>
        <w:t xml:space="preserve">26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Direct cross-atlas test (Fig. </w:t>
      </w:r>
      <w:hyperlink w:anchor="fig:ref2">
        <w:r>
          <w:rPr>
            <w:rStyle w:val="Hyperlink"/>
            <w:i/>
            <w:iCs/>
          </w:rPr>
          <w:t xml:space="preserve">6</w:t>
        </w:r>
      </w:hyperlink>
      <w:r>
        <w:rPr>
          <w:i/>
          <w:iCs/>
        </w:rPr>
        <w:t xml:space="preserve">).</w:t>
      </w:r>
      <w:r>
        <w:t xml:space="preserve"> </w:t>
      </w:r>
      <w:r>
        <w:t xml:space="preserve">The protocol gradient argues for a coverage-gap</w:t>
      </w:r>
      <w:r>
        <w:t xml:space="preserve"> </w:t>
      </w:r>
      <w:r>
        <w:t xml:space="preserve">contribution indirectly; we tested it directly by asking whether off-manifold neural cells map onto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, non-HDBCA reference, the prenatal human cortex of Velmeshev</w:t>
      </w:r>
      <w:r>
        <w:t xml:space="preserve"> </w:t>
      </w:r>
      <w:r>
        <w:rPr>
          <w:i/>
          <w:iCs/>
        </w:rPr>
        <w:t xml:space="preserve">et al.</w:t>
      </w:r>
      <w:r>
        <w:rPr>
          <w:vertAlign w:val="superscript"/>
        </w:rPr>
        <w:t xml:space="preserve">27</w:t>
      </w:r>
      <w:r>
        <w:t xml:space="preserve">, reasoning that cells merely missing from HDBCA should be recoverable</w:t>
      </w:r>
      <w:r>
        <w:t xml:space="preserve"> </w:t>
      </w:r>
      <w:r>
        <w:t xml:space="preserve">there, whereas genuinely divergent cells should not. The experiment exposes, and is bounded by, the same</w:t>
      </w:r>
      <w:r>
        <w:t xml:space="preserve"> </w:t>
      </w:r>
      <w:r>
        <w:t xml:space="preserve">pervasiveness that defeats Aim 2: the organoid-versus-primary source gap displaces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organoid</w:t>
      </w:r>
      <w:r>
        <w:t xml:space="preserve"> </w:t>
      </w:r>
      <w:r>
        <w:t xml:space="preserve">cell from the independent atlas, including clean on-target cells that map confidently to HDBCA (clean</w:t>
      </w:r>
      <w:r>
        <w:t xml:space="preserve"> </w:t>
      </w:r>
      <w:r>
        <w:t xml:space="preserve">median off-manifold distance</w:t>
      </w:r>
      <w:r>
        <w:t xml:space="preserve"> </w:t>
      </w:r>
      <m:oMath>
        <m:r>
          <m:t>4.0</m:t>
        </m:r>
      </m:oMath>
      <w:r>
        <w:t xml:space="preserve"> </w:t>
      </w:r>
      <w:r>
        <w:t xml:space="preserve">versus reference-self</w:t>
      </w:r>
      <w:r>
        <w:t xml:space="preserve"> </w:t>
      </w:r>
      <m:oMath>
        <m:r>
          <m:t>2.2</m:t>
        </m:r>
      </m:oMath>
      <w:r>
        <w:t xml:space="preserve">), under both scArches projection and joint</w:t>
      </w:r>
      <w:r>
        <w:t xml:space="preserve"> </w:t>
      </w:r>
      <w:r>
        <w:t xml:space="preserve">scVI integration. Absolute</w:t>
      </w:r>
      <w:r>
        <w:t xml:space="preserve"> </w:t>
      </w:r>
      <w:r>
        <w:t xml:space="preserve">“mapped-on”</w:t>
      </w:r>
      <w:r>
        <w:t xml:space="preserve"> </w:t>
      </w:r>
      <w:r>
        <w:t xml:space="preserve">fractions are therefore confounded, and we do not report them.</w:t>
      </w:r>
      <w:r>
        <w:t xml:space="preserve"> </w:t>
      </w:r>
      <w:r>
        <w:t xml:space="preserve">Instead the clean control</w:t>
      </w:r>
      <w:r>
        <w:t xml:space="preserve"> </w:t>
      </w:r>
      <w:r>
        <w:rPr>
          <w:i/>
          <w:iCs/>
        </w:rPr>
        <w:t xml:space="preserve">quantifies</w:t>
      </w:r>
      <w:r>
        <w:t xml:space="preserve"> </w:t>
      </w:r>
      <w:r>
        <w:t xml:space="preserve">that shared displacement, and, exactly as in the Aim 3</w:t>
      </w:r>
      <w:r>
        <w:t xml:space="preserve"> </w:t>
      </w:r>
      <w:r>
        <w:t xml:space="preserve">cancellation argument, the clean-versus-ambiguous-novel contrast removes it: ambiguous-novel neural cells</w:t>
      </w:r>
      <w:r>
        <w:t xml:space="preserve"> </w:t>
      </w:r>
      <w:r>
        <w:t xml:space="preserve">are significantly and consistently further from the independent cortex manifold than clean cells (area</w:t>
      </w:r>
      <w:r>
        <w:t xml:space="preserve"> </w:t>
      </w:r>
      <w:r>
        <w:t xml:space="preserve">under the curve</w:t>
      </w:r>
      <w:r>
        <w:t xml:space="preserve"> </w:t>
      </w:r>
      <m:oMath>
        <m:r>
          <m:t>0.65</m:t>
        </m:r>
      </m:oMath>
      <w:r>
        <w:t xml:space="preserve">, Cliff’s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0.30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;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exceed the clean median and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lie beyond the clean</w:t>
      </w:r>
      <w:r>
        <w:t xml:space="preserve"> </w:t>
      </w:r>
      <m:oMath>
        <m:r>
          <m:t>95</m:t>
        </m:r>
      </m:oMath>
      <w:r>
        <w:t xml:space="preserve">th percentile). This is direct, confound-controlled evidence for a genuine</w:t>
      </w:r>
      <w:r>
        <w:t xml:space="preserve"> </w:t>
      </w:r>
      <w:r>
        <w:t xml:space="preserve">in-vitro-divergence component in the off-manifold compartment, over and above the coverage gap implied by</w:t>
      </w:r>
      <w:r>
        <w:t xml:space="preserve"> </w:t>
      </w:r>
      <w:r>
        <w:t xml:space="preserve">the protocol gradient.</w:t>
      </w:r>
    </w:p>
    <w:p>
      <w:pPr>
        <w:pStyle w:val="BodyText"/>
      </w:pPr>
      <w:r>
        <w:t xml:space="preserve">Together these diagnostics establish that the dominant off-target compartment is a reproducible</w:t>
      </w:r>
      <w:r>
        <w:t xml:space="preserve"> </w:t>
      </w:r>
      <w:r>
        <w:t xml:space="preserve">biological mixture: a</w:t>
      </w:r>
      <w:r>
        <w:t xml:space="preserve"> </w:t>
      </w:r>
      <w:r>
        <w:rPr>
          <w:i/>
          <w:iCs/>
        </w:rPr>
        <w:t xml:space="preserve">reference-coverage gap</w:t>
      </w:r>
      <w:r>
        <w:t xml:space="preserve"> </w:t>
      </w:r>
      <w:r>
        <w:t xml:space="preserve">(non-cortical and later neural states absent from a</w:t>
      </w:r>
      <w:r>
        <w:t xml:space="preserve"> </w:t>
      </w:r>
      <w:r>
        <w:t xml:space="preserve">first-trimester reference) superimposed on a pervasive</w:t>
      </w:r>
      <w:r>
        <w:t xml:space="preserve"> </w:t>
      </w:r>
      <w:r>
        <w:rPr>
          <w:i/>
          <w:iCs/>
        </w:rPr>
        <w:t xml:space="preserve">in-vitro stress</w:t>
      </w:r>
      <w:r>
        <w:t xml:space="preserve"> </w:t>
      </w:r>
      <w:r>
        <w:t xml:space="preserve">program (hypoxia,</w:t>
      </w:r>
      <w:r>
        <w:t xml:space="preserve"> </w:t>
      </w:r>
      <w:r>
        <w:t xml:space="preserve">unfolded-protein response, glycolysis) that intensifies with maturation.</w:t>
      </w:r>
    </w:p>
    <w:bookmarkEnd w:id="11"/>
    <w:bookmarkStart w:id="12" w:name="X26ddefb28d4bc9a6fc0af7bff2dc9d2eb19c706"/>
    <w:p>
      <w:pPr>
        <w:pStyle w:val="Heading2"/>
      </w:pPr>
      <w:r>
        <w:t xml:space="preserve">Lineage cannot be disentangled from in-vitro state in a shared latent (a characterized negative)</w:t>
      </w:r>
    </w:p>
    <w:p>
      <w:pPr>
        <w:pStyle w:val="FirstParagraph"/>
      </w:pPr>
      <w:r>
        <w:t xml:space="preserve">If the in-vitro state were a low-dimensional nuisance, one could subtract it and place off-target cells</w:t>
      </w:r>
      <w:r>
        <w:t xml:space="preserve"> </w:t>
      </w:r>
      <w:r>
        <w:t xml:space="preserve">on a clean lineage axis. We tested this directly with contrastiveVI, which factorizes a background</w:t>
      </w:r>
      <w:r>
        <w:t xml:space="preserve"> </w:t>
      </w:r>
      <w:r>
        <w:t xml:space="preserve">(shared) latent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from a salient latent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b>
        </m:sSub>
      </m:oMath>
      <w:r>
        <w:rPr>
          <w:vertAlign w:val="superscript"/>
        </w:rPr>
        <w:t xml:space="preserve">28</w:t>
      </w:r>
      <w:r>
        <w:t xml:space="preserve">, training the</w:t>
      </w:r>
      <w:r>
        <w:t xml:space="preserve"> </w:t>
      </w:r>
      <w:r>
        <w:t xml:space="preserve">background on primary fetal cells and the salient on organoid cells, so that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should encode</w:t>
      </w:r>
      <w:r>
        <w:t xml:space="preserve"> </w:t>
      </w:r>
      <w:r>
        <w:t xml:space="preserve">dish-stripped lineage. We evaluated disentanglement with a held-out adversary: a classifier that</w:t>
      </w:r>
      <w:r>
        <w:t xml:space="preserve"> </w:t>
      </w:r>
      <w:r>
        <w:t xml:space="preserve">attempts to recover organoid-versus-primary origin from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(balanced accuracy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ideal;</w:t>
      </w:r>
      <w:r>
        <w:t xml:space="preserve"> </w:t>
      </w:r>
      <m:oMath>
        <m:r>
          <m:rPr>
            <m:sty m:val="p"/>
          </m:rPr>
          <m:t>&lt;</m:t>
        </m:r>
        <m:r>
          <m:t>0.6</m:t>
        </m:r>
      </m:oMath>
      <w:r>
        <w:t xml:space="preserve"> </w:t>
      </w:r>
      <w:r>
        <w:t xml:space="preserve">would indicate success) (Fig. </w:t>
      </w:r>
      <w:hyperlink w:anchor="fig:aim2">
        <w:r>
          <w:rPr>
            <w:rStyle w:val="Hyperlink"/>
          </w:rPr>
          <w:t xml:space="preserve">4</w:t>
        </w:r>
      </w:hyperlink>
      <w:r>
        <w:t xml:space="preserve">a).</w:t>
      </w:r>
    </w:p>
    <w:p>
      <w:pPr>
        <w:pStyle w:val="BodyText"/>
      </w:pPr>
      <w:r>
        <w:t xml:space="preserve">Disentanglement failed, and did so robustly. The baseline model</w:t>
      </w:r>
      <w:r>
        <w:t xml:space="preserve"> </w:t>
      </w:r>
      <w:r>
        <w:t xml:space="preserve">(</w:t>
      </w:r>
      <m:oMath>
        <m:r>
          <m:rPr>
            <m:sty m:val="p"/>
          </m:rPr>
          <m:t>dim</m:t>
        </m:r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 yielded adversary balanced accuracy</w:t>
      </w:r>
      <w:r>
        <w:t xml:space="preserve"> </w:t>
      </w:r>
      <m:oMath>
        <m:r>
          <m:t>0.998</m:t>
        </m:r>
      </m:oMath>
      <w:r>
        <w:t xml:space="preserve">; tripling salient capacity (</w:t>
      </w:r>
      <m:oMath>
        <m:r>
          <m:rPr>
            <m:sty m:val="p"/>
          </m:rPr>
          <m:t>dim</m:t>
        </m:r>
        <m:sSub>
          <m:e>
            <m:r>
              <m:t>z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)</w:t>
      </w:r>
      <w:r>
        <w:t xml:space="preserve"> </w:t>
      </w:r>
      <w:r>
        <w:t xml:space="preserve">gave</w:t>
      </w:r>
      <w:r>
        <w:t xml:space="preserve"> </w:t>
      </w:r>
      <m:oMath>
        <m:r>
          <m:t>0.999</m:t>
        </m:r>
      </m:oMath>
      <w:r>
        <w:t xml:space="preserve">; and adding a source batch covariate to the decoder, the textbook remedy for a nuisance</w:t>
      </w:r>
      <w:r>
        <w:t xml:space="preserve"> </w:t>
      </w:r>
      <w:r>
        <w:t xml:space="preserve">axis confounded with a condition, gave</w:t>
      </w:r>
      <w:r>
        <w:t xml:space="preserve"> </w:t>
      </w:r>
      <m:oMath>
        <m:r>
          <m:t>0.998</m:t>
        </m:r>
      </m:oMath>
      <w:r>
        <w:t xml:space="preserve">. Training converged normally in every case</w:t>
      </w:r>
      <w:r>
        <w:t xml:space="preserve"> </w:t>
      </w:r>
      <w:r>
        <w:t xml:space="preserve">(Fig. </w:t>
      </w:r>
      <w:hyperlink w:anchor="fig:aim2">
        <w:r>
          <w:rPr>
            <w:rStyle w:val="Hyperlink"/>
          </w:rPr>
          <w:t xml:space="preserve">4</w:t>
        </w:r>
      </w:hyperlink>
      <w:r>
        <w:t xml:space="preserve">b), so this is not an optimization failure. The mechanism is structural and, given</w:t>
      </w:r>
      <w:r>
        <w:t xml:space="preserve"> </w:t>
      </w:r>
      <w:r>
        <w:t xml:space="preserve">how different the two sources are, largely</w:t>
      </w:r>
      <w:r>
        <w:t xml:space="preserve"> </w:t>
      </w:r>
      <w:r>
        <w:rPr>
          <w:i/>
          <w:iCs/>
        </w:rPr>
        <w:t xml:space="preserve">expected</w:t>
      </w:r>
      <w:r>
        <w:t xml:space="preserve">: the contribution here is to characterize</w:t>
      </w:r>
      <w:r>
        <w:t xml:space="preserve"> </w:t>
      </w:r>
      <w:r>
        <w:t xml:space="preserve">precisely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shared latent cannot work, not to present the failure as a surprise. When</w:t>
      </w:r>
      <w:r>
        <w:t xml:space="preserve"> </w:t>
      </w:r>
      <w:r>
        <w:t xml:space="preserve">organoid and fetal cells occupy near-disjoint regions of expression space, source identity is almost</w:t>
      </w:r>
      <w:r>
        <w:t xml:space="preserve"> </w:t>
      </w:r>
      <w:r>
        <w:t xml:space="preserve">definitionally decodable and there is no overlap region in which a shared lineage axis is even well</w:t>
      </w:r>
      <w:r>
        <w:t xml:space="preserve"> </w:t>
      </w:r>
      <w:r>
        <w:t xml:space="preserve">defined, the background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t>​</m:t>
        </m:r>
        <m:r>
          <m:rPr>
            <m:sty m:val="p"/>
          </m:rPr>
          <m:t>∣</m:t>
        </m:r>
        <m:r>
          <m:t>​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observes and encodes the</w:t>
      </w:r>
      <w:r>
        <w:t xml:space="preserve"> </w:t>
      </w:r>
      <w:r>
        <w:t xml:space="preserve">organoid-versus-primary difference directly, and conditioning the</w:t>
      </w:r>
      <w:r>
        <w:t xml:space="preserve"> </w:t>
      </w:r>
      <w:r>
        <w:rPr>
          <w:i/>
          <w:iCs/>
        </w:rPr>
        <w:t xml:space="preserve">decoder</w:t>
      </w:r>
      <w:r>
        <w:t xml:space="preserve"> </w:t>
      </w:r>
      <w:r>
        <w:t xml:space="preserve">on a batch label cannot</w:t>
      </w:r>
      <w:r>
        <w:t xml:space="preserve"> </w:t>
      </w:r>
      <w:r>
        <w:t xml:space="preserve">undo what the encoder has already written into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(Fig. </w:t>
      </w:r>
      <w:hyperlink w:anchor="fig:aim2">
        <w:r>
          <w:rPr>
            <w:rStyle w:val="Hyperlink"/>
          </w:rPr>
          <w:t xml:space="preserve">4</w:t>
        </w:r>
      </w:hyperlink>
      <w:r>
        <w:t xml:space="preserve">c). Two scope limits on the</w:t>
      </w:r>
      <w:r>
        <w:t xml:space="preserve"> </w:t>
      </w:r>
      <w:r>
        <w:t xml:space="preserve">interpretation follow, and we are explicit about them. First, the adversary establishes only that this</w:t>
      </w:r>
      <w:r>
        <w:t xml:space="preserve"> </w:t>
      </w:r>
      <w:r>
        <w:t xml:space="preserve">difference is decodable, not what it is made of: organoid and primary datasets differ in biological</w:t>
      </w:r>
      <w:r>
        <w:t xml:space="preserve"> </w:t>
      </w:r>
      <w:r>
        <w:t xml:space="preserve">in-vitro state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 laboratory, dissociation, platform, and ambient-RNA profile, every one of</w:t>
      </w:r>
      <w:r>
        <w:t xml:space="preserve"> </w:t>
      </w:r>
      <w:r>
        <w:t xml:space="preserve">which is transcriptome-pervasive and would on its own render source decodable. The experiment therefore</w:t>
      </w:r>
      <w:r>
        <w:t xml:space="preserve"> </w:t>
      </w:r>
      <w:r>
        <w:t xml:space="preserve">supports a claim we can fully defend, shared-latent contrastive methods cannot produce a</w:t>
      </w:r>
      <w:r>
        <w:t xml:space="preserve"> </w:t>
      </w:r>
      <w:r>
        <w:t xml:space="preserve">source-invariant lineage axis in this regime, whereas the specifically</w:t>
      </w:r>
      <w:r>
        <w:t xml:space="preserve"> </w:t>
      </w:r>
      <w:r>
        <w:rPr>
          <w:i/>
          <w:iCs/>
        </w:rPr>
        <w:t xml:space="preserve">in-vitro</w:t>
      </w:r>
      <w:r>
        <w:t xml:space="preserve"> </w:t>
      </w:r>
      <w:r>
        <w:t xml:space="preserve">character of the</w:t>
      </w:r>
      <w:r>
        <w:t xml:space="preserve"> </w:t>
      </w:r>
      <w:r>
        <w:t xml:space="preserve">dominant axis is established not by the adversary but by the stress diagnostics of the previous section</w:t>
      </w:r>
      <w:r>
        <w:t xml:space="preserve"> </w:t>
      </w:r>
      <w:r>
        <w:t xml:space="preserve">(Fig. </w:t>
      </w:r>
      <w:hyperlink w:anchor="fig:diag">
        <w:r>
          <w:rPr>
            <w:rStyle w:val="Hyperlink"/>
          </w:rPr>
          <w:t xml:space="preserve">3</w:t>
        </w:r>
      </w:hyperlink>
      <w:r>
        <w:t xml:space="preserve">). Second, the donor-keyed integration used for mapping does not correct the far</w:t>
      </w:r>
      <w:r>
        <w:t xml:space="preserve"> </w:t>
      </w:r>
      <w:r>
        <w:t xml:space="preserve">deeper organoid-versus-primary divide, so that divide is precisely what the background latent inherits.</w:t>
      </w:r>
      <w:r>
        <w:t xml:space="preserve"> </w:t>
      </w:r>
      <w:r>
        <w:t xml:space="preserve">We accordingly state the negative result methodologically and read its biology from Aim 2’s signatures.</w:t>
      </w:r>
      <w:r>
        <w:t xml:space="preserve"> </w:t>
      </w:r>
      <w:r>
        <w:t xml:space="preserve">The substantive claim is therefore not that a domain gap exists, that is assumed, but a sharper,</w:t>
      </w:r>
      <w:r>
        <w:t xml:space="preserve"> </w:t>
      </w:r>
      <w:r>
        <w:t xml:space="preserve">identifiability-flavoured one: shared-latent calibration</w:t>
      </w:r>
      <w:r>
        <w:t xml:space="preserve"> </w:t>
      </w:r>
      <w:r>
        <w:rPr>
          <w:i/>
          <w:iCs/>
        </w:rPr>
        <w:t xml:space="preserve">without anchoring</w:t>
      </w:r>
      <w:r>
        <w:t xml:space="preserve"> </w:t>
      </w:r>
      <w:r>
        <w:t xml:space="preserve">is feasible only where</w:t>
      </w:r>
      <w:r>
        <w:t xml:space="preserve"> </w:t>
      </w:r>
      <w:r>
        <w:t xml:space="preserve">the two domains share an overlap region in which a common lineage axis is even defined, and the</w:t>
      </w:r>
      <w:r>
        <w:t xml:space="preserve"> </w:t>
      </w:r>
      <w:r>
        <w:t xml:space="preserve">fetal-versus-organoid regime lies past that boundary. Naming this boundary condition, rather than</w:t>
      </w:r>
      <w:r>
        <w:t xml:space="preserve"> </w:t>
      </w:r>
      <w:r>
        <w:t xml:space="preserve">restating the bare fact that source is decodable, is the contribution, and it identifies encoder-side</w:t>
      </w:r>
      <w:r>
        <w:t xml:space="preserve"> </w:t>
      </w:r>
      <w:r>
        <w:t xml:space="preserve">or distributional methods as the only routes that could cross it.</w:t>
      </w:r>
    </w:p>
    <w:bookmarkEnd w:id="12"/>
    <w:bookmarkStart w:id="13" w:name="X22db0efb08024beca17ca6fbbc1d5b26e96d95d"/>
    <w:p>
      <w:pPr>
        <w:pStyle w:val="Heading2"/>
      </w:pPr>
      <w:r>
        <w:t xml:space="preserve">Off-target populations occupy distinct, biologically coherent geometry</w:t>
      </w:r>
    </w:p>
    <w:p>
      <w:pPr>
        <w:pStyle w:val="FirstParagraph"/>
      </w:pPr>
      <w:r>
        <w:t xml:space="preserve">Having quantified the largely neural off-manifold compartment in Aim 2, we turn to the part of the</w:t>
      </w:r>
      <w:r>
        <w:t xml:space="preserve"> </w:t>
      </w:r>
      <w:r>
        <w:t xml:space="preserve">off-target landscape where the reference is complete and the populations are large enough to support</w:t>
      </w:r>
      <w:r>
        <w:t xml:space="preserve"> </w:t>
      </w:r>
      <w:r>
        <w:t xml:space="preserve">geometry: the</w:t>
      </w:r>
      <w:r>
        <w:t xml:space="preserve"> </w:t>
      </w:r>
      <w:r>
        <w:rPr>
          <w:i/>
          <w:iCs/>
        </w:rPr>
        <w:t xml:space="preserve">non-neural</w:t>
      </w:r>
      <w:r>
        <w:t xml:space="preserve"> </w:t>
      </w:r>
      <w:r>
        <w:t xml:space="preserve">contaminant lineages. This division of labor is deliberate. The neural</w:t>
      </w:r>
      <w:r>
        <w:t xml:space="preserve"> </w:t>
      </w:r>
      <w:r>
        <w:t xml:space="preserve">off-manifold cells are the larger compartment, but, as Aim 2 showed, a first-trimester reference cannot</w:t>
      </w:r>
      <w:r>
        <w:t xml:space="preserve"> </w:t>
      </w:r>
      <w:r>
        <w:t xml:space="preserve">yet resolve them into clean lineage structure (it conflates genuine in-vitro divergence with its own</w:t>
      </w:r>
      <w:r>
        <w:t xml:space="preserve"> </w:t>
      </w:r>
      <w:r>
        <w:t xml:space="preserve">coverage gaps); the non-neural contaminants, skeletal and cardiac muscle, fibroblast, and</w:t>
      </w:r>
      <w:r>
        <w:t xml:space="preserve"> </w:t>
      </w:r>
      <w:r>
        <w:t xml:space="preserve">adrenal-cortical cells, instead map to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fetal-body reference and number in the</w:t>
      </w:r>
      <w:r>
        <w:t xml:space="preserve"> </w:t>
      </w:r>
      <w:r>
        <w:t xml:space="preserve">thousands, making them the compartment on which the geometry method can be put to a fair test. The</w:t>
      </w:r>
      <w:r>
        <w:t xml:space="preserve"> </w:t>
      </w:r>
      <w:r>
        <w:t xml:space="preserve">disentanglement failure does not invalidate the geometry of these populations relative to one another.</w:t>
      </w:r>
      <w:r>
        <w:t xml:space="preserve"> </w:t>
      </w:r>
      <w:r>
        <w:t xml:space="preserve">Aim 3 compares off-target</w:t>
      </w:r>
      <w:r>
        <w:t xml:space="preserve"> </w:t>
      </w:r>
      <w:r>
        <w:rPr>
          <w:i/>
          <w:iCs/>
        </w:rPr>
        <w:t xml:space="preserve">organoid</w:t>
      </w:r>
      <w:r>
        <w:t xml:space="preserve"> </w:t>
      </w:r>
      <w:r>
        <w:t xml:space="preserve">populations against</w:t>
      </w:r>
      <w:r>
        <w:t xml:space="preserve"> </w:t>
      </w:r>
      <w:r>
        <w:rPr>
          <w:i/>
          <w:iCs/>
        </w:rPr>
        <w:t xml:space="preserve">each</w:t>
      </w:r>
      <w:r>
        <w:rPr>
          <w:i/>
          <w:iCs/>
        </w:rPr>
        <w:t xml:space="preserve"> </w:t>
      </w:r>
      <w:r>
        <w:rPr>
          <w:i/>
          <w:iCs/>
        </w:rPr>
        <w:t xml:space="preserve">other</w:t>
      </w:r>
      <w:r>
        <w:t xml:space="preserve">; if all such cells share the same organoid-versus-primary offset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, that offset is a</w:t>
      </w:r>
      <w:r>
        <w:t xml:space="preserve"> </w:t>
      </w:r>
      <w:r>
        <w:t xml:space="preserve">constant translation that cancels exactly in pairwise sliced-Wasserstein distances</w:t>
      </w:r>
      <w:r>
        <w:t xml:space="preserve"> </w:t>
      </w:r>
      <w:r>
        <w:t xml:space="preserve">(</w:t>
      </w:r>
      <m:oMath>
        <m:r>
          <m:t>W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rPr>
            <m:scr m:val="script"/>
            <m:sty m:val="p"/>
          </m:rP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rPr>
            <m:scr m:val="script"/>
            <m:sty m:val="p"/>
          </m:rPr>
          <m:t>B</m:t>
        </m:r>
        <m:r>
          <m:rPr>
            <m:sty m:val="p"/>
          </m:rPr>
          <m:t>)</m:t>
        </m:r>
      </m:oMath>
      <w:r>
        <w:t xml:space="preserve">)</w:t>
      </w:r>
      <w:r>
        <w:rPr>
          <w:vertAlign w:val="superscript"/>
        </w:rPr>
        <w:t xml:space="preserve">29</w:t>
      </w:r>
      <w:r>
        <w:t xml:space="preserve">, so the</w:t>
      </w:r>
      <w:r>
        <w:t xml:space="preserve"> </w:t>
      </w:r>
      <w:r>
        <w:t xml:space="preserve">shared contamination does not distort relative structure.</w:t>
      </w:r>
    </w:p>
    <w:p>
      <w:pPr>
        <w:pStyle w:val="BodyText"/>
      </w:pPr>
      <w:r>
        <w:t xml:space="preserve">This cancellation rests on one explicit assumption that we state plainly because the entire Aim 3 result</w:t>
      </w:r>
      <w:r>
        <w:t xml:space="preserve"> </w:t>
      </w:r>
      <w:r>
        <w:t xml:space="preserve">depends on it: the source offset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approximately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vector across the populations</w:t>
      </w:r>
      <w:r>
        <w:t xml:space="preserve"> </w:t>
      </w:r>
      <w:r>
        <w:t xml:space="preserve">compared. That constancy is not guaranteed, and it is not the constancy Gate B verified, Gate B</w:t>
      </w:r>
      <w:r>
        <w:t xml:space="preserve"> </w:t>
      </w:r>
      <w:r>
        <w:t xml:space="preserve">established offset-consistency among</w:t>
      </w:r>
      <w:r>
        <w:t xml:space="preserve"> </w:t>
      </w:r>
      <w:r>
        <w:rPr>
          <w:i/>
          <w:iCs/>
        </w:rPr>
        <w:t xml:space="preserve">on-target neural</w:t>
      </w:r>
      <w:r>
        <w:t xml:space="preserve"> </w:t>
      </w:r>
      <w:r>
        <w:t xml:space="preserve">cell types (cosine</w:t>
      </w:r>
      <w:r>
        <w:t xml:space="preserve"> </w:t>
      </w:r>
      <m:oMath>
        <m:r>
          <m:t>0.855</m:t>
        </m:r>
      </m:oMath>
      <w:r>
        <w:t xml:space="preserve">), whereas the</w:t>
      </w:r>
      <w:r>
        <w:t xml:space="preserve"> </w:t>
      </w:r>
      <w:r>
        <w:t xml:space="preserve">cancellation is applied to</w:t>
      </w:r>
      <w:r>
        <w:t xml:space="preserve"> </w:t>
      </w:r>
      <w:r>
        <w:rPr>
          <w:i/>
          <w:iCs/>
        </w:rPr>
        <w:t xml:space="preserve">off-target non-neural</w:t>
      </w:r>
      <w:r>
        <w:t xml:space="preserve"> </w:t>
      </w:r>
      <w:r>
        <w:t xml:space="preserve">populations, a different set of cells. The stress</w:t>
      </w:r>
      <w:r>
        <w:t xml:space="preserve"> </w:t>
      </w:r>
      <w:r>
        <w:t xml:space="preserve">biology cuts against strict constancy: if the unfolded-protein-response component scales with secretory</w:t>
      </w:r>
      <w:r>
        <w:t xml:space="preserve"> </w:t>
      </w:r>
      <w:r>
        <w:t xml:space="preserve">demand, the offset should be larger for secretory lineages (e.g., adrenal-cortical) than for muscle, so</w:t>
      </w:r>
      <w:r>
        <w:t xml:space="preserve"> </w:t>
      </w:r>
      <w:r>
        <w:t xml:space="preserve">part of a recovered</w:t>
      </w:r>
      <w:r>
        <w:t xml:space="preserve"> </w:t>
      </w:r>
      <w:r>
        <w:t xml:space="preserve">“lineage”</w:t>
      </w:r>
      <w:r>
        <w:t xml:space="preserve"> </w:t>
      </w:r>
      <w:r>
        <w:t xml:space="preserve">distance could in principle be differential-stress distance. Rather than</w:t>
      </w:r>
      <w:r>
        <w:t xml:space="preserve"> </w:t>
      </w:r>
      <w:r>
        <w:t xml:space="preserve">rely on the constant-offset assumption, we tested it directly, measuring the per-lineage dish vector</w:t>
      </w:r>
      <w:r>
        <w:t xml:space="preserve"> </w:t>
      </w:r>
      <w:r>
        <w:t xml:space="preserve">(organoid minus primary) for each of the four lineages and asking whether they coincide (Methods), and</w:t>
      </w:r>
      <w:r>
        <w:t xml:space="preserve"> </w:t>
      </w:r>
      <w:r>
        <w:t xml:space="preserve">report the outcome with the distances below, where it bounds how the geometry may be read.</w:t>
      </w:r>
    </w:p>
    <w:p>
      <w:pPr>
        <w:pStyle w:val="BodyText"/>
      </w:pPr>
      <w:r>
        <w:t xml:space="preserve">We computed pairwise lineage distances among the true off-target populations, controlling for sample</w:t>
      </w:r>
      <w:r>
        <w:t xml:space="preserve"> </w:t>
      </w:r>
      <w:r>
        <w:t xml:space="preserve">size by a rarefaction-derived minimum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) and a matched-</w:t>
      </w:r>
      <m:oMath>
        <m:r>
          <m:t>N</m:t>
        </m:r>
      </m:oMath>
      <w:r>
        <w:t xml:space="preserve"> </w:t>
      </w:r>
      <w:r>
        <w:t xml:space="preserve">self-distance noise floor; a</w:t>
      </w:r>
      <w:r>
        <w:t xml:space="preserve"> </w:t>
      </w:r>
      <w:r>
        <w:t xml:space="preserve">pair is called only if its cross-distance confidence interval clears the floor (Fig. </w:t>
      </w:r>
      <w:hyperlink w:anchor="fig:aim3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Of the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off-target populations, four</w:t>
      </w:r>
      <w:r>
        <w:t xml:space="preserve"> </w:t>
      </w:r>
      <w:r>
        <w:rPr>
          <w:i/>
          <w:iCs/>
        </w:rPr>
        <w:t xml:space="preserve">non-neural contaminant</w:t>
      </w:r>
      <w:r>
        <w:t xml:space="preserve"> </w:t>
      </w:r>
      <w:r>
        <w:t xml:space="preserve">lineages are well powered</w:t>
      </w:r>
      <w:r>
        <w:t xml:space="preserve"> </w:t>
      </w:r>
      <w:r>
        <w:t xml:space="preserve">(cortical-adrenal</w:t>
      </w:r>
      <w:r>
        <w:t xml:space="preserve"> </w:t>
      </w:r>
      <m:oMath>
        <m:r>
          <m:t>49</m:t>
        </m:r>
        <m:r>
          <m:rPr>
            <m:sty m:val="p"/>
          </m:rPr>
          <m:t>,</m:t>
        </m:r>
        <m:r>
          <m:t>338</m:t>
        </m:r>
      </m:oMath>
      <w:r>
        <w:t xml:space="preserve">; skeletal-muscle</w:t>
      </w:r>
      <w:r>
        <w:t xml:space="preserve"> </w:t>
      </w:r>
      <m:oMath>
        <m:r>
          <m:t>30</m:t>
        </m:r>
        <m:r>
          <m:rPr>
            <m:sty m:val="p"/>
          </m:rPr>
          <m:t>,</m:t>
        </m:r>
        <m:r>
          <m:t>629</m:t>
        </m:r>
      </m:oMath>
      <w:r>
        <w:t xml:space="preserve">; fibroblast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349</m:t>
        </m:r>
      </m:oMath>
      <w:r>
        <w:t xml:space="preserve">; cardiac-muscle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534</m:t>
        </m:r>
      </m:oMath>
      <w:r>
        <w:t xml:space="preserve">). All six pairwise</w:t>
      </w:r>
      <w:r>
        <w:t xml:space="preserve"> </w:t>
      </w:r>
      <w:r>
        <w:t xml:space="preserve">comparisons are real differences, each clearing the noise floor by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105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0.32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against floors of</w:t>
      </w:r>
      <w:r>
        <w:t xml:space="preserve"> </w:t>
      </w:r>
      <m:oMath>
        <m:r>
          <m:t>0.007</m:t>
        </m:r>
      </m:oMath>
      <w:r>
        <w:t xml:space="preserve">–</w:t>
      </w:r>
      <m:oMath>
        <m:r>
          <m:t>0.026</m:t>
        </m:r>
      </m:oMath>
      <w:r>
        <w:t xml:space="preserve">); the remaining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small-</w:t>
      </w:r>
      <m:oMath>
        <m:r>
          <m:t>N</m:t>
        </m:r>
      </m:oMath>
      <w:r>
        <w:t xml:space="preserve"> </w:t>
      </w:r>
      <w:r>
        <w:t xml:space="preserve">comparisons are correctly returned as underpowered.</w:t>
      </w:r>
    </w:p>
    <w:p>
      <w:pPr>
        <w:pStyle w:val="BodyText"/>
      </w:pPr>
      <w:r>
        <w:t xml:space="preserve">The direct test, however, shows the constant-offset assumption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hold for these</w:t>
      </w:r>
      <w:r>
        <w:t xml:space="preserve"> </w:t>
      </w:r>
      <w:r>
        <w:t xml:space="preserve">populations. The per-lineage dish vectors are mutually inconsistent (mean pairwise cosine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0.855</m:t>
        </m:r>
      </m:oMath>
      <w:r>
        <w:t xml:space="preserve"> </w:t>
      </w:r>
      <w:r>
        <w:t xml:space="preserve">for on-target neural types; only the two myogenic lineages align, at</w:t>
      </w:r>
      <w:r>
        <w:t xml:space="preserve"> </w:t>
      </w:r>
      <m:oMath>
        <m:r>
          <m:t>0.55</m:t>
        </m:r>
      </m:oMath>
      <w:r>
        <w:t xml:space="preserve">), and each pairwise</w:t>
      </w:r>
      <w:r>
        <w:t xml:space="preserve"> </w:t>
      </w:r>
      <w:r>
        <w:t xml:space="preserve">offset difference is comparable in magnitude to the lineage separation itself (ratio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</m:t>
        </m:r>
      </m:oMath>
      <w:r>
        <w:t xml:space="preserve">). The</w:t>
      </w:r>
      <w:r>
        <w:t xml:space="preserve"> </w:t>
      </w:r>
      <w:r>
        <w:t xml:space="preserve">individual distances are thus confounded by a lineage-dependent offset and cannot be read as clean</w:t>
      </w:r>
      <w:r>
        <w:t xml:space="preserve"> </w:t>
      </w:r>
      <w:r>
        <w:t xml:space="preserve">lineage metrics, the inter-lineage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survives only weakly (cosine</w:t>
      </w:r>
      <w:r>
        <w:t xml:space="preserve"> </w:t>
      </w:r>
      <m:oMath>
        <m:r>
          <m:t>0.29</m:t>
        </m:r>
      </m:oMath>
      <w:r>
        <w:t xml:space="preserve"> </w:t>
      </w:r>
      <w:r>
        <w:t xml:space="preserve">between the</w:t>
      </w:r>
      <w:r>
        <w:t xml:space="preserve"> </w:t>
      </w:r>
      <w:r>
        <w:t xml:space="preserve">organoid and primary inter-lineage vectors). What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survive is the rank structure: across the</w:t>
      </w:r>
      <w:r>
        <w:t xml:space="preserve"> </w:t>
      </w:r>
      <w:r>
        <w:t xml:space="preserve">six pairs the organoid and primary pairwise-distance matrices correlate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, so the metric still</w:t>
      </w:r>
      <w:r>
        <w:t xml:space="preserve"> </w:t>
      </w:r>
      <w:r>
        <w:t xml:space="preserve">orders the lineages as the primary reference does (the two myogenic populations closest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0.32</m:t>
        </m:r>
      </m:oMath>
      <w:r>
        <w:t xml:space="preserve">,</w:t>
      </w:r>
      <w:r>
        <w:t xml:space="preserve"> </w:t>
      </w:r>
      <w:r>
        <w:t xml:space="preserve">fibroblast most distant at</w:t>
      </w:r>
      <w:r>
        <w:t xml:space="preserve"> </w:t>
      </w:r>
      <m:oMath>
        <m:r>
          <m:t>W</m:t>
        </m:r>
        <m:r>
          <m:rPr>
            <m:sty m:val="p"/>
          </m:rPr>
          <m:t>≈</m:t>
        </m:r>
        <m:r>
          <m:t>0.96</m:t>
        </m:r>
      </m:oMath>
      <w:r>
        <w:t xml:space="preserve">–</w:t>
      </w:r>
      <m:oMath>
        <m:r>
          <m:t>0.99</m:t>
        </m:r>
      </m:oMath>
      <w:r>
        <w:t xml:space="preserve">, the steroidogenic adrenal-cortical population between;</w:t>
      </w:r>
      <w:r>
        <w:t xml:space="preserve"> </w:t>
      </w:r>
      <w:r>
        <w:t xml:space="preserve">Fig. </w:t>
      </w:r>
      <w:hyperlink w:anchor="fig:aim3">
        <w:r>
          <w:rPr>
            <w:rStyle w:val="Hyperlink"/>
          </w:rPr>
          <w:t xml:space="preserve">5</w:t>
        </w:r>
      </w:hyperlink>
      <w:r>
        <w:t xml:space="preserve">a,d). We therefore present Aim 3 as a</w:t>
      </w:r>
      <w:r>
        <w:t xml:space="preserve"> </w:t>
      </w:r>
      <w:r>
        <w:rPr>
          <w:i/>
          <w:iCs/>
        </w:rPr>
        <w:t xml:space="preserve">capability with a reference-validated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ordering, not a clean lineage geometry</w:t>
      </w:r>
      <w:r>
        <w:t xml:space="preserve">: the instrument produces statistically real, floor-clearing</w:t>
      </w:r>
      <w:r>
        <w:t xml:space="preserve"> </w:t>
      </w:r>
      <w:r>
        <w:t xml:space="preserve">distances whose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recovers primary lineage structure, whereas recovering true per-pair lineage</w:t>
      </w:r>
      <w:r>
        <w:t xml:space="preserve"> </w:t>
      </w:r>
      <w:r>
        <w:t xml:space="preserve">distances would require per-lineage offset removal or a matched-primary embedding. Ordering grossly</w:t>
      </w:r>
      <w:r>
        <w:t xml:space="preserve"> </w:t>
      </w:r>
      <w:r>
        <w:t xml:space="preserve">distinct lineages is in any case a low-bar capability check rather than a biological finding; its value</w:t>
      </w:r>
      <w:r>
        <w:t xml:space="preserve"> </w:t>
      </w:r>
      <w:r>
        <w:t xml:space="preserve">is to license turning the same construction on questions whose answer is not known in advance (below).</w:t>
      </w:r>
    </w:p>
    <w:bookmarkEnd w:id="13"/>
    <w:bookmarkEnd w:id="14"/>
    <w:bookmarkStart w:id="15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NullState turns the off-target problem of neural organoids into a quantitative, atlas-anchored</w:t>
      </w:r>
      <w:r>
        <w:t xml:space="preserve"> </w:t>
      </w:r>
      <w:r>
        <w:t xml:space="preserve">measurement. Three results have practical consequences. First, the off-manifold compartment is large</w:t>
      </w:r>
      <w:r>
        <w:t xml:space="preserve"> </w:t>
      </w:r>
      <w:r>
        <w:t xml:space="preserve">(</w:t>
      </w:r>
      <m:oMath>
        <m:r>
          <m:t>38.4</m:t>
        </m:r>
        <m:r>
          <m:rPr>
            <m:sty m:val="p"/>
          </m:rPr>
          <m:t>%</m:t>
        </m:r>
      </m:oMath>
      <w:r>
        <w:t xml:space="preserve">) but</w:t>
      </w:r>
      <w:r>
        <w:t xml:space="preserve"> </w:t>
      </w:r>
      <w:r>
        <w:rPr>
          <w:i/>
          <w:iCs/>
        </w:rPr>
        <w:t xml:space="preserve">legible</w:t>
      </w:r>
      <w:r>
        <w:t xml:space="preserve">: it decomposes into a reference-coverage gap and an in-vitro stress</w:t>
      </w:r>
      <w:r>
        <w:t xml:space="preserve"> </w:t>
      </w:r>
      <w:r>
        <w:t xml:space="preserve">program, each separately actionable. The reference-gap component argues for extending fetal references</w:t>
      </w:r>
      <w:r>
        <w:t xml:space="preserve"> </w:t>
      </w:r>
      <w:r>
        <w:t xml:space="preserve">beyond the first trimester and beyond cortex before off-manifold scores are interpreted as</w:t>
      </w:r>
      <w:r>
        <w:t xml:space="preserve"> </w:t>
      </w:r>
      <w:r>
        <w:t xml:space="preserve">“aberrant”</w:t>
      </w:r>
      <w:r>
        <w:t xml:space="preserve"> </w:t>
      </w:r>
      <w:r>
        <w:t xml:space="preserve">for non-cortical protocols; the stress component, intensifying with age and metabolic load and</w:t>
      </w:r>
      <w:r>
        <w:t xml:space="preserve"> </w:t>
      </w:r>
      <w:r>
        <w:t xml:space="preserve">mirroring</w:t>
      </w:r>
      <w:r>
        <w:rPr>
          <w:vertAlign w:val="superscript"/>
        </w:rPr>
        <w:t xml:space="preserve">6</w:t>
      </w:r>
      <w:r>
        <w:t xml:space="preserve">, provides a per-cell readout for evaluating</w:t>
      </w:r>
      <w:r>
        <w:t xml:space="preserve"> </w:t>
      </w:r>
      <w:r>
        <w:t xml:space="preserve">stress-mitigation strategies.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240-fold protocol spread is tempting to read as a fidelity</w:t>
      </w:r>
      <w:r>
        <w:t xml:space="preserve"> </w:t>
      </w:r>
      <w:r>
        <w:t xml:space="preserve">ranking, and we caution explicitly against that misuse: off-manifold burden measures distance from a</w:t>
      </w:r>
      <w:r>
        <w:t xml:space="preserve"> </w:t>
      </w:r>
      <w:r>
        <w:rPr>
          <w:i/>
          <w:iCs/>
        </w:rPr>
        <w:t xml:space="preserve">first-trimester, cortex-rich</w:t>
      </w:r>
      <w:r>
        <w:t xml:space="preserve"> </w:t>
      </w:r>
      <w:r>
        <w:t xml:space="preserve">reference, so a choroid-plexus protocol at</w:t>
      </w:r>
      <w:r>
        <w:t xml:space="preserve"> </w:t>
      </w:r>
      <m:oMath>
        <m:r>
          <m:t>96.8</m:t>
        </m:r>
        <m:r>
          <m:rPr>
            <m:sty m:val="p"/>
          </m:rPr>
          <m:t>%</m:t>
        </m:r>
      </m:oMath>
      <w:r>
        <w:t xml:space="preserve"> </w:t>
      </w:r>
      <w:r>
        <w:t xml:space="preserve">off-manifold is</w:t>
      </w:r>
      <w:r>
        <w:t xml:space="preserve"> </w:t>
      </w:r>
      <w:r>
        <w:t xml:space="preserve">largely</w:t>
      </w:r>
      <w:r>
        <w:t xml:space="preserve"> </w:t>
      </w:r>
      <w:r>
        <w:rPr>
          <w:i/>
          <w:iCs/>
        </w:rPr>
        <w:t xml:space="preserve">reference-absent</w:t>
      </w:r>
      <w:r>
        <w:t xml:space="preserve">, non-cortical and later than HDBCA covers, rather than</w:t>
      </w:r>
      <w:r>
        <w:t xml:space="preserve"> </w:t>
      </w:r>
      <m:oMath>
        <m:r>
          <m:t>96.8</m:t>
        </m:r>
        <m:r>
          <m:rPr>
            <m:sty m:val="p"/>
          </m:rPr>
          <m:t>%</m:t>
        </m:r>
      </m:oMath>
      <w:r>
        <w:t xml:space="preserve"> </w:t>
      </w:r>
      <w:r>
        <w:t xml:space="preserve">aberrant. The axis ranks</w:t>
      </w:r>
      <w:r>
        <w:t xml:space="preserve"> </w:t>
      </w:r>
      <w:r>
        <w:t xml:space="preserve">“how far from early cortex,”</w:t>
      </w:r>
      <w:r>
        <w:t xml:space="preserve"> </w:t>
      </w:r>
      <w:r>
        <w:t xml:space="preserve">conflating genuine in-vitro defect with region</w:t>
      </w:r>
      <w:r>
        <w:t xml:space="preserve"> </w:t>
      </w:r>
      <w:r>
        <w:t xml:space="preserve">and stage mismatch; it is a fidelity axis only for protocols that target the reference’s own domain, or</w:t>
      </w:r>
      <w:r>
        <w:t xml:space="preserve"> </w:t>
      </w:r>
      <w:r>
        <w:t xml:space="preserve">once the reference is broadened. Read otherwise, it would mis-rank faithfully regionalized organoids</w:t>
      </w:r>
      <w:r>
        <w:t xml:space="preserve"> </w:t>
      </w:r>
      <w:r>
        <w:t xml:space="preserve">(choroid plexus, midbrain, thalamus) as the worst performers, which they are not.</w:t>
      </w:r>
    </w:p>
    <w:p>
      <w:pPr>
        <w:pStyle w:val="BodyText"/>
      </w:pPr>
      <w:r>
        <w:t xml:space="preserve">Second, our negative disentanglement result is useful precisely because it is characterized, and we are</w:t>
      </w:r>
      <w:r>
        <w:t xml:space="preserve"> </w:t>
      </w:r>
      <w:r>
        <w:t xml:space="preserve">deliberate about what it does and does not claim. The widespread intuition that a contrastive or</w:t>
      </w:r>
      <w:r>
        <w:t xml:space="preserve"> </w:t>
      </w:r>
      <w:r>
        <w:t xml:space="preserve">batch-aware latent can</w:t>
      </w:r>
      <w:r>
        <w:t xml:space="preserve"> </w:t>
      </w:r>
      <w:r>
        <w:t xml:space="preserve">“subtract the dish”</w:t>
      </w:r>
      <w:r>
        <w:t xml:space="preserve"> </w:t>
      </w:r>
      <w:r>
        <w:t xml:space="preserve">presupposes that the organoid-versus-primary difference is a</w:t>
      </w:r>
      <w:r>
        <w:t xml:space="preserve"> </w:t>
      </w:r>
      <w:r>
        <w:t xml:space="preserve">separable nuisance subspace. We show that in this regime it is not, it is a pervasive, encoder-visible</w:t>
      </w:r>
      <w:r>
        <w:t xml:space="preserve"> </w:t>
      </w:r>
      <w:r>
        <w:t xml:space="preserve">shift, so shared-latent methods cannot produce a source-invariant lineage axis regardless of salient</w:t>
      </w:r>
      <w:r>
        <w:t xml:space="preserve"> </w:t>
      </w:r>
      <w:r>
        <w:t xml:space="preserve">capacity or decoder batch conditioning. That methodological conclusion holds whether the shift is</w:t>
      </w:r>
      <w:r>
        <w:t xml:space="preserve"> </w:t>
      </w:r>
      <w:r>
        <w:t xml:space="preserve">biological or technical in origin; the separate evidence that its dominant component is specifically the</w:t>
      </w:r>
      <w:r>
        <w:t xml:space="preserve"> </w:t>
      </w:r>
      <w:r>
        <w:t xml:space="preserve">in-vitro stress state comes from the Aim 2 diagnostics, not from the adversary, and the two should not be</w:t>
      </w:r>
      <w:r>
        <w:t xml:space="preserve"> </w:t>
      </w:r>
      <w:r>
        <w:t xml:space="preserve">conflated. Methods that intervene at the encoder (e.g., adversarial or invariance-penalized encoders) or</w:t>
      </w:r>
      <w:r>
        <w:t xml:space="preserve"> </w:t>
      </w:r>
      <w:r>
        <w:t xml:space="preserve">that operate distributionally rather than per-cell are the appropriate next step.</w:t>
      </w:r>
    </w:p>
    <w:p>
      <w:pPr>
        <w:pStyle w:val="BodyText"/>
      </w:pPr>
      <w:r>
        <w:t xml:space="preserve">Third, the quantity Aim 3 needs,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geometry of off-target populations, survives the</w:t>
      </w:r>
      <w:r>
        <w:t xml:space="preserve"> </w:t>
      </w:r>
      <w:r>
        <w:t xml:space="preserve">disentanglement failure only in part. The cancellation argument requires a per-lineage-constant source</w:t>
      </w:r>
      <w:r>
        <w:t xml:space="preserve"> </w:t>
      </w:r>
      <w:r>
        <w:t xml:space="preserve">offset, and a direct test shows that offset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for these populations (mutual cosine</w:t>
      </w:r>
      <w:r>
        <w:t xml:space="preserve"> </w:t>
      </w:r>
      <m:oMath>
        <m:r>
          <m:t>0.15</m:t>
        </m:r>
      </m:oMath>
      <w:r>
        <w:t xml:space="preserve">, against</w:t>
      </w:r>
      <w:r>
        <w:t xml:space="preserve"> </w:t>
      </w:r>
      <m:oMath>
        <m:r>
          <m:t>0.855</m:t>
        </m:r>
      </m:oMath>
      <w:r>
        <w:t xml:space="preserve"> </w:t>
      </w:r>
      <w:r>
        <w:t xml:space="preserve">for on-target neural types), so the recovered distances are confounded. What is</w:t>
      </w:r>
      <w:r>
        <w:t xml:space="preserve"> </w:t>
      </w:r>
      <w:r>
        <w:t xml:space="preserve">validated is their</w:t>
      </w:r>
      <w:r>
        <w:t xml:space="preserve"> </w:t>
      </w:r>
      <w:r>
        <w:rPr>
          <w:i/>
          <w:iCs/>
        </w:rPr>
        <w:t xml:space="preserve">rank order</w:t>
      </w:r>
      <w:r>
        <w:t xml:space="preserve">, which recovers the primary lineage structure (distance-matrix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). Aim 3 is therefore a working capability with a reference-anchored ordering, a comparison axis</w:t>
      </w:r>
      <w:r>
        <w:t xml:space="preserve"> </w:t>
      </w:r>
      <w:r>
        <w:t xml:space="preserve">whose ranking can be trusted today, rather than a clean lineage geometry or a finished biological</w:t>
      </w:r>
      <w:r>
        <w:t xml:space="preserve"> </w:t>
      </w:r>
      <w:r>
        <w:t xml:space="preserve">result; its metric awaits per-lineage offset removal or a matched-primary embedding.</w:t>
      </w:r>
    </w:p>
    <w:p>
      <w:pPr>
        <w:pStyle w:val="BodyText"/>
      </w:pPr>
      <w:r>
        <w:t xml:space="preserve">Limitations follow directly from the analysis. Off-manifold status conflates reference gap with</w:t>
      </w:r>
      <w:r>
        <w:t xml:space="preserve"> </w:t>
      </w:r>
      <w:r>
        <w:t xml:space="preserve">biological aberrance, so absolute off-target rates are reference-dependent and should be read</w:t>
      </w:r>
      <w:r>
        <w:t xml:space="preserve"> </w:t>
      </w:r>
      <w:r>
        <w:t xml:space="preserve">comparatively; indeed the pervasive organoid-versus-primary source gap displaces even clean,</w:t>
      </w:r>
      <w:r>
        <w:t xml:space="preserve"> </w:t>
      </w:r>
      <w:r>
        <w:t xml:space="preserve">HDBCA-validated cells from an independent atlas, so the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coverage-gap fraction is not</w:t>
      </w:r>
      <w:r>
        <w:t xml:space="preserve"> </w:t>
      </w:r>
      <w:r>
        <w:t xml:space="preserve">directly measurable (Fig. </w:t>
      </w:r>
      <w:hyperlink w:anchor="fig:ref2">
        <w:r>
          <w:rPr>
            <w:rStyle w:val="Hyperlink"/>
          </w:rPr>
          <w:t xml:space="preserve">6</w:t>
        </w:r>
      </w:hyperlink>
      <w:r>
        <w:t xml:space="preserve">). The protocol gradient and the clean-calibrated cross-atlas</w:t>
      </w:r>
      <w:r>
        <w:t xml:space="preserve"> </w:t>
      </w:r>
      <w:r>
        <w:t xml:space="preserve">contrast are the available evidence, and they agree on a mixture rather than on either pole. The</w:t>
      </w:r>
      <w:r>
        <w:t xml:space="preserve"> </w:t>
      </w:r>
      <w:r>
        <w:t xml:space="preserve">dish-vector and stress scores are signature-based proxies, partially corroborated by the maturation</w:t>
      </w:r>
      <w:r>
        <w:t xml:space="preserve"> </w:t>
      </w:r>
      <w:r>
        <w:t xml:space="preserve">correlation and the independent-atlas divergence signal. The well-powered Aim 3</w:t>
      </w:r>
      <w:r>
        <w:t xml:space="preserve"> </w:t>
      </w:r>
      <w:r>
        <w:t xml:space="preserve">populations are non-neural off-target lineages; neural off-target geometry awaits a reference that</w:t>
      </w:r>
      <w:r>
        <w:t xml:space="preserve"> </w:t>
      </w:r>
      <w:r>
        <w:t xml:space="preserve">closes the coverage gap. And, as shown in the Results, the cancellation that licenses Aim 3 assumes a</w:t>
      </w:r>
      <w:r>
        <w:t xml:space="preserve"> </w:t>
      </w:r>
      <w:r>
        <w:t xml:space="preserve">per-lineage-constant source offset that a direct test finds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hold (mutual cosine</w:t>
      </w:r>
      <w:r>
        <w:t xml:space="preserve"> </w:t>
      </w:r>
      <m:oMath>
        <m:r>
          <m:t>0.15</m:t>
        </m:r>
      </m:oMath>
      <w:r>
        <w:t xml:space="preserve">);</w:t>
      </w:r>
      <w:r>
        <w:t xml:space="preserve"> </w:t>
      </w:r>
      <w:r>
        <w:t xml:space="preserve">the recovered distances are accordingly confounded, and only their rank order, validated against the</w:t>
      </w:r>
      <w:r>
        <w:t xml:space="preserve"> </w:t>
      </w:r>
      <w:r>
        <w:t xml:space="preserve">primary reference (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), should be relied on.</w:t>
      </w:r>
    </w:p>
    <w:p>
      <w:pPr>
        <w:pStyle w:val="BodyText"/>
      </w:pPr>
      <w:r>
        <w:t xml:space="preserve">Finally, and most consequentially, the disentanglement wall does not close the convergence question that</w:t>
      </w:r>
      <w:r>
        <w:t xml:space="preserve"> </w:t>
      </w:r>
      <w:r>
        <w:t xml:space="preserve">motivated this work, it reroutes it. The same translation invariance that rescues Aim 3 is itself a way</w:t>
      </w:r>
      <w:r>
        <w:t xml:space="preserve"> </w:t>
      </w:r>
      <w:r>
        <w:t xml:space="preserve">to ask whether cell types of different developmental origin converge,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ever constructing a</w:t>
      </w:r>
      <w:r>
        <w:t xml:space="preserve"> </w:t>
      </w:r>
      <w:r>
        <w:t xml:space="preserve">source-invariant per-cell coordinate: to test whether, say, brain-derived and kidney-derived mesenchyme</w:t>
      </w:r>
      <w:r>
        <w:t xml:space="preserve"> </w:t>
      </w:r>
      <w:r>
        <w:t xml:space="preserve">have arrived at the same state, one needs only their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geometry in a space where the shared</w:t>
      </w:r>
      <w:r>
        <w:t xml:space="preserve"> </w:t>
      </w:r>
      <w:r>
        <w:t xml:space="preserve">source offset cancels, the construction demonstrated here, with the proviso, made concrete by Aim 3,</w:t>
      </w:r>
      <w:r>
        <w:t xml:space="preserve"> </w:t>
      </w:r>
      <w:r>
        <w:t xml:space="preserve">that the shared offset must actually be constant across the compared populations or be explicitly</w:t>
      </w:r>
      <w:r>
        <w:t xml:space="preserve"> </w:t>
      </w:r>
      <w:r>
        <w:t xml:space="preserve">removed: a checkable condition, not a free lunch. A cross-germ-layer convergence study therefore runs</w:t>
      </w:r>
      <w:r>
        <w:t xml:space="preserve"> </w:t>
      </w:r>
      <w:r>
        <w:t xml:space="preserve">through the cancellation logic and an offset-constancy check, not through repairing contrastive</w:t>
      </w:r>
      <w:r>
        <w:t xml:space="preserve"> </w:t>
      </w:r>
      <w:r>
        <w:t xml:space="preserve">disentanglement; the negative result is not a detour away from that goal but the identification of which</w:t>
      </w:r>
      <w:r>
        <w:t xml:space="preserve"> </w:t>
      </w:r>
      <w:r>
        <w:t xml:space="preserve">road does not reach it, together with a partly working vehicle, and a clear specification of the</w:t>
      </w:r>
      <w:r>
        <w:t xml:space="preserve"> </w:t>
      </w:r>
      <w:r>
        <w:t xml:space="preserve">remaining repair, for the road that does. Framed as a statement about what is</w:t>
      </w:r>
      <w:r>
        <w:t xml:space="preserve"> </w:t>
      </w:r>
      <w:r>
        <w:t xml:space="preserve">recoverable from which data, an identifiability boundary for calibration without anchoring, the</w:t>
      </w:r>
      <w:r>
        <w:t xml:space="preserve"> </w:t>
      </w:r>
      <w:r>
        <w:t xml:space="preserve">characterized negative is a methods contribution in its own right.</w:t>
      </w:r>
    </w:p>
    <w:bookmarkEnd w:id="15"/>
    <w:bookmarkStart w:id="110" w:name="methods"/>
    <w:p>
      <w:pPr>
        <w:pStyle w:val="Heading1"/>
      </w:pPr>
      <w:r>
        <w:t xml:space="preserve">Methods</w:t>
      </w:r>
    </w:p>
    <w:bookmarkStart w:id="16" w:name="reference-construction."/>
    <w:p>
      <w:pPr>
        <w:pStyle w:val="Heading4"/>
      </w:pPr>
      <w:r>
        <w:t xml:space="preserve">Reference construction.</w:t>
      </w:r>
    </w:p>
    <w:p>
      <w:pPr>
        <w:pStyle w:val="FirstParagraph"/>
      </w:pPr>
      <w:r>
        <w:t xml:space="preserve">Raw-count fetal data were retrieved from the CZ CELLxGENE Discover</w:t>
      </w:r>
      <w:r>
        <w:t xml:space="preserve"> </w:t>
      </w:r>
      <w:r>
        <w:t xml:space="preserve">Census</w:t>
      </w:r>
      <w:r>
        <w:rPr>
          <w:vertAlign w:val="superscript"/>
        </w:rPr>
        <w:t xml:space="preserve">15</w:t>
      </w:r>
      <w:r>
        <w:t xml:space="preserve">: the full first-trimester HDBCA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as the neural</w:t>
      </w:r>
      <w:r>
        <w:t xml:space="preserve"> </w:t>
      </w:r>
      <w:r>
        <w:t xml:space="preserve">core, and non-neural compartments of a fetal-body atlas</w:t>
      </w:r>
      <w:r>
        <w:rPr>
          <w:vertAlign w:val="superscript"/>
        </w:rPr>
        <w:t xml:space="preserve">11</w:t>
      </w:r>
      <w:r>
        <w:t xml:space="preserve"> </w:t>
      </w:r>
      <w:r>
        <w:t xml:space="preserve">filtered at the</w:t>
      </w:r>
      <w:r>
        <w:t xml:space="preserve"> </w:t>
      </w:r>
      <w:r>
        <w:t xml:space="preserve">Census level to the relevant ontology cell types (mesoderm, endoderm, neural-crest origins). Gene</w:t>
      </w:r>
      <w:r>
        <w:t xml:space="preserve"> </w:t>
      </w:r>
      <w:r>
        <w:t xml:space="preserve">identifiers were harmonized to Ensembl; counts were verified as integer UMIs prior to training. A</w:t>
      </w:r>
      <w:r>
        <w:t xml:space="preserve"> </w:t>
      </w:r>
      <w:r>
        <w:t xml:space="preserve">lineage</w:t>
      </w:r>
      <w:r>
        <w:t xml:space="preserve"> </w:t>
      </w:r>
      <w:r>
        <w:rPr>
          <w:i/>
          <w:iCs/>
        </w:rPr>
        <w:t xml:space="preserve">origin</w:t>
      </w:r>
      <w:r>
        <w:t xml:space="preserve"> </w:t>
      </w:r>
      <w:r>
        <w:t xml:space="preserve">label was assigned to each reference cell through a curated cell-type</w:t>
      </w:r>
      <m:oMath>
        <m:r>
          <m:rPr>
            <m:sty m:val="p"/>
          </m:rPr>
          <m:t>→</m:t>
        </m:r>
      </m:oMath>
      <w:r>
        <w:t xml:space="preserve">origin</w:t>
      </w:r>
      <w:r>
        <w:t xml:space="preserve"> </w:t>
      </w:r>
      <w:r>
        <w:t xml:space="preserve">map; only the generic</w:t>
      </w:r>
      <w:r>
        <w:t xml:space="preserve"> </w:t>
      </w:r>
      <w:r>
        <w:t xml:space="preserve">“cell”</w:t>
      </w:r>
      <w:r>
        <w:t xml:space="preserve"> </w:t>
      </w:r>
      <w:r>
        <w:t xml:space="preserve">type was permitted to remain unmapped.</w:t>
      </w:r>
    </w:p>
    <w:bookmarkEnd w:id="16"/>
    <w:bookmarkStart w:id="17" w:name="mapping-by-reference-surgery."/>
    <w:p>
      <w:pPr>
        <w:pStyle w:val="Heading4"/>
      </w:pPr>
      <w:r>
        <w:t xml:space="preserve">Mapping by reference surgery.</w:t>
      </w:r>
    </w:p>
    <w:p>
      <w:pPr>
        <w:pStyle w:val="FirstParagraph"/>
      </w:pPr>
      <w:r>
        <w:t xml:space="preserve">We trained scVI (400 epochs, donor batch key) and scANVI on</w:t>
      </w:r>
      <w:r>
        <w:t xml:space="preserve"> </w:t>
      </w:r>
      <w:r>
        <w:t xml:space="preserve">the reference, then mapped the HNOCA query</w:t>
      </w:r>
      <w:r>
        <w:rPr>
          <w:vertAlign w:val="superscript"/>
        </w:rPr>
        <w:t xml:space="preserve">9</w:t>
      </w:r>
      <w:r>
        <w:t xml:space="preserve"> </w:t>
      </w:r>
      <w:r>
        <w:t xml:space="preserve">by scArches architectural surgery,</w:t>
      </w:r>
      <w:r>
        <w:t xml:space="preserve"> </w:t>
      </w:r>
      <w:r>
        <w:t xml:space="preserve">using the implementations in scvi-tools</w:t>
      </w:r>
      <w:r>
        <w:rPr>
          <w:vertAlign w:val="superscript"/>
        </w:rPr>
        <w:t xml:space="preserve">12–14,16</w:t>
      </w:r>
      <w:r>
        <w:t xml:space="preserve">.</w:t>
      </w:r>
      <w:r>
        <w:t xml:space="preserve"> </w:t>
      </w:r>
      <w:r>
        <w:t xml:space="preserve">Organoid raw UMI counts were taken from the CELLxGENE HNOCA copy. Surgery stability at atlas scale</w:t>
      </w:r>
      <w:r>
        <w:t xml:space="preserve"> </w:t>
      </w:r>
      <w:r>
        <w:t xml:space="preserve">required (i) dropping non-UMI read-count cells (per-cell maximum count</w:t>
      </w:r>
      <w:r>
        <w:t xml:space="preserve"> </w:t>
      </w:r>
      <m:oMath>
        <m:r>
          <m:rPr>
            <m:sty m:val="p"/>
          </m:rPr>
          <m:t>&gt;</m:t>
        </m:r>
        <m:r>
          <m:t>1000</m:t>
        </m:r>
      </m:oMath>
      <w:r>
        <w:t xml:space="preserve">) and (ii) a learning-rate,</w:t>
      </w:r>
      <w:r>
        <w:t xml:space="preserve"> </w:t>
      </w:r>
      <w:r>
        <w:t xml:space="preserve">gradient-clipping, and KL-warmup schedule; without these the negative-binomial encoder diverged to</w:t>
      </w:r>
      <w:r>
        <w:t xml:space="preserve"> </w:t>
      </w:r>
      <w:r>
        <w:t xml:space="preserve">NaN.</w:t>
      </w:r>
    </w:p>
    <w:bookmarkEnd w:id="17"/>
    <w:bookmarkStart w:id="18" w:name="scoring-and-classification."/>
    <w:p>
      <w:pPr>
        <w:pStyle w:val="Heading4"/>
      </w:pPr>
      <w:r>
        <w:t xml:space="preserve">Scoring and classification.</w:t>
      </w:r>
    </w:p>
    <w:p>
      <w:pPr>
        <w:pStyle w:val="FirstParagraph"/>
      </w:pPr>
      <w:r>
        <w:t xml:space="preserve">For each query cell we computed a label-assignment entropy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over scANVI posteriors and an off-manifold reconstruction distance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in the latent space.</w:t>
      </w:r>
      <w:r>
        <w:t xml:space="preserve"> </w:t>
      </w:r>
      <w:r>
        <w:t xml:space="preserve">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were calibrated on a held-out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reference cells (off-manifold</w:t>
      </w:r>
      <w:r>
        <w:t xml:space="preserve"> </w:t>
      </w:r>
      <w:r>
        <w:t xml:space="preserve">nearest-neighbor distances fit excluding the held-out set to avoid self-neighbor deflation). The</w:t>
      </w:r>
      <w:r>
        <w:t xml:space="preserve"> </w:t>
      </w:r>
      <w:r>
        <w:t xml:space="preserve">six-state taxonomy combines on/off-manifold status (</w:t>
      </w:r>
      <m:oMath>
        <m:r>
          <m:t>ρ</m:t>
        </m:r>
      </m:oMath>
      <w:r>
        <w:t xml:space="preserve"> </w:t>
      </w:r>
      <w:r>
        <w:t xml:space="preserve">vs. </w:t>
      </w:r>
      <m:oMath>
        <m:sSub>
          <m:e>
            <m:r>
              <m:t>τ</m:t>
            </m:r>
          </m:e>
          <m:sub>
            <m:r>
              <m:t>R</m:t>
            </m:r>
          </m:sub>
        </m:sSub>
      </m:oMath>
      <w:r>
        <w:t xml:space="preserve">), label confidence (</w:t>
      </w:r>
      <m:oMath>
        <m:r>
          <m:t>H</m:t>
        </m:r>
      </m:oMath>
      <w:r>
        <w:t xml:space="preserve"> </w:t>
      </w:r>
      <w:r>
        <w:t xml:space="preserve">vs. </w:t>
      </w:r>
      <m:oMath>
        <m:sSub>
          <m:e>
            <m:r>
              <m:t>τ</m:t>
            </m:r>
          </m:e>
          <m:sub>
            <m:r>
              <m:t>H</m:t>
            </m:r>
          </m:sub>
        </m:sSub>
      </m:oMath>
      <w:r>
        <w:t xml:space="preserve">), and the lineage origin of the assigned label.</w:t>
      </w:r>
    </w:p>
    <w:bookmarkEnd w:id="18"/>
    <w:bookmarkStart w:id="19" w:name="diagnostics."/>
    <w:p>
      <w:pPr>
        <w:pStyle w:val="Heading4"/>
      </w:pPr>
      <w:r>
        <w:t xml:space="preserve">Diagnostics.</w:t>
      </w:r>
    </w:p>
    <w:p>
      <w:pPr>
        <w:pStyle w:val="FirstParagraph"/>
      </w:pPr>
      <w:r>
        <w:t xml:space="preserve">Gene-set scores (neural progenitor, neuron, glia, hypoxia</w:t>
      </w:r>
      <w:r>
        <w:rPr>
          <w:vertAlign w:val="superscript"/>
        </w:rPr>
        <w:t xml:space="preserve">19</w:t>
      </w:r>
      <w:r>
        <w:t xml:space="preserve">, unfolded-protein response, glycolysis) were computed with</w:t>
      </w:r>
      <w:r>
        <w:t xml:space="preserve"> </w:t>
      </w:r>
      <w:r>
        <w:rPr>
          <w:rStyle w:val="VerbatimChar"/>
        </w:rPr>
        <w:t xml:space="preserve">scanpy.tl.score_genes</w:t>
      </w:r>
      <w:r>
        <w:t xml:space="preserve"> </w:t>
      </w:r>
      <w:r>
        <w:t xml:space="preserve">on log-normalized expression. Maturation was assessed against organoid</w:t>
      </w:r>
      <w:r>
        <w:t xml:space="preserve"> </w:t>
      </w:r>
      <w:r>
        <w:t xml:space="preserve">age and a detected-gene potency proxy</w:t>
      </w:r>
      <w:r>
        <w:rPr>
          <w:vertAlign w:val="superscript"/>
        </w:rPr>
        <w:t xml:space="preserve">20</w:t>
      </w:r>
      <w:r>
        <w:t xml:space="preserve">; protocol stratification used the</w:t>
      </w:r>
      <w:r>
        <w:t xml:space="preserve"> </w:t>
      </w:r>
      <w:r>
        <w:t xml:space="preserve">atlas</w:t>
      </w:r>
      <w:r>
        <w:t xml:space="preserve"> </w:t>
      </w:r>
      <w:r>
        <w:rPr>
          <w:rStyle w:val="VerbatimChar"/>
        </w:rPr>
        <w:t xml:space="preserve">assay_differentiation</w:t>
      </w:r>
      <w:r>
        <w:t xml:space="preserve"> </w:t>
      </w:r>
      <w:r>
        <w:t xml:space="preserve">annotation; cluster coherence used Leiden communities</w:t>
      </w:r>
      <w:r>
        <w:rPr>
          <w:vertAlign w:val="superscript"/>
        </w:rPr>
        <w:t xml:space="preserve">25</w:t>
      </w:r>
      <w:r>
        <w:t xml:space="preserve"> </w:t>
      </w:r>
      <w:r>
        <w:t xml:space="preserve">on the scPoli embedding.</w:t>
      </w:r>
    </w:p>
    <w:bookmarkEnd w:id="19"/>
    <w:bookmarkStart w:id="20" w:name="disentanglement."/>
    <w:p>
      <w:pPr>
        <w:pStyle w:val="Heading4"/>
      </w:pPr>
      <w:r>
        <w:t xml:space="preserve">Disentanglement.</w:t>
      </w:r>
    </w:p>
    <w:p>
      <w:pPr>
        <w:pStyle w:val="FirstParagraph"/>
      </w:pPr>
      <w:r>
        <w:t xml:space="preserve">contrastiveVI</w:t>
      </w:r>
      <w:r>
        <w:rPr>
          <w:vertAlign w:val="superscript"/>
        </w:rPr>
        <w:t xml:space="preserve">28</w:t>
      </w:r>
      <w:r>
        <w:t xml:space="preserve"> </w:t>
      </w:r>
      <w:r>
        <w:t xml:space="preserve">was trained with primary</w:t>
      </w:r>
      <w:r>
        <w:t xml:space="preserve"> </w:t>
      </w:r>
      <w:r>
        <w:t xml:space="preserve">fetal on-target cells as background and organoid on-target cells as target (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each, 2000</w:t>
      </w:r>
      <w:r>
        <w:t xml:space="preserve"> </w:t>
      </w:r>
      <w:r>
        <w:t xml:space="preserve">highly variable genes, raw-count layer). Disentanglement was scored by a five-fold cross-validated</w:t>
      </w:r>
      <w:r>
        <w:t xml:space="preserve"> </w:t>
      </w:r>
      <w:r>
        <w:t xml:space="preserve">logistic-regression adversary predicting organoid-versus-primary origin from the background latent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(balanced accuracy). Interventions: salient dimension</w:t>
      </w:r>
      <w:r>
        <w:t xml:space="preserve"> </w:t>
      </w:r>
      <m:oMath>
        <m:r>
          <m:t>10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30</m:t>
        </m:r>
      </m:oMath>
      <w:r>
        <w:t xml:space="preserve">, and a source</w:t>
      </w:r>
      <w:r>
        <w:t xml:space="preserve"> </w:t>
      </w:r>
      <w:r>
        <w:t xml:space="preserve">batch covariate registered through</w:t>
      </w:r>
      <w:r>
        <w:t xml:space="preserve"> </w:t>
      </w:r>
      <w:r>
        <w:rPr>
          <w:rStyle w:val="VerbatimChar"/>
        </w:rPr>
        <w:t xml:space="preserve">setup_anndata</w:t>
      </w:r>
      <w:r>
        <w:t xml:space="preserve">.</w:t>
      </w:r>
    </w:p>
    <w:bookmarkEnd w:id="20"/>
    <w:bookmarkStart w:id="21" w:name="second-reference-test."/>
    <w:p>
      <w:pPr>
        <w:pStyle w:val="Heading4"/>
      </w:pPr>
      <w:r>
        <w:t xml:space="preserve">Second-reference test.</w:t>
      </w:r>
    </w:p>
    <w:p>
      <w:pPr>
        <w:pStyle w:val="FirstParagraph"/>
      </w:pPr>
      <w:r>
        <w:t xml:space="preserve">To probe coverage gap versus divergence directly, we jointly</w:t>
      </w:r>
      <w:r>
        <w:t xml:space="preserve"> </w:t>
      </w:r>
      <w:r>
        <w:t xml:space="preserve">integrated</w:t>
      </w:r>
      <w:r>
        <w:t xml:space="preserve"> </w:t>
      </w:r>
      <m:oMath>
        <m:r>
          <m:t>30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ambiguous-novel and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clean-on-target neural organoid cells with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prenatal cells of an independent cortical atlas (Velmeshev</w:t>
      </w:r>
      <w:r>
        <w:t xml:space="preserve"> </w:t>
      </w:r>
      <w:r>
        <w:rPr>
          <w:i/>
          <w:iCs/>
        </w:rPr>
        <w:t xml:space="preserve">et al.</w:t>
      </w:r>
      <w:r>
        <w:rPr>
          <w:vertAlign w:val="superscript"/>
        </w:rPr>
        <w:t xml:space="preserve">27</w:t>
      </w:r>
      <w:r>
        <w:t xml:space="preserve">; gestational</w:t>
      </w:r>
      <w:r>
        <w:t xml:space="preserve"> </w:t>
      </w:r>
      <w:r>
        <w:t xml:space="preserve">“LMP-month”</w:t>
      </w:r>
      <w:r>
        <w:t xml:space="preserve"> </w:t>
      </w:r>
      <w:r>
        <w:t xml:space="preserve">stages, drawn from the CELLxGENE Census) using</w:t>
      </w:r>
      <w:r>
        <w:t xml:space="preserve"> </w:t>
      </w:r>
      <w:r>
        <w:t xml:space="preserve">scVI with the dataset as batch key (</w:t>
      </w:r>
      <m:oMath>
        <m:r>
          <m:t>3000</m:t>
        </m:r>
      </m:oMath>
      <w:r>
        <w:t xml:space="preserve"> </w:t>
      </w:r>
      <w:r>
        <w:t xml:space="preserve">shared highly variable genes,</w:t>
      </w:r>
      <w:r>
        <w:t xml:space="preserve"> </w:t>
      </w:r>
      <m:oMath>
        <m:r>
          <m:t>30</m:t>
        </m:r>
      </m:oMath>
      <w:r>
        <w:t xml:space="preserve">-dimensional latent). Each</w:t>
      </w:r>
      <w:r>
        <w:t xml:space="preserve"> </w:t>
      </w:r>
      <w:r>
        <w:t xml:space="preserve">organoid cell’s off-manifold score is its mean distance to the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nearest reference cells in the</w:t>
      </w:r>
      <w:r>
        <w:t xml:space="preserve"> </w:t>
      </w:r>
      <w:r>
        <w:t xml:space="preserve">integrated latent. Because clean and ambiguous-novel cells share the same organoid-versus-reference</w:t>
      </w:r>
      <w:r>
        <w:t xml:space="preserve"> </w:t>
      </w:r>
      <w:r>
        <w:t xml:space="preserve">displacement, the absolute on-manifold fraction is confounded; we therefore calibrate against the clean</w:t>
      </w:r>
      <w:r>
        <w:t xml:space="preserve"> </w:t>
      </w:r>
      <w:r>
        <w:t xml:space="preserve">distribution and report the clean-versus-ambiguous-novel effect size (Mann–Whitney AUC, Cliff’s</w:t>
      </w:r>
      <w:r>
        <w:t xml:space="preserve"> </w:t>
      </w:r>
      <m:oMath>
        <m:r>
          <m:t>δ</m:t>
        </m:r>
      </m:oMath>
      <w:r>
        <w:t xml:space="preserve">) and the fraction of ambiguous-novel cells beyond clean percentiles.</w:t>
      </w:r>
    </w:p>
    <w:bookmarkEnd w:id="21"/>
    <w:bookmarkStart w:id="22" w:name="geometry."/>
    <w:p>
      <w:pPr>
        <w:pStyle w:val="Heading4"/>
      </w:pPr>
      <w:r>
        <w:t xml:space="preserve">Geometry.</w:t>
      </w:r>
    </w:p>
    <w:p>
      <w:pPr>
        <w:pStyle w:val="FirstParagraph"/>
      </w:pPr>
      <w:r>
        <w:t xml:space="preserve">For each off-target population pair we estimated the sliced-Wasserstein distance</w:t>
      </w:r>
      <w:r>
        <w:rPr>
          <w:vertAlign w:val="superscript"/>
        </w:rPr>
        <w:t xml:space="preserve">29</w:t>
      </w:r>
      <w:r>
        <w:t xml:space="preserve"> </w:t>
      </w:r>
      <w:r>
        <w:t xml:space="preserve">between background-latent embeddings, with a per-population minimum sample</w:t>
      </w:r>
      <w:r>
        <w:t xml:space="preserve"> </w:t>
      </w:r>
      <w:r>
        <w:t xml:space="preserve">size from rarefaction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) and a matched-</w:t>
      </w:r>
      <m:oMath>
        <m:r>
          <m:t>N</m:t>
        </m:r>
      </m:oMath>
      <w:r>
        <w:t xml:space="preserve"> </w:t>
      </w:r>
      <w:r>
        <w:t xml:space="preserve">self-distance noise floor (95th percentile).</w:t>
      </w:r>
      <w:r>
        <w:t xml:space="preserve"> </w:t>
      </w:r>
      <w:r>
        <w:t xml:space="preserve">A pair was called a real difference when its bootstrap cross-distance interval exceeded the floor;</w:t>
      </w:r>
      <w:r>
        <w:t xml:space="preserve"> </w:t>
      </w:r>
      <w:r>
        <w:t xml:space="preserve">multiplicity was controlled by Benjamini–Hochberg</w:t>
      </w:r>
      <w:r>
        <w:rPr>
          <w:vertAlign w:val="superscript"/>
        </w:rPr>
        <w:t xml:space="preserve">30</w:t>
      </w:r>
      <w:r>
        <w:t xml:space="preserve">. Sliced-Wasserstein</w:t>
      </w:r>
      <w:r>
        <w:t xml:space="preserve"> </w:t>
      </w:r>
      <w:r>
        <w:t xml:space="preserve">pairwise distances are invariant to a translation shared by both populations, which is what makes the</w:t>
      </w:r>
      <w:r>
        <w:t xml:space="preserve"> </w:t>
      </w:r>
      <w:r>
        <w:t xml:space="preserve">comparison valid despite the residual source offset in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offset is the same</w:t>
      </w:r>
      <w:r>
        <w:t xml:space="preserve"> </w:t>
      </w:r>
      <w:r>
        <w:t xml:space="preserve">across the populations compared.</w:t>
      </w:r>
    </w:p>
    <w:bookmarkEnd w:id="22"/>
    <w:bookmarkStart w:id="23" w:name="offset-constancy-test."/>
    <w:p>
      <w:pPr>
        <w:pStyle w:val="Heading4"/>
      </w:pPr>
      <w:r>
        <w:t xml:space="preserve">Offset-constancy test.</w:t>
      </w:r>
    </w:p>
    <w:p>
      <w:pPr>
        <w:pStyle w:val="FirstParagraph"/>
      </w:pPr>
      <w:r>
        <w:t xml:space="preserve">For each of the four well-powered off-target lineages we drew up to</w:t>
      </w:r>
      <w:r>
        <w:t xml:space="preserve"> </w:t>
      </w:r>
      <m:oMath>
        <m:r>
          <m:t>2500</m:t>
        </m:r>
      </m:oMath>
      <w:r>
        <w:t xml:space="preserve"> </w:t>
      </w:r>
      <w:r>
        <w:t xml:space="preserve">organoid cells (true-off-target, by predicted label) and the matched primary cells (same</w:t>
      </w:r>
      <w:r>
        <w:t xml:space="preserve"> </w:t>
      </w:r>
      <w:r>
        <w:t xml:space="preserve">CELLxGENE ontology label), selected</w:t>
      </w:r>
      <w:r>
        <w:t xml:space="preserve"> </w:t>
      </w:r>
      <m:oMath>
        <m:r>
          <m:t>2000</m:t>
        </m:r>
      </m:oMath>
      <w:r>
        <w:t xml:space="preserve"> </w:t>
      </w:r>
      <w:r>
        <w:t xml:space="preserve">highly variable genes on the pooled raw counts, log-normalized</w:t>
      </w:r>
      <w:r>
        <w:t xml:space="preserve"> </w:t>
      </w:r>
      <w:r>
        <w:t xml:space="preserve">(CP10k,</w:t>
      </w:r>
      <w:r>
        <w:t xml:space="preserve"> </w:t>
      </w:r>
      <m:oMath>
        <m:r>
          <m:rPr>
            <m:sty m:val="p"/>
          </m:rPr>
          <m:t>log</m:t>
        </m:r>
        <m:r>
          <m:t>1</m:t>
        </m:r>
        <m:r>
          <m:t>p</m:t>
        </m:r>
      </m:oMath>
      <w:r>
        <w:t xml:space="preserve">), and computed the per-lineage dish vector as the difference of organoid and primary</w:t>
      </w:r>
      <w:r>
        <w:t xml:space="preserve"> </w:t>
      </w:r>
      <w:r>
        <w:t xml:space="preserve">centroids. We report the mutual cosine of these dish vectors (offset consistency), the cosine between the</w:t>
      </w:r>
      <w:r>
        <w:t xml:space="preserve"> </w:t>
      </w:r>
      <w:r>
        <w:t xml:space="preserve">organoid and primary inter-lineage centroid vectors (geometry preservation), the ratio of the offset</w:t>
      </w:r>
      <w:r>
        <w:t xml:space="preserve"> </w:t>
      </w:r>
      <w:r>
        <w:t xml:space="preserve">difference to the primary lineage separation, and the Pearson correlation of the organoid and primary</w:t>
      </w:r>
      <w:r>
        <w:t xml:space="preserve"> </w:t>
      </w:r>
      <w:r>
        <w:t xml:space="preserve">pairwise-distance matrices across the six pairs (</w:t>
      </w:r>
      <w:r>
        <w:rPr>
          <w:rStyle w:val="VerbatimChar"/>
        </w:rPr>
        <w:t xml:space="preserve">scripts/dishvec_consistency.py</w:t>
      </w:r>
      <w:r>
        <w:t xml:space="preserve">).</w:t>
      </w:r>
    </w:p>
    <w:bookmarkEnd w:id="23"/>
    <w:bookmarkStart w:id="109" w:name="compute-and-code."/>
    <w:p>
      <w:pPr>
        <w:pStyle w:val="Heading4"/>
      </w:pPr>
      <w:r>
        <w:t xml:space="preserve">Compute and code.</w:t>
      </w:r>
    </w:p>
    <w:p>
      <w:pPr>
        <w:pStyle w:val="FirstParagraph"/>
      </w:pPr>
      <w:r>
        <w:t xml:space="preserve">Models were trained on a single NVIDIA H100 GPU. All quantitative panels</w:t>
      </w:r>
      <w:r>
        <w:t xml:space="preserve"> </w:t>
      </w:r>
      <w:r>
        <w:t xml:space="preserve">are generated directly from pipeline artifacts (</w:t>
      </w:r>
      <w:r>
        <w:rPr>
          <w:rStyle w:val="VerbatimChar"/>
        </w:rPr>
        <w:t xml:space="preserve">docs/manuscript/make_figures.py</w:t>
      </w:r>
      <w:r>
        <w:t xml:space="preserve">); numerical</w:t>
      </w:r>
      <w:r>
        <w:t xml:space="preserve"> </w:t>
      </w:r>
      <w:r>
        <w:t xml:space="preserve">values are exported to</w:t>
      </w:r>
      <w:r>
        <w:t xml:space="preserve"> </w:t>
      </w:r>
      <w:r>
        <w:rPr>
          <w:rStyle w:val="VerbatimChar"/>
        </w:rPr>
        <w:t xml:space="preserve">numbers.json</w:t>
      </w:r>
      <w:r>
        <w:t xml:space="preserve">.</w:t>
      </w:r>
    </w:p>
    <w:bookmarkStart w:id="27" w:name="fig:overview"/>
    <w:p>
      <w:pPr>
        <w:pStyle w:val="CaptionedFigure"/>
      </w:pPr>
      <w:r>
        <w:drawing>
          <wp:inline>
            <wp:extent cx="5334000" cy="352081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NullState pipeline.</w:t>
      </w:r>
      <w:r>
        <w:t xml:space="preserve"> </w:t>
      </w:r>
      <w:r>
        <w:t xml:space="preserve">A harmonized first-trimester fetal reference (HDBCA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fetal-body atlas; 2</w:t>
      </w:r>
      <w:r>
        <w:t xml:space="preserve">,</w:t>
      </w:r>
      <w:r>
        <w:t xml:space="preserve">615</w:t>
      </w:r>
      <w:r>
        <w:t xml:space="preserve">,</w:t>
      </w:r>
      <w:r>
        <w:t xml:space="preserve">898 cells, raw UMIs) and the HNOCA organoid query (1</w:t>
      </w:r>
      <w:r>
        <w:t xml:space="preserve">,</w:t>
      </w:r>
      <w:r>
        <w:t xml:space="preserve">767</w:t>
      </w:r>
      <w:r>
        <w:t xml:space="preserve">,</w:t>
      </w:r>
      <w:r>
        <w:t xml:space="preserve">346 cells, 27 protocols)</w:t>
      </w:r>
      <w:r>
        <w:t xml:space="preserve"> </w:t>
      </w:r>
      <w:r>
        <w:t xml:space="preserve">are co-embedded by scVI/scANVI followed by scArches reference surgery. Each organoid cell receives two</w:t>
      </w:r>
      <w:r>
        <w:t xml:space="preserve"> </w:t>
      </w:r>
      <w:r>
        <w:t xml:space="preserve">calibrated mapping scores, off-manifold distance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1.93</m:t>
        </m:r>
      </m:oMath>
      <w:r>
        <w:t xml:space="preserve">) and label entropy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), that define a six-state off-target taxonomy, which feeds three analyses: feasibility</w:t>
      </w:r>
      <w:r>
        <w:t xml:space="preserve"> </w:t>
      </w:r>
      <w:r>
        <w:t xml:space="preserve">gates (Aim 1), lineage–dish disentanglement (Aim 2), and off-target geometry (Aim 3).</w:t>
      </w:r>
    </w:p>
    <w:bookmarkEnd w:id="27"/>
    <w:bookmarkStart w:id="31" w:name="fig:aim1"/>
    <w:p>
      <w:pPr>
        <w:pStyle w:val="CaptionedFigure"/>
      </w:pPr>
      <w:r>
        <w:drawing>
          <wp:inline>
            <wp:extent cx="5334000" cy="362886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Harmonized mapping and the off-target landscape (Aim 1).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Six-state classification of all 1</w:t>
      </w:r>
      <w:r>
        <w:t xml:space="preserve">,</w:t>
      </w:r>
      <w:r>
        <w:t xml:space="preserve">767</w:t>
      </w:r>
      <w:r>
        <w:t xml:space="preserve">,</w:t>
      </w:r>
      <w:r>
        <w:t xml:space="preserve">346 organoid cells; the off-manifold</w:t>
      </w:r>
      <w:r>
        <w:t xml:space="preserve"> </w:t>
      </w:r>
      <w:r>
        <w:rPr>
          <w:i/>
          <w:iCs/>
        </w:rPr>
        <w:t xml:space="preserve">ambiguous-novel</w:t>
      </w:r>
      <w:r>
        <w:t xml:space="preserve"> </w:t>
      </w:r>
      <w:r>
        <w:t xml:space="preserve">state dominates (</w:t>
      </w:r>
      <m:oMath>
        <m:r>
          <m:t>38.4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Per-cell score space: mapping entropy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versus off-manifold score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(subsample),</w:t>
      </w:r>
      <w:r>
        <w:t xml:space="preserve"> </w:t>
      </w:r>
      <w:r>
        <w:t xml:space="preserve">coloured by class, with the calibrated thresholds</w:t>
      </w:r>
      <w:r>
        <w:t xml:space="preserve"> </w:t>
      </w:r>
      <m:oMath>
        <m:sSub>
          <m:e>
            <m:r>
              <m:t>τ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(dotted) and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(dashed).</w:t>
      </w:r>
      <w:r>
        <w:t xml:space="preserve"> </w:t>
      </w:r>
      <w:r>
        <w:t xml:space="preserve">(</w:t>
      </w:r>
      <w:r>
        <w:rPr>
          <w:b/>
          <w:bCs/>
        </w:rPr>
        <w:t xml:space="preserve">c</w:t>
      </w:r>
      <w:r>
        <w:t xml:space="preserve">) Donor-batch integration improves mixing (iLISI</w:t>
      </w:r>
      <w:r>
        <w:t xml:space="preserve"> </w:t>
      </w:r>
      <m:oMath>
        <m:r>
          <m:t>6.10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8.10</m:t>
        </m:r>
      </m:oMath>
      <w:r>
        <w:t xml:space="preserve">) while preserving</w:t>
      </w:r>
      <w:r>
        <w:t xml:space="preserve"> </w:t>
      </w:r>
      <w:r>
        <w:t xml:space="preserve">biology (cLISI</w:t>
      </w:r>
      <w:r>
        <w:t xml:space="preserve"> </w:t>
      </w:r>
      <m:oMath>
        <m:r>
          <m:t>1.31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1.44</m:t>
        </m:r>
      </m:oMath>
      <w:r>
        <w:t xml:space="preserve">).</w:t>
      </w:r>
      <w:r>
        <w:t xml:space="preserve"> </w:t>
      </w:r>
      <w:r>
        <w:t xml:space="preserve">(</w:t>
      </w:r>
      <w:r>
        <w:rPr>
          <w:b/>
          <w:bCs/>
        </w:rPr>
        <w:t xml:space="preserve">d</w:t>
      </w:r>
      <w:r>
        <w:t xml:space="preserve">) The three feasibility gates pass: definition (A), dish-vector self-consistency (B, cosine</w:t>
      </w:r>
      <w:r>
        <w:t xml:space="preserve"> </w:t>
      </w:r>
      <m:oMath>
        <m:r>
          <m:t>0.855</m:t>
        </m:r>
      </m:oMath>
      <w:r>
        <w:t xml:space="preserve">), and off-target power (C, green).</w:t>
      </w:r>
    </w:p>
    <w:bookmarkEnd w:id="31"/>
    <w:bookmarkStart w:id="35" w:name="fig:diag"/>
    <w:p>
      <w:pPr>
        <w:pStyle w:val="CaptionedFigure"/>
      </w:pPr>
      <w:r>
        <w:drawing>
          <wp:inline>
            <wp:extent cx="4907280" cy="45218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s/fig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52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off-manifold compartment is structured, not artifactual.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Ambiguous-novel neural cells lose neural-progenitor identity and gain hypoxia and</w:t>
      </w:r>
      <w:r>
        <w:t xml:space="preserve"> </w:t>
      </w:r>
      <w:r>
        <w:t xml:space="preserve">unfolded-protein/ER-stress signatures relative to clean on-target neural cells.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Off-manifold fraction increases monotonically with a detected-gene potency proxy (bars)</w:t>
      </w:r>
      <w:r>
        <w:t xml:space="preserve"> </w:t>
      </w:r>
      <w:r>
        <w:t xml:space="preserve">and with organoid age (line).</w:t>
      </w:r>
      <w:r>
        <w:t xml:space="preserve"> </w:t>
      </w:r>
      <w:r>
        <w:t xml:space="preserve">(</w:t>
      </w:r>
      <w:r>
        <w:rPr>
          <w:b/>
          <w:bCs/>
        </w:rPr>
        <w:t xml:space="preserve">c</w:t>
      </w:r>
      <w:r>
        <w:t xml:space="preserve">) Protocol-stratified off-manifold burden spans</w:t>
      </w:r>
      <w:r>
        <w:t xml:space="preserve"> </w:t>
      </w:r>
      <m:oMath>
        <m:r>
          <m:t>0.4</m:t>
        </m:r>
        <m:r>
          <m:rPr>
            <m:sty m:val="p"/>
          </m:rPr>
          <m:t>%</m:t>
        </m:r>
      </m:oMath>
      <w:r>
        <w:t xml:space="preserve">–</w:t>
      </w:r>
      <m:oMath>
        <m:r>
          <m:t>96.8</m:t>
        </m:r>
        <m:r>
          <m:rPr>
            <m:sty m:val="p"/>
          </m:rPr>
          <m:t>%</m:t>
        </m:r>
      </m:oMath>
      <w:r>
        <w:t xml:space="preserve"> </w:t>
      </w:r>
      <w:r>
        <w:t xml:space="preserve">across 26 protocols</w:t>
      </w:r>
      <w:r>
        <w:t xml:space="preserve"> </w:t>
      </w:r>
      <w:r>
        <w:t xml:space="preserve">(colour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fraction); guided cortical protocols are lowest, choroid-plexus/midbrain/thalamic highest.</w:t>
      </w:r>
      <w:r>
        <w:t xml:space="preserve"> </w:t>
      </w:r>
      <w:r>
        <w:t xml:space="preserve">(</w:t>
      </w:r>
      <w:r>
        <w:rPr>
          <w:b/>
          <w:bCs/>
        </w:rPr>
        <w:t xml:space="preserve">d</w:t>
      </w:r>
      <w:r>
        <w:t xml:space="preserve">) Per-cluster off-manifold fraction across 30 Leiden communities is bimodal (coherent</w:t>
      </w:r>
      <w:r>
        <w:t xml:space="preserve"> </w:t>
      </w:r>
      <w:r>
        <w:t xml:space="preserve">populations, not scatter).</w:t>
      </w:r>
      <w:r>
        <w:t xml:space="preserve"> </w:t>
      </w:r>
      <w:r>
        <w:t xml:space="preserve">(</w:t>
      </w:r>
      <w:r>
        <w:rPr>
          <w:b/>
          <w:bCs/>
        </w:rPr>
        <w:t xml:space="preserve">e</w:t>
      </w:r>
      <w:r>
        <w:t xml:space="preserve">) scPoli UMAP coloured by class: ambiguous-novel cells occupy contiguous territory.</w:t>
      </w:r>
    </w:p>
    <w:bookmarkEnd w:id="35"/>
    <w:bookmarkStart w:id="39" w:name="fig:aim2"/>
    <w:p>
      <w:pPr>
        <w:pStyle w:val="CaptionedFigure"/>
      </w:pPr>
      <w:r>
        <w:drawing>
          <wp:inline>
            <wp:extent cx="5334000" cy="241880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fig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Lineage–dish disentanglement is not attainable (characterized negative; Aim 2).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An origin-decoding adversary recovers organoid-versus-primary identity from the</w:t>
      </w:r>
      <w:r>
        <w:t xml:space="preserve"> </w:t>
      </w:r>
      <w:r>
        <w:t xml:space="preserve">“dish-stripped”</w:t>
      </w:r>
      <w:r>
        <w:t xml:space="preserve"> </w:t>
      </w:r>
      <w:r>
        <w:t xml:space="preserve">latent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0.998</m:t>
        </m:r>
      </m:oMath>
      <w:r>
        <w:t xml:space="preserve"> </w:t>
      </w:r>
      <w:r>
        <w:t xml:space="preserve">balanced accuracy across all interventions (ideal</w:t>
      </w:r>
      <w:r>
        <w:t xml:space="preserve"> </w:t>
      </w:r>
      <m:oMath>
        <m:r>
          <m:t>0.5</m:t>
        </m:r>
      </m:oMath>
      <w:r>
        <w:t xml:space="preserve">; pass</w:t>
      </w:r>
      <w:r>
        <w:t xml:space="preserve"> </w:t>
      </w:r>
      <m:oMath>
        <m:r>
          <m:rPr>
            <m:sty m:val="p"/>
          </m:rPr>
          <m:t>&lt;</m:t>
        </m:r>
        <m:r>
          <m:t>0.6</m:t>
        </m:r>
      </m:oMath>
      <w:r>
        <w:t xml:space="preserve">).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Training converges normally in every run, so the failure is structural, not</w:t>
      </w:r>
      <w:r>
        <w:t xml:space="preserve"> </w:t>
      </w:r>
      <w:r>
        <w:t xml:space="preserve">optimization-related.</w:t>
      </w:r>
      <w:r>
        <w:t xml:space="preserve"> </w:t>
      </w:r>
      <w:r>
        <w:t xml:space="preserve">(</w:t>
      </w:r>
      <w:r>
        <w:rPr>
          <w:b/>
          <w:bCs/>
        </w:rPr>
        <w:t xml:space="preserve">c</w:t>
      </w:r>
      <w:r>
        <w:t xml:space="preserve">) Mechanism: near-disjoint primary/organoid manifolds make the background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encode source directly; decoder batch-conditioning cannot remove it.</w:t>
      </w:r>
    </w:p>
    <w:bookmarkEnd w:id="39"/>
    <w:bookmarkStart w:id="43" w:name="fig:aim3"/>
    <w:p>
      <w:pPr>
        <w:pStyle w:val="CaptionedFigure"/>
      </w:pPr>
      <w:r>
        <w:drawing>
          <wp:inline>
            <wp:extent cx="5334000" cy="363477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s/fig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4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Off-target geometry: distances clear the noise floor and their rank recovers primary</w:t>
      </w:r>
      <w:r>
        <w:rPr>
          <w:b/>
          <w:bCs/>
        </w:rPr>
        <w:t xml:space="preserve"> </w:t>
      </w:r>
      <w:r>
        <w:rPr>
          <w:b/>
          <w:bCs/>
        </w:rPr>
        <w:t xml:space="preserve">lineage order (Aim 3).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Background-latent (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) embedding of the off-target populations; the four well-powered</w:t>
      </w:r>
      <w:r>
        <w:t xml:space="preserve"> </w:t>
      </w:r>
      <w:r>
        <w:t xml:space="preserve">lineages separate.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Pairwise sliced-Wasserstein distance matrix.</w:t>
      </w:r>
      <w:r>
        <w:t xml:space="preserve"> </w:t>
      </w:r>
      <w:r>
        <w:t xml:space="preserve">(</w:t>
      </w:r>
      <w:r>
        <w:rPr>
          <w:b/>
          <w:bCs/>
        </w:rPr>
        <w:t xml:space="preserve">c</w:t>
      </w:r>
      <w:r>
        <w:t xml:space="preserve">) Every well-powered pair clears its matched-</w:t>
      </w:r>
      <m:oMath>
        <m:r>
          <m:t>N</m:t>
        </m:r>
      </m:oMath>
      <w:r>
        <w:t xml:space="preserve"> </w:t>
      </w:r>
      <w:r>
        <w:t xml:space="preserve">noise floor (</w:t>
      </w:r>
      <m:oMath>
        <m:sSub>
          <m:e>
            <m:r>
              <m:t>q</m:t>
            </m:r>
          </m:e>
          <m:sub>
            <m:r>
              <m:t>95</m:t>
            </m:r>
          </m:sub>
        </m:sSub>
      </m:oMath>
      <w:r>
        <w:t xml:space="preserve">, red) by</w:t>
      </w:r>
      <w:r>
        <w:t xml:space="preserve"> </w:t>
      </w:r>
      <m:oMath>
        <m:r>
          <m:t>14</m:t>
        </m:r>
      </m:oMath>
      <w:r>
        <w:t xml:space="preserve">–</w:t>
      </w:r>
      <m:oMath>
        <m:r>
          <m:t>105</m:t>
        </m:r>
        <m:r>
          <m:rPr>
            <m:sty m:val="p"/>
          </m:rPr>
          <m:t>×</m:t>
        </m:r>
      </m:oMath>
      <w:r>
        <w:t xml:space="preserve"> </w:t>
      </w:r>
      <w:r>
        <w:t xml:space="preserve">(cross-distance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CI, blue; log axis).</w:t>
      </w:r>
      <w:r>
        <w:t xml:space="preserve"> </w:t>
      </w:r>
      <w:r>
        <w:t xml:space="preserve">(</w:t>
      </w:r>
      <w:r>
        <w:rPr>
          <w:b/>
          <w:bCs/>
        </w:rPr>
        <w:t xml:space="preserve">d</w:t>
      </w:r>
      <w:r>
        <w:t xml:space="preserve">) Multidimensional scaling of the distance matrix: the two myogenic populations (cardiac,</w:t>
      </w:r>
      <w:r>
        <w:t xml:space="preserve"> </w:t>
      </w:r>
      <w:r>
        <w:t xml:space="preserve">skeletal muscle) are closest, fibroblast most distant. The rank order matches the primary lineage</w:t>
      </w:r>
      <w:r>
        <w:t xml:space="preserve"> </w:t>
      </w:r>
      <w:r>
        <w:t xml:space="preserve">geometry (distance-matrix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); the individual distances, however, are confounded by lineage-</w:t>
      </w:r>
      <w:r>
        <w:t xml:space="preserve"> </w:t>
      </w:r>
      <w:r>
        <w:t xml:space="preserve">dependent source offsets (mutual cosine</w:t>
      </w:r>
      <w:r>
        <w:t xml:space="preserve"> </w:t>
      </w:r>
      <m:oMath>
        <m:r>
          <m:t>0.15</m:t>
        </m:r>
      </m:oMath>
      <w:r>
        <w:t xml:space="preserve">; see text), so the ordering is validated but the metric</w:t>
      </w:r>
      <w:r>
        <w:t xml:space="preserve"> </w:t>
      </w:r>
      <w:r>
        <w:t xml:space="preserve">is not a clean lineage distance.</w:t>
      </w:r>
    </w:p>
    <w:bookmarkEnd w:id="43"/>
    <w:bookmarkStart w:id="47" w:name="fig:ref2"/>
    <w:p>
      <w:pPr>
        <w:pStyle w:val="CaptionedFigure"/>
      </w:pPr>
      <w:r>
        <w:drawing>
          <wp:inline>
            <wp:extent cx="5120640" cy="23771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/fig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7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Direct cross-atlas test of coverage gap versus divergence.</w:t>
      </w:r>
      <w:r>
        <w:t xml:space="preserve"> </w:t>
      </w:r>
      <w:r>
        <w:t xml:space="preserve">Ambiguous-novel and</w:t>
      </w:r>
      <w:r>
        <w:t xml:space="preserve"> </w:t>
      </w:r>
      <w:r>
        <w:t xml:space="preserve">clean-on-target neural organoid cells were jointly integrated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prenatal</w:t>
      </w:r>
      <w:r>
        <w:t xml:space="preserve"> </w:t>
      </w:r>
      <w:r>
        <w:t xml:space="preserve">cortical atlas (Velmeshev</w:t>
      </w:r>
      <w:r>
        <w:t xml:space="preserve"> </w:t>
      </w:r>
      <w:r>
        <w:rPr>
          <w:i/>
          <w:iCs/>
        </w:rPr>
        <w:t xml:space="preserve">et al.</w:t>
      </w:r>
      <w:r>
        <w:t xml:space="preserve"> 2023</w:t>
      </w:r>
      <w:r>
        <w:rPr>
          <w:vertAlign w:val="superscript"/>
        </w:rPr>
        <w:t xml:space="preserve">27</w:t>
      </w:r>
      <w:r>
        <w:t xml:space="preserve">).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Off-manifold score (kNN distance to the independent reference) for reference-self (grey),</w:t>
      </w:r>
      <w:r>
        <w:t xml:space="preserve"> </w:t>
      </w:r>
      <w:r>
        <w:t xml:space="preserve">clean neural (blue), and ambiguous-novel neural (red). The organoid-versus-reference source gap</w:t>
      </w:r>
      <w:r>
        <w:t xml:space="preserve"> </w:t>
      </w:r>
      <w:r>
        <w:t xml:space="preserve">displaces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organoid cells, including clean cells, far from the reference (clean/ambiguous</w:t>
      </w:r>
      <w:r>
        <w:t xml:space="preserve"> </w:t>
      </w:r>
      <w:r>
        <w:t xml:space="preserve">medians</w:t>
      </w:r>
      <w:r>
        <w:t xml:space="preserve"> </w:t>
      </w:r>
      <m:oMath>
        <m:r>
          <m:t>4.0</m:t>
        </m:r>
        <m:r>
          <m:rPr>
            <m:sty m:val="p"/>
          </m:rPr>
          <m:t>/</m:t>
        </m:r>
        <m:r>
          <m:t>4.4</m:t>
        </m:r>
      </m:oMath>
      <w:r>
        <w:t xml:space="preserve"> </w:t>
      </w:r>
      <w:r>
        <w:t xml:space="preserve">versus reference-self</w:t>
      </w:r>
      <w:r>
        <w:t xml:space="preserve"> </w:t>
      </w:r>
      <m:oMath>
        <m:r>
          <m:t>2.2</m:t>
        </m:r>
      </m:oMath>
      <w:r>
        <w:t xml:space="preserve">), so absolute mapped-on fractions are confounded; the</w:t>
      </w:r>
      <w:r>
        <w:t xml:space="preserve"> </w:t>
      </w:r>
      <w:r>
        <w:t xml:space="preserve">clean distribution (dashed median, dotted</w:t>
      </w:r>
      <w:r>
        <w:t xml:space="preserve"> </w:t>
      </w:r>
      <m:oMath>
        <m:r>
          <m:t>95</m:t>
        </m:r>
      </m:oMath>
      <w:r>
        <w:t xml:space="preserve">th percentile) is the calibrator.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The clean-versus-ambiguous contrast cancels the shared displacement: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ambiguous-novel cells exceed the clean median and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lie beyond the clean</w:t>
      </w:r>
      <w:r>
        <w:t xml:space="preserve"> </w:t>
      </w:r>
      <m:oMath>
        <m:r>
          <m:t>95</m:t>
        </m:r>
      </m:oMath>
      <w:r>
        <w:t xml:space="preserve">th percentile (overall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0.65</m:t>
        </m:r>
      </m:oMath>
      <w:r>
        <w:t xml:space="preserve">, Cliff’s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0.30</m:t>
        </m:r>
      </m:oMath>
      <w:r>
        <w:t xml:space="preserve">), isolating a genuine in-vitro-divergence component.</w:t>
      </w:r>
    </w:p>
    <w:bookmarkEnd w:id="47"/>
    <w:bookmarkStart w:id="108" w:name="refs"/>
    <w:bookmarkStart w:id="49" w:name="ref-lancaster2013organoid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Lancaster, M.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8">
        <w:r>
          <w:rPr>
            <w:rStyle w:val="Hyperlink"/>
          </w:rPr>
          <w:t xml:space="preserve">Cerebral organoids model human brain development and microcephaly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501</w:t>
      </w:r>
      <w:r>
        <w:t xml:space="preserve">, 373–379 (2013).</w:t>
      </w:r>
    </w:p>
    <w:bookmarkEnd w:id="49"/>
    <w:bookmarkStart w:id="51" w:name="ref-pasca2015cortica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Paşca, A. 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0">
        <w:r>
          <w:rPr>
            <w:rStyle w:val="Hyperlink"/>
          </w:rPr>
          <w:t xml:space="preserve">Functional cortical neurons and astrocytes from human pluripotent stem cells in 3D culture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rPr>
          <w:b/>
          <w:bCs/>
        </w:rPr>
        <w:t xml:space="preserve">12</w:t>
      </w:r>
      <w:r>
        <w:t xml:space="preserve">, 671–678 (2015).</w:t>
      </w:r>
    </w:p>
    <w:bookmarkEnd w:id="51"/>
    <w:bookmarkStart w:id="53" w:name="ref-quadrato2017organoid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Quadrato, G.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2">
        <w:r>
          <w:rPr>
            <w:rStyle w:val="Hyperlink"/>
          </w:rPr>
          <w:t xml:space="preserve">Cell diversity and network dynamics in photosensitive human brain organoids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545</w:t>
      </w:r>
      <w:r>
        <w:t xml:space="preserve">, 48–53 (2017).</w:t>
      </w:r>
    </w:p>
    <w:bookmarkEnd w:id="53"/>
    <w:bookmarkStart w:id="55" w:name="ref-velasco2019organoid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Velasco,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4">
        <w:r>
          <w:rPr>
            <w:rStyle w:val="Hyperlink"/>
          </w:rPr>
          <w:t xml:space="preserve">Individual brain organoids reproducibly form cell diversity of the human cerebral cortex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570</w:t>
      </w:r>
      <w:r>
        <w:t xml:space="preserve">, 523–527 (2019).</w:t>
      </w:r>
    </w:p>
    <w:bookmarkEnd w:id="55"/>
    <w:bookmarkStart w:id="57" w:name="ref-trujillo2019oscillatory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Trujillo, C.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6">
        <w:r>
          <w:rPr>
            <w:rStyle w:val="Hyperlink"/>
          </w:rPr>
          <w:t xml:space="preserve">Complex oscillatory waves emerging from cortical organoids model early human brain network development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Cell Stem Cell</w:t>
      </w:r>
      <w:r>
        <w:t xml:space="preserve"> </w:t>
      </w:r>
      <w:r>
        <w:rPr>
          <w:b/>
          <w:bCs/>
        </w:rPr>
        <w:t xml:space="preserve">25</w:t>
      </w:r>
      <w:r>
        <w:t xml:space="preserve">, 558–569.e7 (2019).</w:t>
      </w:r>
    </w:p>
    <w:bookmarkEnd w:id="57"/>
    <w:bookmarkStart w:id="59" w:name="ref-bhaduri2020stres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Bhaduri,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58">
        <w:r>
          <w:rPr>
            <w:rStyle w:val="Hyperlink"/>
          </w:rPr>
          <w:t xml:space="preserve">Cell stress in cortical organoids impairs molecular subtype specification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578</w:t>
      </w:r>
      <w:r>
        <w:t xml:space="preserve">, 142–148 (2020).</w:t>
      </w:r>
    </w:p>
    <w:bookmarkEnd w:id="59"/>
    <w:bookmarkStart w:id="61" w:name="ref-tanaka2020synthetic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Tanaka, Y., Cakir, B., Xiang, Y., Sullivan, G. J. &amp; Park, I.-H.</w:t>
      </w:r>
      <w:r>
        <w:t xml:space="preserve"> </w:t>
      </w:r>
      <w:hyperlink r:id="rId60">
        <w:r>
          <w:rPr>
            <w:rStyle w:val="Hyperlink"/>
          </w:rPr>
          <w:t xml:space="preserve">Synthetic analyses of single-cell transcriptomes from multiple brain organoids and fetal brain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rPr>
          <w:b/>
          <w:bCs/>
        </w:rPr>
        <w:t xml:space="preserve">30</w:t>
      </w:r>
      <w:r>
        <w:t xml:space="preserve">, 1682–1689.e3 (2020).</w:t>
      </w:r>
    </w:p>
    <w:bookmarkEnd w:id="61"/>
    <w:bookmarkStart w:id="63" w:name="ref-kanton2019atla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Kanton,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62">
        <w:r>
          <w:rPr>
            <w:rStyle w:val="Hyperlink"/>
          </w:rPr>
          <w:t xml:space="preserve">Organoid single-cell genomic atlas uncovers human-specific features of brain development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574</w:t>
      </w:r>
      <w:r>
        <w:t xml:space="preserve">, 418–422 (2019).</w:t>
      </w:r>
    </w:p>
    <w:bookmarkEnd w:id="63"/>
    <w:bookmarkStart w:id="65" w:name="ref-he2024hnoca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He, Z.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64">
        <w:r>
          <w:rPr>
            <w:rStyle w:val="Hyperlink"/>
          </w:rPr>
          <w:t xml:space="preserve">An integrated transcriptomic cell atlas of human neural organoids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635</w:t>
      </w:r>
      <w:r>
        <w:t xml:space="preserve">, 690–698 (2024).</w:t>
      </w:r>
    </w:p>
    <w:bookmarkEnd w:id="65"/>
    <w:bookmarkStart w:id="67" w:name="ref-braun2023hdbc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Braun, E.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66">
        <w:r>
          <w:rPr>
            <w:rStyle w:val="Hyperlink"/>
          </w:rPr>
          <w:t xml:space="preserve">Comprehensive cell atlas of the first-trimester developing human brain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382</w:t>
      </w:r>
      <w:r>
        <w:t xml:space="preserve">, eadf1226 (2023).</w:t>
      </w:r>
    </w:p>
    <w:bookmarkEnd w:id="67"/>
    <w:bookmarkStart w:id="69" w:name="ref-cao2020fetal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Cao,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68">
        <w:r>
          <w:rPr>
            <w:rStyle w:val="Hyperlink"/>
          </w:rPr>
          <w:t xml:space="preserve">A human cell atlas of fetal gene expression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370</w:t>
      </w:r>
      <w:r>
        <w:t xml:space="preserve">, eaba7721 (2020).</w:t>
      </w:r>
    </w:p>
    <w:bookmarkEnd w:id="69"/>
    <w:bookmarkStart w:id="71" w:name="ref-lopez2018scvi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Lopez, R., Regier, J., Cole, M. B., Jordan, M. I. &amp; Yosef, N.</w:t>
      </w:r>
      <w:r>
        <w:t xml:space="preserve"> </w:t>
      </w:r>
      <w:hyperlink r:id="rId70">
        <w:r>
          <w:rPr>
            <w:rStyle w:val="Hyperlink"/>
          </w:rPr>
          <w:t xml:space="preserve">Deep generative modeling for single-cell transcriptomics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rPr>
          <w:b/>
          <w:bCs/>
        </w:rPr>
        <w:t xml:space="preserve">15</w:t>
      </w:r>
      <w:r>
        <w:t xml:space="preserve">, 1053–1058 (2018).</w:t>
      </w:r>
    </w:p>
    <w:bookmarkEnd w:id="71"/>
    <w:bookmarkStart w:id="73" w:name="ref-xu2021scanvi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Xu, C.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72">
        <w:r>
          <w:rPr>
            <w:rStyle w:val="Hyperlink"/>
          </w:rPr>
          <w:t xml:space="preserve">Probabilistic harmonization and annotation of single-cell transcriptomics data with deep generative models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Molecular Systems Biology</w:t>
      </w:r>
      <w:r>
        <w:t xml:space="preserve"> </w:t>
      </w:r>
      <w:r>
        <w:rPr>
          <w:b/>
          <w:bCs/>
        </w:rPr>
        <w:t xml:space="preserve">17</w:t>
      </w:r>
      <w:r>
        <w:t xml:space="preserve">, e9620 (2021).</w:t>
      </w:r>
    </w:p>
    <w:bookmarkEnd w:id="73"/>
    <w:bookmarkStart w:id="75" w:name="ref-lotfollahi2022scarch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Lotfollahi, 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74">
        <w:r>
          <w:rPr>
            <w:rStyle w:val="Hyperlink"/>
          </w:rPr>
          <w:t xml:space="preserve">Mapping single-cell data to reference atlases by transfer learning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rPr>
          <w:b/>
          <w:bCs/>
        </w:rPr>
        <w:t xml:space="preserve">40</w:t>
      </w:r>
      <w:r>
        <w:t xml:space="preserve">, 121–130 (2022).</w:t>
      </w:r>
    </w:p>
    <w:bookmarkEnd w:id="75"/>
    <w:bookmarkStart w:id="77" w:name="ref-czi2025cellxgene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CZI Cell Science Program.</w:t>
      </w:r>
      <w:r>
        <w:t xml:space="preserve"> </w:t>
      </w:r>
      <w:hyperlink r:id="rId76">
        <w:r>
          <w:rPr>
            <w:rStyle w:val="Hyperlink"/>
          </w:rPr>
          <w:t xml:space="preserve">CZ CELLxGENE Discover</w:t>
        </w:r>
        <w:r>
          <w:rPr>
            <w:rStyle w:val="Hyperlink"/>
          </w:rPr>
          <w:t xml:space="preserve">: A single-cell data platform for scalable exploration, analysis and modeling of aggregated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rPr>
          <w:b/>
          <w:bCs/>
        </w:rPr>
        <w:t xml:space="preserve">53</w:t>
      </w:r>
      <w:r>
        <w:t xml:space="preserve">, D886–D900 (2025).</w:t>
      </w:r>
    </w:p>
    <w:bookmarkEnd w:id="77"/>
    <w:bookmarkStart w:id="79" w:name="ref-gayoso2022scvitools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Gayoso,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78">
        <w:r>
          <w:rPr>
            <w:rStyle w:val="Hyperlink"/>
          </w:rPr>
          <w:t xml:space="preserve">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library for probabilistic analysis of single-cell omics data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rPr>
          <w:b/>
          <w:bCs/>
        </w:rPr>
        <w:t xml:space="preserve">40</w:t>
      </w:r>
      <w:r>
        <w:t xml:space="preserve">, 163–166 (2022).</w:t>
      </w:r>
    </w:p>
    <w:bookmarkEnd w:id="79"/>
    <w:bookmarkStart w:id="81" w:name="ref-korsunsky2019harmony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Korsunsky, I.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0">
        <w:r>
          <w:rPr>
            <w:rStyle w:val="Hyperlink"/>
          </w:rPr>
          <w:t xml:space="preserve">Fast, sensitive and accurate integration of single-cell data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Harmony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rPr>
          <w:b/>
          <w:bCs/>
        </w:rPr>
        <w:t xml:space="preserve">16</w:t>
      </w:r>
      <w:r>
        <w:t xml:space="preserve">, 1289–1296 (2019).</w:t>
      </w:r>
    </w:p>
    <w:bookmarkEnd w:id="81"/>
    <w:bookmarkStart w:id="83" w:name="ref-luecken2022scib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Luecken, M. 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2">
        <w:r>
          <w:rPr>
            <w:rStyle w:val="Hyperlink"/>
          </w:rPr>
          <w:t xml:space="preserve">Benchmarking atlas-level data integration in single-cell genomics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rPr>
          <w:b/>
          <w:bCs/>
        </w:rPr>
        <w:t xml:space="preserve">19</w:t>
      </w:r>
      <w:r>
        <w:t xml:space="preserve">, 41–50 (2022).</w:t>
      </w:r>
    </w:p>
    <w:bookmarkEnd w:id="83"/>
    <w:bookmarkStart w:id="85" w:name="ref-buffa2010hypoxia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Buffa, F. M., Harris, A. L., West, C. M. &amp; Miller, C. J.</w:t>
      </w:r>
      <w:r>
        <w:t xml:space="preserve"> </w:t>
      </w:r>
      <w:hyperlink r:id="rId84">
        <w:r>
          <w:rPr>
            <w:rStyle w:val="Hyperlink"/>
          </w:rPr>
          <w:t xml:space="preserve">Large meta-analysis of multiple cancers reveals a common, compact and highly prognostic hypoxia metagene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British Journal of Cancer</w:t>
      </w:r>
      <w:r>
        <w:t xml:space="preserve"> </w:t>
      </w:r>
      <w:r>
        <w:rPr>
          <w:b/>
          <w:bCs/>
        </w:rPr>
        <w:t xml:space="preserve">102</w:t>
      </w:r>
      <w:r>
        <w:t xml:space="preserve">, 428–435 (2010).</w:t>
      </w:r>
    </w:p>
    <w:bookmarkEnd w:id="85"/>
    <w:bookmarkStart w:id="87" w:name="ref-gulati2020cytotrace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Gulati, G.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6">
        <w:r>
          <w:rPr>
            <w:rStyle w:val="Hyperlink"/>
          </w:rPr>
          <w:t xml:space="preserve">Single-cell transcriptional diversity is a hallmark of developmental potential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367</w:t>
      </w:r>
      <w:r>
        <w:t xml:space="preserve">, 405–411 (2020).</w:t>
      </w:r>
    </w:p>
    <w:bookmarkEnd w:id="87"/>
    <w:bookmarkStart w:id="89" w:name="ref-andersen2020corticomotor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Andersen,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88">
        <w:r>
          <w:rPr>
            <w:rStyle w:val="Hyperlink"/>
          </w:rPr>
          <w:t xml:space="preserve">Generation of functional human 3D cortico-motor assembloids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rPr>
          <w:b/>
          <w:bCs/>
        </w:rPr>
        <w:t xml:space="preserve">183</w:t>
      </w:r>
      <w:r>
        <w:t xml:space="preserve">, 1913–1929.e26 (2020).</w:t>
      </w:r>
    </w:p>
    <w:bookmarkEnd w:id="89"/>
    <w:bookmarkStart w:id="91" w:name="ref-pellegrini2020csf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Pellegrini, 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0">
        <w:r>
          <w:rPr>
            <w:rStyle w:val="Hyperlink"/>
          </w:rPr>
          <w:t xml:space="preserve">Human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barrier-forming organoids with cerebrospinal fluid production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369</w:t>
      </w:r>
      <w:r>
        <w:t xml:space="preserve">, eaaz5626 (2020).</w:t>
      </w:r>
    </w:p>
    <w:bookmarkEnd w:id="91"/>
    <w:bookmarkStart w:id="93" w:name="ref-fiorenzano2021midbrain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Fiorenzano,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2">
        <w:r>
          <w:rPr>
            <w:rStyle w:val="Hyperlink"/>
          </w:rPr>
          <w:t xml:space="preserve">Single-cell transcriptomics captures features of human midbrain development and dopamine neuron diversity in brain organoids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12</w:t>
      </w:r>
      <w:r>
        <w:t xml:space="preserve">, 7302 (2021).</w:t>
      </w:r>
    </w:p>
    <w:bookmarkEnd w:id="93"/>
    <w:bookmarkStart w:id="95" w:name="ref-xiang2019thalamic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Xiang, Y.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94">
        <w:r>
          <w:rPr>
            <w:rStyle w:val="Hyperlink"/>
          </w:rPr>
          <w:t xml:space="preserve">hESC</w:t>
        </w:r>
        <w:r>
          <w:rPr>
            <w:rStyle w:val="Hyperlink"/>
          </w:rPr>
          <w:t xml:space="preserve">-derived thalamic organoids form reciprocal projections when fused with cortical organoids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Cell Stem Cell</w:t>
      </w:r>
      <w:r>
        <w:t xml:space="preserve"> </w:t>
      </w:r>
      <w:r>
        <w:rPr>
          <w:b/>
          <w:bCs/>
        </w:rPr>
        <w:t xml:space="preserve">24</w:t>
      </w:r>
      <w:r>
        <w:t xml:space="preserve">, 487–497.e7 (2019).</w:t>
      </w:r>
    </w:p>
    <w:bookmarkEnd w:id="95"/>
    <w:bookmarkStart w:id="97" w:name="ref-traag2019leiden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Traag, V. A., Waltman, L. &amp; Eck, N. J. van.</w:t>
      </w:r>
      <w:r>
        <w:t xml:space="preserve"> </w:t>
      </w:r>
      <w:hyperlink r:id="rId96">
        <w:r>
          <w:rPr>
            <w:rStyle w:val="Hyperlink"/>
          </w:rPr>
          <w:t xml:space="preserve">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Louvain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Leiden</w:t>
        </w:r>
        <w:r>
          <w:rPr>
            <w:rStyle w:val="Hyperlink"/>
          </w:rPr>
          <w:t xml:space="preserve">: Guaranteeing well-connected communities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rPr>
          <w:b/>
          <w:bCs/>
        </w:rPr>
        <w:t xml:space="preserve">9</w:t>
      </w:r>
      <w:r>
        <w:t xml:space="preserve">, 5233 (2019).</w:t>
      </w:r>
    </w:p>
    <w:bookmarkEnd w:id="97"/>
    <w:bookmarkStart w:id="99" w:name="ref-mcinnes2018umap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McInnes, L., Healy, J. &amp; Melville, J.</w:t>
      </w:r>
      <w:r>
        <w:t xml:space="preserve"> </w:t>
      </w:r>
      <w:r>
        <w:t xml:space="preserve">UMAP</w:t>
      </w:r>
      <w:r>
        <w:t xml:space="preserve">: Uniform manifold approximation and projection for dimension reduction.</w:t>
      </w:r>
      <w:r>
        <w:t xml:space="preserve"> </w:t>
      </w:r>
      <w:r>
        <w:rPr>
          <w:i/>
          <w:iCs/>
        </w:rPr>
        <w:t xml:space="preserve">arXiv preprint arXiv:1802.03426</w:t>
      </w:r>
      <w:r>
        <w:t xml:space="preserve"> </w:t>
      </w:r>
      <w:hyperlink r:id="rId98">
        <w:r>
          <w:rPr>
            <w:rStyle w:val="Hyperlink"/>
          </w:rPr>
          <w:t xml:space="preserve">https://doi.org/10.48550/arXiv.1802.03426</w:t>
        </w:r>
      </w:hyperlink>
      <w:r>
        <w:t xml:space="preserve"> </w:t>
      </w:r>
      <w:r>
        <w:t xml:space="preserve">(2018) doi:</w:t>
      </w:r>
      <w:hyperlink r:id="rId98">
        <w:r>
          <w:rPr>
            <w:rStyle w:val="Hyperlink"/>
          </w:rPr>
          <w:t xml:space="preserve">10.48550/arXiv.1802.03426</w:t>
        </w:r>
      </w:hyperlink>
      <w:r>
        <w:t xml:space="preserve">.</w:t>
      </w:r>
    </w:p>
    <w:bookmarkEnd w:id="99"/>
    <w:bookmarkStart w:id="101" w:name="ref-velmeshev2023cortex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Velmeshev, 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100">
        <w:r>
          <w:rPr>
            <w:rStyle w:val="Hyperlink"/>
          </w:rPr>
          <w:t xml:space="preserve">Single-cell analysis of prenatal and postnatal human cortical development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382</w:t>
      </w:r>
      <w:r>
        <w:t xml:space="preserve">, eadf0834 (2023).</w:t>
      </w:r>
    </w:p>
    <w:bookmarkEnd w:id="101"/>
    <w:bookmarkStart w:id="103" w:name="ref-weinberger2023contrastivevi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Weinberger, E., Lin, C. &amp; Lee, S.-I.</w:t>
      </w:r>
      <w:r>
        <w:t xml:space="preserve"> </w:t>
      </w:r>
      <w:hyperlink r:id="rId102">
        <w:r>
          <w:rPr>
            <w:rStyle w:val="Hyperlink"/>
          </w:rPr>
          <w:t xml:space="preserve">Isolating salient variations of interest in single-cell data with contrastiveVI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rPr>
          <w:b/>
          <w:bCs/>
        </w:rPr>
        <w:t xml:space="preserve">20</w:t>
      </w:r>
      <w:r>
        <w:t xml:space="preserve">, 1336–1345 (2023).</w:t>
      </w:r>
    </w:p>
    <w:bookmarkEnd w:id="103"/>
    <w:bookmarkStart w:id="105" w:name="ref-bonneel2015sliced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Bonneel, N., Rabin, J., Peyré, G. &amp; Pfister, H.</w:t>
      </w:r>
      <w:r>
        <w:t xml:space="preserve"> </w:t>
      </w:r>
      <w:hyperlink r:id="rId104">
        <w:r>
          <w:rPr>
            <w:rStyle w:val="Hyperlink"/>
          </w:rPr>
          <w:t xml:space="preserve">Sliced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Radon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Wasserstein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barycenters of measures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Mathematical Imaging and Vision</w:t>
      </w:r>
      <w:r>
        <w:t xml:space="preserve"> </w:t>
      </w:r>
      <w:r>
        <w:rPr>
          <w:b/>
          <w:bCs/>
        </w:rPr>
        <w:t xml:space="preserve">51</w:t>
      </w:r>
      <w:r>
        <w:t xml:space="preserve">, 22–45 (2015).</w:t>
      </w:r>
    </w:p>
    <w:bookmarkEnd w:id="105"/>
    <w:bookmarkStart w:id="107" w:name="ref-benjamini1995fdr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Benjamini, Y. &amp; Hochberg, Y.</w:t>
      </w:r>
      <w:r>
        <w:t xml:space="preserve"> </w:t>
      </w:r>
      <w:hyperlink r:id="rId106">
        <w:r>
          <w:rPr>
            <w:rStyle w:val="Hyperlink"/>
          </w:rPr>
          <w:t xml:space="preserve">Controlling the false discovery rate: A practical and powerful approach to multiple testing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rPr>
          <w:b/>
          <w:bCs/>
        </w:rPr>
        <w:t xml:space="preserve">57</w:t>
      </w:r>
      <w:r>
        <w:t xml:space="preserve">, 289–300 (1995).</w:t>
      </w:r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104" Target="https://doi.org/10.1007/s10851-014-0506-3" TargetMode="External" /><Relationship Type="http://schemas.openxmlformats.org/officeDocument/2006/relationships/hyperlink" Id="rId88" Target="https://doi.org/10.1016/j.cell.2020.11.017" TargetMode="External" /><Relationship Type="http://schemas.openxmlformats.org/officeDocument/2006/relationships/hyperlink" Id="rId60" Target="https://doi.org/10.1016/j.celrep.2020.01.038" TargetMode="External" /><Relationship Type="http://schemas.openxmlformats.org/officeDocument/2006/relationships/hyperlink" Id="rId94" Target="https://doi.org/10.1016/j.stem.2018.12.015" TargetMode="External" /><Relationship Type="http://schemas.openxmlformats.org/officeDocument/2006/relationships/hyperlink" Id="rId56" Target="https://doi.org/10.1016/j.stem.2019.08.002" TargetMode="External" /><Relationship Type="http://schemas.openxmlformats.org/officeDocument/2006/relationships/hyperlink" Id="rId48" Target="https://doi.org/10.1038/nature12517" TargetMode="External" /><Relationship Type="http://schemas.openxmlformats.org/officeDocument/2006/relationships/hyperlink" Id="rId52" Target="https://doi.org/10.1038/nature22047" TargetMode="External" /><Relationship Type="http://schemas.openxmlformats.org/officeDocument/2006/relationships/hyperlink" Id="rId50" Target="https://doi.org/10.1038/nmeth.3415" TargetMode="External" /><Relationship Type="http://schemas.openxmlformats.org/officeDocument/2006/relationships/hyperlink" Id="rId92" Target="https://doi.org/10.1038/s41467-021-27464-5" TargetMode="External" /><Relationship Type="http://schemas.openxmlformats.org/officeDocument/2006/relationships/hyperlink" Id="rId54" Target="https://doi.org/10.1038/s41586-019-1289-x" TargetMode="External" /><Relationship Type="http://schemas.openxmlformats.org/officeDocument/2006/relationships/hyperlink" Id="rId62" Target="https://doi.org/10.1038/s41586-019-1654-9" TargetMode="External" /><Relationship Type="http://schemas.openxmlformats.org/officeDocument/2006/relationships/hyperlink" Id="rId58" Target="https://doi.org/10.1038/s41586-020-1962-0" TargetMode="External" /><Relationship Type="http://schemas.openxmlformats.org/officeDocument/2006/relationships/hyperlink" Id="rId64" Target="https://doi.org/10.1038/s41586-024-08172-8" TargetMode="External" /><Relationship Type="http://schemas.openxmlformats.org/officeDocument/2006/relationships/hyperlink" Id="rId74" Target="https://doi.org/10.1038/s41587-021-01001-7" TargetMode="External" /><Relationship Type="http://schemas.openxmlformats.org/officeDocument/2006/relationships/hyperlink" Id="rId78" Target="https://doi.org/10.1038/s41587-021-01206-w" TargetMode="External" /><Relationship Type="http://schemas.openxmlformats.org/officeDocument/2006/relationships/hyperlink" Id="rId70" Target="https://doi.org/10.1038/s41592-018-0229-2" TargetMode="External" /><Relationship Type="http://schemas.openxmlformats.org/officeDocument/2006/relationships/hyperlink" Id="rId80" Target="https://doi.org/10.1038/s41592-019-0619-0" TargetMode="External" /><Relationship Type="http://schemas.openxmlformats.org/officeDocument/2006/relationships/hyperlink" Id="rId82" Target="https://doi.org/10.1038/s41592-021-01336-8" TargetMode="External" /><Relationship Type="http://schemas.openxmlformats.org/officeDocument/2006/relationships/hyperlink" Id="rId102" Target="https://doi.org/10.1038/s41592-023-01955-3" TargetMode="External" /><Relationship Type="http://schemas.openxmlformats.org/officeDocument/2006/relationships/hyperlink" Id="rId96" Target="https://doi.org/10.1038/s41598-019-41695-z" TargetMode="External" /><Relationship Type="http://schemas.openxmlformats.org/officeDocument/2006/relationships/hyperlink" Id="rId84" Target="https://doi.org/10.1038/sj.bjc.6605450" TargetMode="External" /><Relationship Type="http://schemas.openxmlformats.org/officeDocument/2006/relationships/hyperlink" Id="rId76" Target="https://doi.org/10.1093/nar/gkae1142" TargetMode="External" /><Relationship Type="http://schemas.openxmlformats.org/officeDocument/2006/relationships/hyperlink" Id="rId106" Target="https://doi.org/10.1111/j.2517-6161.1995.tb02031.x" TargetMode="External" /><Relationship Type="http://schemas.openxmlformats.org/officeDocument/2006/relationships/hyperlink" Id="rId86" Target="https://doi.org/10.1126/science.aax0249" TargetMode="External" /><Relationship Type="http://schemas.openxmlformats.org/officeDocument/2006/relationships/hyperlink" Id="rId90" Target="https://doi.org/10.1126/science.aaz5626" TargetMode="External" /><Relationship Type="http://schemas.openxmlformats.org/officeDocument/2006/relationships/hyperlink" Id="rId68" Target="https://doi.org/10.1126/science.aba7721" TargetMode="External" /><Relationship Type="http://schemas.openxmlformats.org/officeDocument/2006/relationships/hyperlink" Id="rId100" Target="https://doi.org/10.1126/science.adf0834" TargetMode="External" /><Relationship Type="http://schemas.openxmlformats.org/officeDocument/2006/relationships/hyperlink" Id="rId66" Target="https://doi.org/10.1126/science.adf1226" TargetMode="External" /><Relationship Type="http://schemas.openxmlformats.org/officeDocument/2006/relationships/hyperlink" Id="rId72" Target="https://doi.org/10.15252/msb.20209620" TargetMode="External" /><Relationship Type="http://schemas.openxmlformats.org/officeDocument/2006/relationships/hyperlink" Id="rId98" Target="https://doi.org/10.48550/arXiv.1802.034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oi.org/10.1007/s10851-014-0506-3" TargetMode="External" /><Relationship Type="http://schemas.openxmlformats.org/officeDocument/2006/relationships/hyperlink" Id="rId88" Target="https://doi.org/10.1016/j.cell.2020.11.017" TargetMode="External" /><Relationship Type="http://schemas.openxmlformats.org/officeDocument/2006/relationships/hyperlink" Id="rId60" Target="https://doi.org/10.1016/j.celrep.2020.01.038" TargetMode="External" /><Relationship Type="http://schemas.openxmlformats.org/officeDocument/2006/relationships/hyperlink" Id="rId94" Target="https://doi.org/10.1016/j.stem.2018.12.015" TargetMode="External" /><Relationship Type="http://schemas.openxmlformats.org/officeDocument/2006/relationships/hyperlink" Id="rId56" Target="https://doi.org/10.1016/j.stem.2019.08.002" TargetMode="External" /><Relationship Type="http://schemas.openxmlformats.org/officeDocument/2006/relationships/hyperlink" Id="rId48" Target="https://doi.org/10.1038/nature12517" TargetMode="External" /><Relationship Type="http://schemas.openxmlformats.org/officeDocument/2006/relationships/hyperlink" Id="rId52" Target="https://doi.org/10.1038/nature22047" TargetMode="External" /><Relationship Type="http://schemas.openxmlformats.org/officeDocument/2006/relationships/hyperlink" Id="rId50" Target="https://doi.org/10.1038/nmeth.3415" TargetMode="External" /><Relationship Type="http://schemas.openxmlformats.org/officeDocument/2006/relationships/hyperlink" Id="rId92" Target="https://doi.org/10.1038/s41467-021-27464-5" TargetMode="External" /><Relationship Type="http://schemas.openxmlformats.org/officeDocument/2006/relationships/hyperlink" Id="rId54" Target="https://doi.org/10.1038/s41586-019-1289-x" TargetMode="External" /><Relationship Type="http://schemas.openxmlformats.org/officeDocument/2006/relationships/hyperlink" Id="rId62" Target="https://doi.org/10.1038/s41586-019-1654-9" TargetMode="External" /><Relationship Type="http://schemas.openxmlformats.org/officeDocument/2006/relationships/hyperlink" Id="rId58" Target="https://doi.org/10.1038/s41586-020-1962-0" TargetMode="External" /><Relationship Type="http://schemas.openxmlformats.org/officeDocument/2006/relationships/hyperlink" Id="rId64" Target="https://doi.org/10.1038/s41586-024-08172-8" TargetMode="External" /><Relationship Type="http://schemas.openxmlformats.org/officeDocument/2006/relationships/hyperlink" Id="rId74" Target="https://doi.org/10.1038/s41587-021-01001-7" TargetMode="External" /><Relationship Type="http://schemas.openxmlformats.org/officeDocument/2006/relationships/hyperlink" Id="rId78" Target="https://doi.org/10.1038/s41587-021-01206-w" TargetMode="External" /><Relationship Type="http://schemas.openxmlformats.org/officeDocument/2006/relationships/hyperlink" Id="rId70" Target="https://doi.org/10.1038/s41592-018-0229-2" TargetMode="External" /><Relationship Type="http://schemas.openxmlformats.org/officeDocument/2006/relationships/hyperlink" Id="rId80" Target="https://doi.org/10.1038/s41592-019-0619-0" TargetMode="External" /><Relationship Type="http://schemas.openxmlformats.org/officeDocument/2006/relationships/hyperlink" Id="rId82" Target="https://doi.org/10.1038/s41592-021-01336-8" TargetMode="External" /><Relationship Type="http://schemas.openxmlformats.org/officeDocument/2006/relationships/hyperlink" Id="rId102" Target="https://doi.org/10.1038/s41592-023-01955-3" TargetMode="External" /><Relationship Type="http://schemas.openxmlformats.org/officeDocument/2006/relationships/hyperlink" Id="rId96" Target="https://doi.org/10.1038/s41598-019-41695-z" TargetMode="External" /><Relationship Type="http://schemas.openxmlformats.org/officeDocument/2006/relationships/hyperlink" Id="rId84" Target="https://doi.org/10.1038/sj.bjc.6605450" TargetMode="External" /><Relationship Type="http://schemas.openxmlformats.org/officeDocument/2006/relationships/hyperlink" Id="rId76" Target="https://doi.org/10.1093/nar/gkae1142" TargetMode="External" /><Relationship Type="http://schemas.openxmlformats.org/officeDocument/2006/relationships/hyperlink" Id="rId106" Target="https://doi.org/10.1111/j.2517-6161.1995.tb02031.x" TargetMode="External" /><Relationship Type="http://schemas.openxmlformats.org/officeDocument/2006/relationships/hyperlink" Id="rId86" Target="https://doi.org/10.1126/science.aax0249" TargetMode="External" /><Relationship Type="http://schemas.openxmlformats.org/officeDocument/2006/relationships/hyperlink" Id="rId90" Target="https://doi.org/10.1126/science.aaz5626" TargetMode="External" /><Relationship Type="http://schemas.openxmlformats.org/officeDocument/2006/relationships/hyperlink" Id="rId68" Target="https://doi.org/10.1126/science.aba7721" TargetMode="External" /><Relationship Type="http://schemas.openxmlformats.org/officeDocument/2006/relationships/hyperlink" Id="rId100" Target="https://doi.org/10.1126/science.adf0834" TargetMode="External" /><Relationship Type="http://schemas.openxmlformats.org/officeDocument/2006/relationships/hyperlink" Id="rId66" Target="https://doi.org/10.1126/science.adf1226" TargetMode="External" /><Relationship Type="http://schemas.openxmlformats.org/officeDocument/2006/relationships/hyperlink" Id="rId72" Target="https://doi.org/10.15252/msb.20209620" TargetMode="External" /><Relationship Type="http://schemas.openxmlformats.org/officeDocument/2006/relationships/hyperlink" Id="rId98" Target="https://doi.org/10.48550/arXiv.1802.034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NullState: a reference-anchored framework for detecting, diagnosing, and quantifying the off-target compartment of human neural organoids</dc:title>
  <dc:creator>Luiz Takahashi</dc:creator>
  <cp:keywords/>
  <dcterms:created xsi:type="dcterms:W3CDTF">2026-06-18T16:43:40Z</dcterms:created>
  <dcterms:modified xsi:type="dcterms:W3CDTF">2026-06-18T16:43:40Z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neural organoids reproducibly generate cell types that lie outside the developmental trajectories they are intended to model, but the field lacks a principled, atlas-anchored way to quantify this off-target compartment and ask whether it carries reproducible structure. We present NullState, a reference-based pipeline that maps the 1,767,346-cell Human Neural Organoid Atlas (HNOCA) onto a harmonized 2,615,898-cell first-trimester human fetal reference (HDBCA + a fetal-body atlas) by variational reference surgery, assigns each organoid cell a pair of calibrated mapping scores (off-manifold distance and label entropy), and classifies it into a six-state off-target taxonomy. Across the atlas, 38.4\% of cells fall into a large, largely neural ambiguous-novel (off-manifold) compartment; quantifying and explaining it is the work of Aim 2. Four orthogonal diagnostics show it is not a projection artifact but a structured mixture of a reference-coverage gap and a pervasive in-vitro stress program: off-manifold cells lose neural-progenitor identity while gaining hypoxia and unfolded-protein-response signatures, their burden rises monotonically with maturation and metabolic load, varies \sim240-fold across differentiation protocols (0.4\% to 96.8\%), and concentrates into coherent transcriptomic clusters; projecting these cells onto an independent prenatal cortex atlas confirms a genuine in-vitro-divergence component beyond the reference gap (ambiguous-novel cells sit further from that atlas than clean cells, Cliff’s \delta=0.30). Asking next whether lineage can be separated from the organoid-versus-primary shift, we report a reproducible negative result: a shared-latent contrastive model cannot. An origin-decoding adversary recovers organoid-versus-primary identity from the putatively dish-stripped latent at \geq\!0.998 balanced accuracy, robustly across latent-capacity and batch-conditioning interventions. Because the two sources occupy near-disjoint expression manifolds, this shift, biological in-vitro state and technical platform differences combined, is pervasive and encoder-visible, not a separable nuisance subspace; we therefore state the result methodologically (shared-latent methods cannot yield a source-invariant lineage axis here) and read the specifically in-vitro biology from the stress diagnostics rather than from the adversary. Finally, on the non-neural contaminant populations, where, unlike the reference-limited neural compartment, we are statistically powered, we show the geometry method works as an instrument: pairwise distances clear a matched-N noise floor (14–105\times) and their rank order recovers the primary lineage geometry (distance-matrix r=0.90). A direct test, however, finds the per-lineage source offsets are not constant (mutual cosine 0.15), so the individual distances are confounded rather than clean lineage metrics, a validated ordering, not yet a clean geometry. NullState thus provides a reference-anchored, comparative off-target measurement, to be read against the reference’s own domain, not as an absolute fidelity score, and an identifiability boundary for when latent calibration without anchoring is attainable at all.</vt:lpwstr>
  </property>
  <property fmtid="{D5CDD505-2E9C-101B-9397-08002B2CF9AE}" pid="3" name="bibliography">
    <vt:lpwstr>refs.bib</vt:lpwstr>
  </property>
  <property fmtid="{D5CDD505-2E9C-101B-9397-08002B2CF9AE}" pid="4" name="csl">
    <vt:lpwstr>nature.csl</vt:lpwstr>
  </property>
  <property fmtid="{D5CDD505-2E9C-101B-9397-08002B2CF9AE}" pid="5" name="date">
    <vt:lpwstr>2026-06-18</vt:lpwstr>
  </property>
  <property fmtid="{D5CDD505-2E9C-101B-9397-08002B2CF9AE}" pid="6" name="subtitle">
    <vt:lpwstr>Voiland College of Engineering and Architecture, Washington State University, Pullman, WA, USA. Correspondence: l.takahashidosreis@wsu.edu</vt:lpwstr>
  </property>
</Properties>
</file>