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Материалы жюри: как оценивать команды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b/>
          <w:bCs/>
          <w:color w:val="404040"/>
        </w:rPr>
        <w:t xml:space="preserve">Только для жюри и ведущих.</w:t>
      </w:r>
      <w:r>
        <w:rPr>
          <w:color w:val="404040"/>
        </w:rPr>
        <w:t xml:space="preserve"> Командам не показывать.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color w:val="404040"/>
        </w:rPr>
        <w:t xml:space="preserve">В форсайте нет единственного правильного ответа. Оценивается </w:t>
      </w:r>
      <w:r>
        <w:rPr>
          <w:b/>
          <w:bCs/>
          <w:color w:val="404040"/>
        </w:rPr>
        <w:t xml:space="preserve">логика</w:t>
      </w:r>
      <w:r>
        <w:rPr>
          <w:color w:val="404040"/>
        </w:rPr>
        <w:t xml:space="preserve">: опора на данные карточки, независимость неопределённостей, связь мер со сценариями и джокерами. Любой ответ засчитывается, если команда его обосновала.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color w:val="404040"/>
        </w:rPr>
        <w:t xml:space="preserve">Числа взяты из модели игры по действующим правилам (v6, 04.10.2026). Это учебная модель, а не прогноз.</w:t>
      </w:r>
    </w:p>
    <w:p>
      <w:pPr>
        <w:spacing w:after="100"/>
      </w:pPr>
      <w:r>
        <w:t xml:space="preserve">По городам — отдельные файлы:</w:t>
      </w:r>
    </w:p>
    <w:p>
      <w:pPr>
        <w:spacing w:after="100"/>
      </w:pPr>
      <w:r>
        <w:t xml:space="preserve">Промград · Новая долина · Северный берег · Моноград</w:t>
      </w:r>
    </w:p>
    <w:p>
      <w:pPr>
        <w:pStyle w:val="Heading2"/>
      </w:pPr>
      <w:r>
        <w:t xml:space="preserve">1. Из чего складывается оценка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0"/>
        <w:gridCol w:w="1692"/>
        <w:gridCol w:w="1720"/>
        <w:gridCol w:w="2604"/>
      </w:tblGrid>
      <w:tr>
        <w:trPr>
          <w:tblHeader/>
        </w:trPr>
        <w:tc>
          <w:tcPr>
            <w:tcW w:type="dxa" w:w="3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Что оценивается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Где смотреть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Шкала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Кто ставит</w:t>
            </w:r>
          </w:p>
        </w:tc>
      </w:tr>
      <w:tr>
        <w:trPr>
          <w:tblHeader w:val="false"/>
        </w:trPr>
        <w:tc>
          <w:tcPr>
            <w:tcW w:type="dxa" w:w="3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Результат в модели</w:t>
            </w:r>
            <w:r>
              <w:rPr>
                <w:sz w:val="18"/>
                <w:szCs w:val="18"/>
              </w:rPr>
              <w:t xml:space="preserve"> — насколько вырос город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PDF команды, раздел 5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1–10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считается автоматически</w:t>
            </w:r>
          </w:p>
        </w:tc>
      </w:tr>
      <w:tr>
        <w:trPr>
          <w:tblHeader w:val="false"/>
        </w:trPr>
        <w:tc>
          <w:tcPr>
            <w:tcW w:type="dxa" w:w="3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Качество работы</w:t>
            </w:r>
            <w:r>
              <w:rPr>
                <w:sz w:val="18"/>
                <w:szCs w:val="18"/>
              </w:rPr>
              <w:t xml:space="preserve"> — по каждому участнику: включённость, качество анализа, обоснованность решения, использование данных, вклад в работу команды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PDF разделы 1–4, защита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0–10 по каждому критерию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жюри во вкладке ведущего «Оценивание»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Как свести две части в одну итоговую оценку, решает жюри. Например: 30% — результат в модели, 70% — среднее по пяти критериям. Результат модели — подсказка, а не приговор: команда с осторожным, хорошо обоснованным портфелем может получить меньше баллов модели и заслуженно высокую оценку за обоснованность.</w:t>
      </w:r>
    </w:p>
    <w:p>
      <w:pPr>
        <w:pStyle w:val="Heading2"/>
      </w:pPr>
      <w:r>
        <w:t xml:space="preserve">2. Оценка за результат (1–10) — как она считается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Рост города</w:t>
      </w:r>
      <w:r>
        <w:t xml:space="preserve"> = сумма изменений шести показателей (итог − старт). Города стартуют с разных позиций, поэтому сравнивается рост, а не итоговый индекс.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Рост команды сравнивается с </w:t>
      </w:r>
      <w:r>
        <w:rPr>
          <w:b/>
          <w:bCs/>
        </w:rPr>
        <w:t xml:space="preserve">5 000 случайных стратегий для того же города и той же пары джокеров</w:t>
      </w:r>
      <w:r>
        <w:t xml:space="preserve">. Так невезение с городом или джокерами не наказывается.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Шкала: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8"/>
        <w:gridCol w:w="1480"/>
        <w:gridCol w:w="3478"/>
      </w:tblGrid>
      <w:tr>
        <w:trPr>
          <w:tblHeader/>
        </w:trPr>
        <w:tc>
          <w:tcPr>
            <w:tcW w:type="dxa" w:w="4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Где результат команды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</w:tr>
      <w:tr>
        <w:trPr>
          <w:tblHeader w:val="false"/>
        </w:trPr>
        <w:tc>
          <w:tcPr>
            <w:tcW w:type="dxa" w:w="4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ниже медианы случайных стратегий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1–5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1–3 слабый, 4–5 средний</w:t>
            </w:r>
          </w:p>
        </w:tc>
      </w:tr>
      <w:tr>
        <w:trPr>
          <w:tblHeader w:val="false"/>
        </w:trPr>
        <w:tc>
          <w:tcPr>
            <w:tcW w:type="dxa" w:w="4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 медианы до лучших 10%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5–8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6–7 хороший</w:t>
            </w:r>
          </w:p>
        </w:tc>
      </w:tr>
      <w:tr>
        <w:trPr>
          <w:tblHeader w:val="false"/>
        </w:trPr>
        <w:tc>
          <w:tcPr>
            <w:tcW w:type="dxa" w:w="4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 лучших 10% до лучшего возможного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8–10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8–9 сильный, 10 отлично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В PDF (раздел 5) показаны два эталона: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устойчивый портфель</w:t>
      </w:r>
      <w:r>
        <w:t xml:space="preserve"> — лучший в среднем по всем 64 парам джокеров, то есть выбранный без знания будущего;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лучший при известных джокерах</w:t>
      </w:r>
      <w:r>
        <w:t xml:space="preserve"> — потолок модели. Не упрёк команде: в форсайте будущее неизвестно.</w:t>
      </w:r>
    </w:p>
    <w:p>
      <w:pPr>
        <w:spacing w:after="100"/>
      </w:pPr>
      <w:r>
        <w:t xml:space="preserve">Таблицы «какой рост какую оценку даёт» для каждого города — в файлах городов.</w:t>
      </w:r>
    </w:p>
    <w:p>
      <w:pPr>
        <w:pStyle w:val="Heading2"/>
      </w:pPr>
      <w:r>
        <w:t xml:space="preserve">3. Сравнение городов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2173"/>
        <w:gridCol w:w="1487"/>
        <w:gridCol w:w="1302"/>
        <w:gridCol w:w="1742"/>
        <w:gridCol w:w="1801"/>
      </w:tblGrid>
      <w:tr>
        <w:trPr>
          <w:tblHeader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Город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Старт (сумма 6 показателей)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Медиана роста → 5/10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Лучшие 10% → 8/10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Устойчивый портфель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Лучший возможный → 10/10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Промград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+12,2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+15,9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+19,9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+21,2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Новая долина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+11,4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+15,2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+19,2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+20,5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Северный берег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+12,1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+16,0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+20,1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+21,2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Моноград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+13,1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+17,4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+21,9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+23,4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Среднее по 64 парам джокеров (из </w:t>
      </w:r>
      <w:r>
        <w:rPr>
          <w:rFonts w:ascii="Consolas" w:cs="Consolas" w:eastAsia="Consolas" w:hAnsi="Consolas"/>
        </w:rPr>
        <w:t xml:space="preserve">data/benchmarks.json</w:t>
      </w:r>
      <w:r>
        <w:t xml:space="preserve">, как в PDF).</w:t>
      </w:r>
    </w:p>
    <w:p>
      <w:pPr>
        <w:spacing w:after="100"/>
      </w:pPr>
      <w:r>
        <w:t xml:space="preserve">Моноград растёт сильнее всех: он стартует ниже и меньше упирается в потолок 10. Поэтому одинаковый рост в Монограде и в Новой долине — не одно и то же; оценка 1–10 это уже учитывает.</w:t>
      </w:r>
    </w:p>
    <w:p>
      <w:pPr>
        <w:pStyle w:val="Heading2"/>
      </w:pPr>
      <w:r>
        <w:t xml:space="preserve">4. Как отличить сильный ответ от слабого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3"/>
        <w:gridCol w:w="3603"/>
        <w:gridCol w:w="3710"/>
      </w:tblGrid>
      <w:tr>
        <w:trPr>
          <w:tblHeader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Шаг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Сильный ответ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Типичная ошибка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Тренд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Изменение, которое </w:t>
            </w:r>
            <w:r>
              <w:rPr>
                <w:b/>
                <w:bCs/>
                <w:sz w:val="18"/>
                <w:szCs w:val="18"/>
              </w:rPr>
              <w:t xml:space="preserve">уже идёт</w:t>
            </w:r>
            <w:r>
              <w:rPr>
                <w:sz w:val="18"/>
                <w:szCs w:val="18"/>
              </w:rPr>
              <w:t xml:space="preserve"> и подтверждено цифрой или сигналом карточки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Пожелание («нужно развивать IT») или событие («завод закроют»)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Драйвер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Сила-причина</w:t>
            </w:r>
            <w:r>
              <w:rPr>
                <w:sz w:val="18"/>
                <w:szCs w:val="18"/>
              </w:rPr>
              <w:t xml:space="preserve">, которая толкает изменения (технологии, решения работодателя, миграция, климат, регулирование)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 тренда другими словами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Слабый сигнал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Ранний </w:t>
            </w:r>
            <w:r>
              <w:rPr>
                <w:b/>
                <w:bCs/>
                <w:sz w:val="18"/>
                <w:szCs w:val="18"/>
              </w:rPr>
              <w:t xml:space="preserve">малозаметный</w:t>
            </w:r>
            <w:r>
              <w:rPr>
                <w:sz w:val="18"/>
                <w:szCs w:val="18"/>
              </w:rPr>
              <w:t xml:space="preserve"> признак возможного поворота (единичный факт, «пока мелочь»)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Очевидный, давно известный факт («население стареет»)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Критическая неопределённость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Фактор с </w:t>
            </w:r>
            <w:r>
              <w:rPr>
                <w:b/>
                <w:bCs/>
                <w:sz w:val="18"/>
                <w:szCs w:val="18"/>
              </w:rPr>
              <w:t xml:space="preserve">высоким влиянием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b/>
                <w:bCs/>
                <w:sz w:val="18"/>
                <w:szCs w:val="18"/>
              </w:rPr>
              <w:t xml:space="preserve">непонятным направлением</w:t>
            </w:r>
            <w:r>
              <w:rPr>
                <w:sz w:val="18"/>
                <w:szCs w:val="18"/>
              </w:rPr>
              <w:t xml:space="preserve">; две оси </w:t>
            </w:r>
            <w:r>
              <w:rPr>
                <w:b/>
                <w:bCs/>
                <w:sz w:val="18"/>
                <w:szCs w:val="18"/>
              </w:rPr>
              <w:t xml:space="preserve">независимы</w:t>
            </w:r>
            <w:r>
              <w:rPr>
                <w:sz w:val="18"/>
                <w:szCs w:val="18"/>
              </w:rPr>
              <w:t xml:space="preserve"> друг от друга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Тренд, который точно продолжится; две оси про одно и то же (например, «автоматизация» и «занятость»)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Сценарии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Четыре </w:t>
            </w:r>
            <w:r>
              <w:rPr>
                <w:b/>
                <w:bCs/>
                <w:sz w:val="18"/>
                <w:szCs w:val="18"/>
              </w:rPr>
              <w:t xml:space="preserve">разных</w:t>
            </w:r>
            <w:r>
              <w:rPr>
                <w:sz w:val="18"/>
                <w:szCs w:val="18"/>
              </w:rPr>
              <w:t xml:space="preserve"> мира: у каждого своё название и последствия для жителей, бизнеса и власти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Хороший / плохой / средний / «как сейчас»; один сценарий, переписанный четыре раза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Устойчивая мера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Полезна минимум в 3 из 4 сценариев; команда может объяснить, </w:t>
            </w:r>
            <w:r>
              <w:rPr>
                <w:b/>
                <w:bCs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Отметить все меры во всех сценариях — индекс устойчивости 100%, но защитить такой ответ нельзя</w:t>
            </w:r>
          </w:p>
        </w:tc>
      </w:tr>
      <w:tr>
        <w:trPr>
          <w:tblHeader w:val="false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«Почему?» у меры (по желанию)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Связь с картой города, сценарием или джокером; для условной — когда её стоит запустить («если безработица &gt; 10% два квартала подряд»)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«Так надо», «по необходимости»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Как устроена экономика (коротко)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100 у.е. на меры. </w:t>
      </w:r>
      <w:r>
        <w:rPr>
          <w:b/>
          <w:bCs/>
        </w:rPr>
        <w:t xml:space="preserve">Полная</w:t>
      </w:r>
      <w:r>
        <w:t xml:space="preserve"> мера: платим всё сразу, полный эффект. </w:t>
      </w:r>
      <w:r>
        <w:rPr>
          <w:b/>
          <w:bCs/>
        </w:rPr>
        <w:t xml:space="preserve">Условная</w:t>
      </w:r>
      <w:r>
        <w:t xml:space="preserve">: платим «Сейчас» (около 20–30% цены), на закрытии решаем, запускать ли за «Позже».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Подготовка без запуска эффекта не даёт.</w:t>
      </w:r>
      <w:r>
        <w:t xml:space="preserve"> Она удешевляет реакцию на джокеры и даёт право запустить меру позже.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Перед закрытием всем приходит </w:t>
      </w:r>
      <w:r>
        <w:rPr>
          <w:b/>
          <w:bCs/>
        </w:rPr>
        <w:t xml:space="preserve">бюджет следующего года, +30 у.е.</w:t>
      </w:r>
      <w:r>
        <w:t xml:space="preserve"> Его можно потратить на запуск подготовленных мер, остаток уходит в резерв (до +2 к Адаптивности). Неподготовленную меру на закрытии купить нельзя.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Дефицит на закрытии — штраф −1 к Экономике за каждые 4 у.е.</w:t>
      </w:r>
    </w:p>
    <w:p>
      <w:pPr>
        <w:spacing w:after="100"/>
      </w:pPr>
      <w:r>
        <w:rPr>
          <w:b/>
          <w:bCs/>
        </w:rPr>
        <w:t xml:space="preserve">Общие закономерности модели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Лучшие портфели:</w:t>
      </w:r>
      <w:r>
        <w:t xml:space="preserve"> 2–4 полные меры из «ядра» и 2–3 условные, которые запускаются на закрытии на бюджет следующего года.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Ядро во всех городах:</w:t>
      </w:r>
      <w:r>
        <w:t xml:space="preserve"> M2, M4, M5, M6, M13. M4 — самая дешёвая полная мера, защищает от кибератаки и снимает ловушку M10.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«Подготовить всё и ничего не запускать»</w:t>
      </w:r>
      <w:r>
        <w:t xml:space="preserve"> — 8–9 баллов, ниже медианы (оценка около 3). Ответ на возражение «можно всё сделать позже»: подготовка защищает от джокеров и даёт право запустить, но жизнь города меняет только запуск.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«Подготовить всё и запустить по средствам»</w:t>
      </w:r>
      <w:r>
        <w:t xml:space="preserve"> — 11–12, около медианы: опционов слишком много, денег хватает на запуск 2–3.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«Всё полными сразу»</w:t>
      </w:r>
      <w:r>
        <w:t xml:space="preserve"> — 17–20, на 2–3 балла ниже лучших: гибкость окупается.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Копить невыгодно:</w:t>
      </w:r>
      <w:r>
        <w:t xml:space="preserve"> две полные меры и резерв дают +8…+9.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Долг на закрытии всегда проигрывает:</w:t>
      </w:r>
      <w:r>
        <w:t xml:space="preserve"> «запустить всё в долг» — −18…−25.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Снимать меры имеет смысл только при дефиците.</w:t>
      </w:r>
    </w:p>
    <w:p>
      <w:pPr>
        <w:pStyle w:val="Heading2"/>
      </w:pPr>
      <w:r>
        <w:t xml:space="preserve">6. Какие меры защищают от каких джокеров (одинаково для всех городов)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8"/>
        <w:gridCol w:w="3950"/>
        <w:gridCol w:w="2768"/>
      </w:tblGrid>
      <w:tr>
        <w:trPr>
          <w:tblHeader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Мера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Негативные джокеры (цена: было → стало)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Положительные джокеры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 Коммунальные сети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 Авария сетей: 22 → 7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 (можно выбрать под грант)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 Переподготовка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Закрытие работодателя: 30 → 20 (вместе с M7 → 10)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 Защита от подтоплений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Паводок: 25 → 8 (вместе с M13 → 5)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M4 Кибербезопасность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J-2 Кибератака: 15 → 5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M5 Молодёжь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J-3 Отток молодёжи: 20 → 7 (вместе с M14 → 5)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J+4 — бесплатно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M6 Фонд малого бизнеса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M7 Диверсификация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J-4: 30 → 20; J-8 Экологический инцидент: 18 → 10 (вместе с M13 → 7)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J+1 Инвестор: 20 → 10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M8 Транспорт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J+2; J+3: −8 к «Позже»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M9 Соцынфраструктура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J-6 Кадровый кризис: 18 → 10 (вместе с M14 → 5)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J+2; J+4 — бесплатно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M10 Платформа данных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J-2 дорожает 15 → 20, если нет M4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J+4 — бесплатно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M11 Новый жилой район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M12 Туризм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J+3: −8 к «Позже»; J+6 — бесплатно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M13 Сине-зелёная инфраструктура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J-1: 25 → 15; J-8: 18 → 12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J+2; J+7: −8 к «Позже»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M14 Колледж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J-3: 20 → 10; J-6: 18 → 8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J+5: −10 к «Позже»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M15 Энергомодернизация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J-8: 18 → 10 (вместе с M13 → 7)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J+2; J+7: −8 к «Позже»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M16 Реновация жилья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J-5: 22 → 15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J+2</w:t>
            </w:r>
          </w:p>
        </w:tc>
      </w:tr>
      <w:tr>
        <w:trPr>
          <w:tblHeader w:val="false"/>
        </w:trPr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J-7 Бюджетный шок: всегда 15 у.е., спасает только резерв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J0: ничего не происходит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 Что спросить на защите (для всех городов)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Какая мера полезна во </w:t>
      </w:r>
      <w:r>
        <w:rPr>
          <w:b/>
          <w:bCs/>
        </w:rPr>
        <w:t xml:space="preserve">всех</w:t>
      </w:r>
      <w:r>
        <w:t xml:space="preserve"> четырёх сценариях и почему?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Какие меры вы подготовили, но не запустили? Почему не запустили, когда пришёл бюджет следующего года?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Какой джокер изменил ваши планы? Что бы вы сделали иначе, если бы знали его заранее, и можно ли было это предвидеть по сигналам карточки?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Какой показатель вы бы реально отслеживали в отчётах администрации, чтобы решить, запускать ли меру? Где взяли бы эти данные?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Чем ваш портфель отличается от портфеля команды с другим городом? Что в нём специфично для города, а что универсально?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Чем форсайт отличается от прогноза на примере вашего города?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Материалы жюри · только для жюри и ведущих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D3F6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A78D6" w:sz="6" w:space="2"/>
      </w:pBdr>
      <w:spacing w:after="120" w:before="280"/>
      <w:outlineLvl w:val="1"/>
    </w:pPr>
    <w:rPr>
      <w:rFonts w:ascii="Calibri" w:cs="Calibri" w:eastAsia="Calibri" w:hAnsi="Calibri"/>
      <w:b/>
      <w:bCs/>
      <w:color w:val="1D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2026-10-04T15:27:22.173Z</dcterms:created>
  <dcterms:modified xsi:type="dcterms:W3CDTF">2026-10-04T15:27:22.173Z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