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4. Моноград — моногород в поиске новой экономической модели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Материалы жюри. Общая часть — как оценивать.</w:t>
      </w:r>
    </w:p>
    <w:p>
      <w:pPr>
        <w:spacing w:after="100"/>
      </w:pPr>
      <w:r>
        <w:rPr>
          <w:b/>
          <w:bCs/>
        </w:rPr>
        <w:t xml:space="preserve">Ключевые цифры карточки: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градообразующее предприятие даёт 36% занятости;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население сократилось на 9%;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молодёжь 18–30 лет — 16%;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безработица — 7,1%;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24% промышленных площадей свободны;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износ жилфонда — 54%.</w:t>
      </w:r>
    </w:p>
    <w:p>
      <w:pPr>
        <w:spacing w:after="100"/>
      </w:pPr>
      <w:r>
        <w:rPr>
          <w:b/>
          <w:bCs/>
        </w:rPr>
        <w:t xml:space="preserve">Особенности старта:</w:t>
      </w:r>
      <w:r>
        <w:t xml:space="preserve"> самый низкий в игре — сумма 26, </w:t>
      </w:r>
      <w:r>
        <w:rPr>
          <w:b/>
          <w:bCs/>
        </w:rPr>
        <w:t xml:space="preserve">Адаптивность 3</w:t>
      </w:r>
      <w:r>
        <w:t xml:space="preserve">, Экономика 4, Человеческий капитал 4. Пространства для роста больше всех.</w:t>
      </w:r>
    </w:p>
    <w:p>
      <w:pPr>
        <w:spacing w:after="100"/>
      </w:pPr>
      <w:r>
        <w:rPr>
          <w:b/>
          <w:bCs/>
        </w:rPr>
        <w:t xml:space="preserve">Стартовые показатели (шкала 1–10):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1745"/>
        <w:gridCol w:w="1784"/>
        <w:gridCol w:w="1114"/>
        <w:gridCol w:w="1695"/>
        <w:gridCol w:w="1561"/>
        <w:gridCol w:w="782"/>
      </w:tblGrid>
      <w:tr>
        <w:trPr>
          <w:tblHeader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Экономика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Социальная устойчивость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Инфраструктура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Экология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Человеческий капитал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Адаптивность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Сумма</w:t>
            </w:r>
          </w:p>
        </w:tc>
      </w:tr>
      <w:tr>
        <w:trPr>
          <w:tblHeader w:val="false"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Ожидаемые ответы</w:t>
      </w:r>
    </w:p>
    <w:p>
      <w:pPr>
        <w:pStyle w:val="Heading3"/>
      </w:pPr>
      <w:r>
        <w:t xml:space="preserve">Диагностика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6"/>
        <w:gridCol w:w="7520"/>
      </w:tblGrid>
      <w:tr>
        <w:trPr>
          <w:tblHeader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сокращение населения; отток молодёжи (каждый третий выпускник планирует уехать); оптимизация градообразующего предприятия; высвобождение промышленных площадей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Драйверы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решения предприятия; готовность региона софинансировать диверсификацию </w:t>
            </w:r>
            <w:r>
              <w:rPr>
                <w:b/>
                <w:bCs/>
                <w:sz w:val="18"/>
                <w:szCs w:val="18"/>
              </w:rPr>
              <w:t xml:space="preserve">при частном инвесторе</w:t>
            </w:r>
            <w:r>
              <w:rPr>
                <w:sz w:val="18"/>
                <w:szCs w:val="18"/>
              </w:rPr>
              <w:t xml:space="preserve">; дешёвая недвижимость и площади; профессиональная культура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Слабые сигналы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коворкинг и центр удалённой работы от местных предпринимателей (сигнал 4); программа колледжа по промышленной автоматике (сигнал 3); пустующие склады (сигнал 2)</w:t>
            </w:r>
          </w:p>
        </w:tc>
      </w:tr>
      <w:tr>
        <w:trPr>
          <w:tblHeader w:val="false"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Три главные проблемы</w:t>
            </w:r>
          </w:p>
        </w:tc>
        <w:tc>
          <w:tcPr>
            <w:tcW w:type="dxa" w:w="7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монозависимость; отток молодёжи; высокая безработица. Низкая предпринимательская активность и изношенная избыточная инфраструктура тоже засчитываются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Критические неопределённости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45"/>
        <w:gridCol w:w="1745"/>
        <w:gridCol w:w="251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Ось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А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Б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Почему критична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Судьба градообразующего предприятия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сохраняет производство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сокращает или закрывает часть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треть занятости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Частный инвестор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приходит (запускается региональное софинансирование)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 приходит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без него нет денег на диверсификацию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Молодёжь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остаётся (работа, колледж)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уезжает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кадры для любой новой модели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Малый бизнес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просыпается (коворкинг — первый знак)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остаётся пассивным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альтернатива монозависимости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Сильная пара: </w:t>
      </w:r>
      <w:r>
        <w:rPr>
          <w:b/>
          <w:bCs/>
        </w:rPr>
        <w:t xml:space="preserve">предприятие × инвестор</w:t>
      </w:r>
      <w:r>
        <w:t xml:space="preserve">. Ошибка: «сокращение предприятия × безработица» — это одна ось.</w:t>
      </w:r>
    </w:p>
    <w:p>
      <w:pPr>
        <w:pStyle w:val="Heading3"/>
      </w:pPr>
      <w:r>
        <w:t xml:space="preserve">Пример сценариев (предприятие × инвестор)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3"/>
        <w:gridCol w:w="4315"/>
        <w:gridCol w:w="3388"/>
      </w:tblGrid>
      <w:tr>
        <w:trPr>
          <w:tblHeader/>
        </w:trPr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Инвестор приходит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Инвестора нет</w:t>
            </w:r>
          </w:p>
        </w:tc>
      </w:tr>
      <w:tr>
        <w:trPr>
          <w:tblHeader w:val="false"/>
        </w:trPr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Предприятие сохраняется</w:t>
            </w:r>
          </w:p>
        </w:tc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«Второе дыхание»: химия плюс новая специализация на свободных площадях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«Химград навсегда»: стабильно, но хрупко</w:t>
            </w:r>
          </w:p>
        </w:tc>
      </w:tr>
      <w:tr>
        <w:trPr>
          <w:tblHeader w:val="false"/>
        </w:trPr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Предприятие сокращается</w:t>
            </w:r>
          </w:p>
        </w:tc>
        <w:tc>
          <w:tcPr>
            <w:tcW w:type="dxa" w:w="4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«Новая специализация»: болезненный, но управляемый переход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«Город на паузе»: безработица, отток, пустые кварталы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Меры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Устойчивые: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M2</w:t>
      </w:r>
      <w:r>
        <w:t xml:space="preserve"> — переподготовка: полезна при любом исходе, защищает от J-4;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M5</w:t>
      </w:r>
      <w:r>
        <w:t xml:space="preserve"> — молодёжь: защищает от J-3;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M6</w:t>
      </w:r>
      <w:r>
        <w:t xml:space="preserve"> — малый бизнес: прямой ответ на низкую предпринимательскую активность;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M14 — колледж: опирается на сигнал 3, защищает от J-3 и J-6;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Сценарно-зависимые — условные (в кавычках — когда запускать):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M7 «Диверсификация»</w:t>
      </w:r>
      <w:r>
        <w:t xml:space="preserve"> — «подтверждён интерес частного инвестора» (прямо из сигнала 6); вместе с M2 снижает J-4 с 30 до 10;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M16 — «доля аварийного фонда превысила порог».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Ловушки: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M11 «Новый жилой район» полной при сокращении населения;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M10 без M4.</w:t>
      </w:r>
    </w:p>
    <w:p>
      <w:pPr>
        <w:pStyle w:val="Heading2"/>
      </w:pPr>
      <w:r>
        <w:t xml:space="preserve">Лучшие исходы</w:t>
      </w:r>
    </w:p>
    <w:p>
      <w:pPr>
        <w:pStyle w:val="Heading3"/>
      </w:pPr>
      <w:r>
        <w:t xml:space="preserve">Лучшие портфели модели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7"/>
        <w:gridCol w:w="1432"/>
        <w:gridCol w:w="799"/>
        <w:gridCol w:w="4878"/>
      </w:tblGrid>
      <w:tr>
        <w:trPr>
          <w:tblHeader/>
        </w:trPr>
        <w:tc>
          <w:tcPr>
            <w:tcW w:type="dxa" w:w="2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Сейчас, у.е.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</w:t>
            </w:r>
          </w:p>
        </w:tc>
        <w:tc>
          <w:tcPr>
            <w:tcW w:type="dxa" w:w="4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Чем хорош</w:t>
            </w:r>
          </w:p>
        </w:tc>
      </w:tr>
      <w:tr>
        <w:trPr>
          <w:tblHeader w:val="false"/>
        </w:trPr>
        <w:tc>
          <w:tcPr>
            <w:tcW w:type="dxa" w:w="2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M2, M4, M5.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M7, M13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21,9</w:t>
            </w:r>
          </w:p>
        </w:tc>
        <w:tc>
          <w:tcPr>
            <w:tcW w:type="dxa" w:w="4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Рекомендуемый ориентир:</w:t>
            </w:r>
            <w:r>
              <w:rPr>
                <w:sz w:val="18"/>
                <w:szCs w:val="18"/>
              </w:rPr>
              <w:t xml:space="preserve"> J-4 30 → 10 (M2 + M7), J-3 20 → 7, J-8 18 → 7, J-2 15 → 5; обе условные запускает на закрытии, резерв 34 на джокеры</w:t>
            </w:r>
          </w:p>
        </w:tc>
      </w:tr>
      <w:tr>
        <w:trPr>
          <w:tblHeader w:val="false"/>
        </w:trPr>
        <w:tc>
          <w:tcPr>
            <w:tcW w:type="dxa" w:w="2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M6, M4, M2, M5.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M13, M7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21,9</w:t>
            </w:r>
          </w:p>
        </w:tc>
        <w:tc>
          <w:tcPr>
            <w:tcW w:type="dxa" w:w="4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То же плюс Фонд малого бизнеса сразу; резерв меньше</w:t>
            </w:r>
          </w:p>
        </w:tc>
      </w:tr>
      <w:tr>
        <w:trPr>
          <w:tblHeader w:val="false"/>
        </w:trPr>
        <w:tc>
          <w:tcPr>
            <w:tcW w:type="dxa" w:w="2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M5, M2, M4.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M6, M13, M8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21,6</w:t>
            </w:r>
          </w:p>
        </w:tc>
        <w:tc>
          <w:tcPr>
            <w:tcW w:type="dxa" w:w="4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30 → 20, J-1 25 → 15; запускает все подготовленные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Для сравнения: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жадный (всё полными) — 19,7;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«две полные + всё остальное подготовить», запуск по средствам — 11,8;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«подготовить всё и ничего не запускать» — 8,9;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копить — 9,0;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медиана — 13,1.</w:t>
      </w:r>
    </w:p>
    <w:p>
      <w:pPr>
        <w:pStyle w:val="Heading3"/>
      </w:pPr>
      <w:r>
        <w:t xml:space="preserve">Оценка за результат</w:t>
      </w:r>
    </w:p>
    <w:p>
      <w:pPr>
        <w:pStyle w:val="Heading4"/>
      </w:pPr>
      <w:r>
        <w:t xml:space="preserve">Какой рост какую оценку даёт (в среднем по 64 парам джокеров)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920"/>
        <w:gridCol w:w="920"/>
        <w:gridCol w:w="920"/>
        <w:gridCol w:w="920"/>
        <w:gridCol w:w="920"/>
        <w:gridCol w:w="920"/>
        <w:gridCol w:w="920"/>
        <w:gridCol w:w="921"/>
      </w:tblGrid>
      <w:tr>
        <w:trPr>
          <w:tblHeader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Рост команды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Оценка из 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1,8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3,2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4,5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6,1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7,5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8,2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Точная оценка зависит от выпавших джокеров: при тяжёлом негативном джокере тот же рост стоит выше. Она уже посчитана в PDF команды (раздел 5).</w:t>
      </w:r>
    </w:p>
    <w:p>
      <w:pPr>
        <w:pStyle w:val="Heading4"/>
      </w:pPr>
      <w:r>
        <w:t xml:space="preserve">Ориентиры по негативному джокеру (среднее по 8 положительным)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3"/>
        <w:gridCol w:w="1407"/>
        <w:gridCol w:w="1399"/>
        <w:gridCol w:w="1884"/>
        <w:gridCol w:w="2363"/>
      </w:tblGrid>
      <w:tr>
        <w:trPr>
          <w:tblHeader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Негативный джокер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Медиана → 5/10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Лучшие 10% → 8/10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Устойчивый портфель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Лучший при известных джокерах → 10/10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«Паводок»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+12,6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+21,5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J-2 «Кибератака»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+17,8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+24,0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 «Отток молодежи»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+23,9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«Закрытие крупного работодателя»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+12,1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+22,4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+23,1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«Авария коммунальных сетей»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+13,1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+19,5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+23,1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J-6 «Кадровый кризис в соцсфере»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+17,8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+20,5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+23,5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J-7 «Бюджетный шок»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+17,6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+21,5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+22,8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J-8 «Экологический инцидент»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+13,5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+17,9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+23,3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+24,0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Все пары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+13,1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+17,4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+21,9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+23,4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На что смотреть жюри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Диагностика:</w:t>
      </w:r>
      <w:r>
        <w:t xml:space="preserve"> назвали ли монозависимость (36% занятости) и отток молодёжи; заметили ли коворкинг как слабый сигнал.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Оси:</w:t>
      </w:r>
      <w:r>
        <w:t xml:space="preserve"> «предприятие × инвестор» — сильно; «сокращение предприятия × безработица» — одна ось.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Меры:</w:t>
      </w:r>
      <w:r>
        <w:t xml:space="preserve"> ядро M2, M5, M6; M7 «Диверсификация» — классическая условная мера «если придёт инвестор»; вместе с M2 снижает J-4 с 30 до 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Опционы:</w:t>
      </w:r>
      <w:r>
        <w:t xml:space="preserve"> сильный ход — M7 и M13 условными и запуск на бюджет следующего года.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Сравнение с другими:</w:t>
      </w:r>
      <w:r>
        <w:t xml:space="preserve"> Моноград растёт сильнее всех из-за низкого старта. Высокий рост здесь не означает, что команда сильнее команды из Новой долины — смотрите оценку 1–10.</w:t>
      </w:r>
    </w:p>
    <w:p>
      <w:pPr>
        <w:spacing w:after="100"/>
      </w:pPr>
      <w:r>
        <w:rPr>
          <w:b/>
          <w:bCs/>
        </w:rPr>
        <w:t xml:space="preserve">Тема для рефлексии: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Моноград даёт самый большой прирост, потому что стартует ниже всех. Сравнивать команды нужно по росту, а не по итоговому индексу, а между городами — по оценке 1–10.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Если команда взяла M11 условной, спросите, при каком условии она бы запустила новый район в сокращающемся городе.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Материалы жюри · только для жюри и ведущих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D3F6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A78D6" w:sz="6" w:space="2"/>
      </w:pBdr>
      <w:spacing w:after="120" w:before="280"/>
      <w:outlineLvl w:val="1"/>
    </w:pPr>
    <w:rPr>
      <w:rFonts w:ascii="Calibri" w:cs="Calibri" w:eastAsia="Calibri" w:hAnsi="Calibri"/>
      <w:b/>
      <w:bCs/>
      <w:color w:val="1D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2026-10-04T15:27:22.653Z</dcterms:created>
  <dcterms:modified xsi:type="dcterms:W3CDTF">2026-10-04T15:27:22.653Z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